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hint="eastAsia" w:eastAsia="方正小标宋_GBK"/>
          <w:kern w:val="0"/>
          <w:sz w:val="48"/>
          <w:szCs w:val="48"/>
        </w:rPr>
      </w:pPr>
      <w:r>
        <w:rPr>
          <w:rFonts w:hint="eastAsia" w:ascii="方正小标宋简体" w:hAnsi="方正小标宋简体" w:eastAsia="方正小标宋简体" w:cs="方正小标宋简体"/>
          <w:b/>
          <w:bCs/>
          <w:kern w:val="0"/>
          <w:sz w:val="48"/>
          <w:szCs w:val="48"/>
        </w:rPr>
        <w:t>霍尔果斯历史建设项目工程款资金项目支出绩效评价报告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项目名称：霍尔果斯历史建设项目工程款</w:t>
      </w:r>
    </w:p>
    <w:p>
      <w:pPr>
        <w:spacing w:line="560" w:lineRule="exact"/>
        <w:jc w:val="both"/>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eastAsia="zh-CN"/>
        </w:rPr>
        <w:t>霍尔果斯市住房和城乡建设局</w:t>
      </w:r>
    </w:p>
    <w:p>
      <w:pPr>
        <w:spacing w:line="560" w:lineRule="exact"/>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eastAsia="zh-CN"/>
        </w:rPr>
        <w:t>霍尔果斯市住房和城乡建设局</w:t>
      </w:r>
    </w:p>
    <w:p>
      <w:pPr>
        <w:spacing w:line="560" w:lineRule="exact"/>
        <w:ind w:firstLine="321" w:firstLineChars="100"/>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eastAsia="zh-CN"/>
        </w:rPr>
        <w:t>李宝德</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年 </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  月 </w:t>
      </w:r>
      <w:r>
        <w:rPr>
          <w:rFonts w:hint="eastAsia" w:ascii="宋体" w:hAnsi="宋体" w:eastAsia="宋体" w:cs="仿宋_GB2312"/>
          <w:color w:val="000000"/>
          <w:kern w:val="0"/>
          <w:sz w:val="32"/>
          <w:szCs w:val="32"/>
          <w:lang w:val="en-US" w:eastAsia="zh-CN"/>
        </w:rPr>
        <w:t>16</w:t>
      </w:r>
      <w:r>
        <w:rPr>
          <w:rFonts w:hint="eastAsia" w:ascii="宋体" w:hAnsi="宋体" w:eastAsia="宋体" w:cs="仿宋_GB2312"/>
          <w:color w:val="000000"/>
          <w:kern w:val="0"/>
          <w:sz w:val="32"/>
          <w:szCs w:val="32"/>
        </w:rPr>
        <w:t xml:space="preserve">  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p>
    <w:p>
      <w:pPr>
        <w:spacing w:line="560" w:lineRule="exact"/>
        <w:ind w:firstLine="640" w:firstLineChars="200"/>
        <w:rPr>
          <w:rFonts w:hint="eastAsia" w:ascii="仿宋_GB2312" w:hAnsi="仿宋"/>
          <w:color w:val="auto"/>
          <w:sz w:val="32"/>
          <w:szCs w:val="32"/>
        </w:rPr>
      </w:pPr>
      <w:r>
        <w:rPr>
          <w:rFonts w:hint="eastAsia" w:ascii="仿宋_GB2312" w:hAnsi="仿宋"/>
          <w:color w:val="auto"/>
          <w:sz w:val="32"/>
          <w:szCs w:val="32"/>
          <w:lang w:val="en-US" w:eastAsia="zh-CN"/>
        </w:rPr>
        <w:t>根据</w:t>
      </w:r>
      <w:r>
        <w:rPr>
          <w:rFonts w:hint="eastAsia" w:ascii="仿宋_GB2312" w:hAnsi="仿宋"/>
          <w:color w:val="auto"/>
          <w:sz w:val="32"/>
          <w:szCs w:val="32"/>
        </w:rPr>
        <w:t>《国务院关于支持喀什霍尔果斯经济开发区建设的若干意见》(国发(2011) 33号)决定在新疆喀什、霍尔果斯建设两个经济开发区，作为我国向西开放的重要窗口和新疆跨越式发展新的增长点。霍尔果斯经济开发区作为全球唯一跨境合作中心，国务院赋予霍尔果特区中哈合作中心及配套区空前的特殊的优惠政策，集合了我国现行出口加工区和保税区的核心政策。配套区不仅具有政策叠加效应，还拥有独特的跨境区位优势，口岸陆路客货运输常年通行，是中国与哈萨克斯坦等中亚国家开展经济、文化交流的国际大通道和桥头堡，在促进中国与中亚各国之间的区域经济合作及文化交流中发挥着重要的作用，具有重要的战略地位和区位优势。</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color w:val="auto"/>
          <w:sz w:val="32"/>
          <w:szCs w:val="32"/>
        </w:rPr>
      </w:pPr>
      <w:r>
        <w:rPr>
          <w:rFonts w:hint="eastAsia" w:ascii="仿宋_GB2312" w:hAnsi="仿宋"/>
          <w:color w:val="auto"/>
          <w:sz w:val="32"/>
          <w:szCs w:val="32"/>
        </w:rPr>
        <w:t>本项目依据《中共中央 国务院关于全面实施预算绩效管理的意见》（中发〔2018〕</w:t>
      </w:r>
      <w:r>
        <w:rPr>
          <w:rFonts w:ascii="仿宋_GB2312" w:hAnsi="仿宋"/>
          <w:color w:val="auto"/>
          <w:sz w:val="32"/>
          <w:szCs w:val="32"/>
        </w:rPr>
        <w:t>34</w:t>
      </w:r>
      <w:r>
        <w:rPr>
          <w:rFonts w:hint="eastAsia" w:ascii="仿宋_GB2312" w:hAnsi="仿宋"/>
          <w:color w:val="auto"/>
          <w:sz w:val="32"/>
          <w:szCs w:val="32"/>
        </w:rPr>
        <w:t>号）、《关于印发&lt;乌鲁木齐市本级部门预算绩效目标管理暂行办法</w:t>
      </w:r>
      <w:r>
        <w:rPr>
          <w:rFonts w:ascii="仿宋_GB2312" w:hAnsi="仿宋"/>
          <w:color w:val="auto"/>
          <w:sz w:val="32"/>
          <w:szCs w:val="32"/>
        </w:rPr>
        <w:t>&gt;</w:t>
      </w:r>
      <w:r>
        <w:rPr>
          <w:rFonts w:hint="eastAsia" w:ascii="仿宋_GB2312" w:hAnsi="仿宋"/>
          <w:color w:val="auto"/>
          <w:sz w:val="32"/>
          <w:szCs w:val="32"/>
        </w:rPr>
        <w:t>的通知》（乌财预</w:t>
      </w:r>
      <w:bookmarkStart w:id="2" w:name="_Hlk67566397"/>
      <w:r>
        <w:rPr>
          <w:rFonts w:hint="eastAsia" w:ascii="仿宋_GB2312" w:hAnsi="仿宋"/>
          <w:color w:val="auto"/>
          <w:sz w:val="32"/>
          <w:szCs w:val="32"/>
        </w:rPr>
        <w:t>〔2018〕</w:t>
      </w:r>
      <w:r>
        <w:rPr>
          <w:rFonts w:ascii="仿宋_GB2312" w:hAnsi="仿宋"/>
          <w:color w:val="auto"/>
          <w:sz w:val="32"/>
          <w:szCs w:val="32"/>
        </w:rPr>
        <w:t>5</w:t>
      </w:r>
      <w:r>
        <w:rPr>
          <w:rFonts w:hint="eastAsia" w:ascii="仿宋_GB2312" w:hAnsi="仿宋"/>
          <w:color w:val="auto"/>
          <w:sz w:val="32"/>
          <w:szCs w:val="32"/>
        </w:rPr>
        <w:t>6号</w:t>
      </w:r>
      <w:bookmarkEnd w:id="2"/>
      <w:r>
        <w:rPr>
          <w:rFonts w:hint="eastAsia" w:ascii="仿宋_GB2312" w:hAnsi="仿宋"/>
          <w:color w:val="auto"/>
          <w:sz w:val="32"/>
          <w:szCs w:val="32"/>
        </w:rPr>
        <w:t>）、《关于做好2</w:t>
      </w:r>
      <w:r>
        <w:rPr>
          <w:rFonts w:ascii="仿宋_GB2312" w:hAnsi="仿宋"/>
          <w:color w:val="auto"/>
          <w:sz w:val="32"/>
          <w:szCs w:val="32"/>
        </w:rPr>
        <w:t>019</w:t>
      </w:r>
      <w:r>
        <w:rPr>
          <w:rFonts w:hint="eastAsia" w:ascii="仿宋_GB2312" w:hAnsi="仿宋"/>
          <w:color w:val="auto"/>
          <w:sz w:val="32"/>
          <w:szCs w:val="32"/>
        </w:rPr>
        <w:t>年部门预算项目支出绩效目标管理有关事宜的通知》（乌财预〔20</w:t>
      </w:r>
      <w:r>
        <w:rPr>
          <w:rFonts w:ascii="仿宋_GB2312" w:hAnsi="仿宋"/>
          <w:color w:val="auto"/>
          <w:sz w:val="32"/>
          <w:szCs w:val="32"/>
        </w:rPr>
        <w:t>18</w:t>
      </w:r>
      <w:r>
        <w:rPr>
          <w:rFonts w:hint="eastAsia" w:ascii="仿宋_GB2312" w:hAnsi="仿宋"/>
          <w:color w:val="auto"/>
          <w:sz w:val="32"/>
          <w:szCs w:val="32"/>
        </w:rPr>
        <w:t>〕</w:t>
      </w:r>
      <w:r>
        <w:rPr>
          <w:rFonts w:ascii="仿宋_GB2312" w:hAnsi="仿宋"/>
          <w:color w:val="auto"/>
          <w:sz w:val="32"/>
          <w:szCs w:val="32"/>
        </w:rPr>
        <w:t>76</w:t>
      </w:r>
      <w:r>
        <w:rPr>
          <w:rFonts w:hint="eastAsia" w:ascii="仿宋_GB2312" w:hAnsi="仿宋"/>
          <w:color w:val="auto"/>
          <w:sz w:val="32"/>
          <w:szCs w:val="32"/>
        </w:rPr>
        <w:t>号）和《项目支出绩效评价管理办法》（财预〔20</w:t>
      </w:r>
      <w:r>
        <w:rPr>
          <w:rFonts w:ascii="仿宋_GB2312" w:hAnsi="仿宋"/>
          <w:color w:val="auto"/>
          <w:sz w:val="32"/>
          <w:szCs w:val="32"/>
        </w:rPr>
        <w:t>20</w:t>
      </w:r>
      <w:r>
        <w:rPr>
          <w:rFonts w:hint="eastAsia" w:ascii="仿宋_GB2312" w:hAnsi="仿宋"/>
          <w:color w:val="auto"/>
          <w:sz w:val="32"/>
          <w:szCs w:val="32"/>
        </w:rPr>
        <w:t>〕</w:t>
      </w:r>
      <w:r>
        <w:rPr>
          <w:rFonts w:ascii="仿宋_GB2312" w:hAnsi="仿宋"/>
          <w:color w:val="auto"/>
          <w:sz w:val="32"/>
          <w:szCs w:val="32"/>
        </w:rPr>
        <w:t>10</w:t>
      </w:r>
      <w:r>
        <w:rPr>
          <w:rFonts w:hint="eastAsia" w:ascii="仿宋_GB2312" w:hAnsi="仿宋"/>
          <w:color w:val="auto"/>
          <w:sz w:val="32"/>
          <w:szCs w:val="32"/>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spacing w:line="560" w:lineRule="exact"/>
        <w:ind w:firstLine="640" w:firstLineChars="200"/>
        <w:rPr>
          <w:rFonts w:eastAsia="仿宋_GB2312"/>
          <w:sz w:val="32"/>
          <w:szCs w:val="32"/>
        </w:rPr>
      </w:pPr>
      <w:r>
        <w:rPr>
          <w:rFonts w:hint="eastAsia" w:ascii="仿宋_GB2312"/>
          <w:sz w:val="32"/>
          <w:szCs w:val="32"/>
        </w:rPr>
        <w:t>主要内容：</w:t>
      </w:r>
      <w:r>
        <w:rPr>
          <w:rFonts w:eastAsia="仿宋_GB2312"/>
          <w:sz w:val="32"/>
          <w:szCs w:val="32"/>
          <w:lang w:val="en-US" w:eastAsia="zh-CN"/>
        </w:rPr>
        <w:t>1.霍尔果斯口岸配套区道路工程。建设内容：新建F路2426米、天津路480米、西域路330米及其配套附属设施。该项目的实施极大改善霍尔果斯市的交通环境，为企业发展提供便利基础，切实提高人民的生活水平，对霍尔果斯市的经济发展具有深远的影响。2.霍尔果斯市2020年老旧小区基础设施建设项目。解决老旧住宅小区基础设施薄弱，消防、电梯等设施老旧，存在安全隐患，规划布局不合理，无法满足居民目前居住生活需求。3.霍尔果斯市住建局（供排水）二氧化氯消毒设备购置项目。本工程是采购安装项目，项目的完成将有效地改善霍尔果斯市的民生问题，加快霍尔果斯市的发展，保护居民的身体健康，对水资源的科学开发利用也是非常有益的。4.霍尔果斯经济开发区污水处理厂升级改造工程建设项目。新建尾水车间、滤布滤池车间; 工艺提升改造设备添置:工艺设备补缺;改造村料，安装调试:补漏部分。在线监测设备采购及安装工程: 水质在线检测分析仪、超声波明渠流量计、氨氮检测仪、数据采集传输仪，PH在线分析仪、巴歇尔槽、两间9平方米检测站房等。项目已于2015年12月完工投入使用。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color w:val="FF0000"/>
          <w:sz w:val="32"/>
          <w:szCs w:val="32"/>
        </w:rPr>
      </w:pPr>
    </w:p>
    <w:p>
      <w:pPr>
        <w:spacing w:line="560" w:lineRule="exact"/>
        <w:ind w:firstLine="640" w:firstLineChars="200"/>
      </w:pPr>
      <w:r>
        <w:rPr>
          <w:rFonts w:hint="eastAsia" w:ascii="仿宋_GB2312"/>
          <w:sz w:val="32"/>
          <w:szCs w:val="32"/>
        </w:rPr>
        <w:t>实施情况：</w:t>
      </w:r>
      <w:r>
        <w:rPr>
          <w:rFonts w:eastAsia="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资金投入情况：该项目年初预算数</w:t>
      </w:r>
      <w:r>
        <w:rPr>
          <w:rFonts w:hint="eastAsia"/>
          <w:color w:val="auto"/>
          <w:sz w:val="32"/>
          <w:szCs w:val="32"/>
          <w:lang w:val="en-US" w:eastAsia="zh-CN"/>
        </w:rPr>
        <w:t>758.97</w:t>
      </w:r>
      <w:r>
        <w:rPr>
          <w:rFonts w:hint="eastAsia"/>
          <w:color w:val="auto"/>
          <w:sz w:val="32"/>
          <w:szCs w:val="32"/>
        </w:rPr>
        <w:t>万元，全年预算数</w:t>
      </w:r>
      <w:r>
        <w:rPr>
          <w:rFonts w:hint="eastAsia"/>
          <w:color w:val="auto"/>
          <w:sz w:val="32"/>
          <w:szCs w:val="32"/>
          <w:lang w:val="en-US" w:eastAsia="zh-CN"/>
        </w:rPr>
        <w:t>758.97</w:t>
      </w:r>
      <w:r>
        <w:rPr>
          <w:rFonts w:hint="eastAsia"/>
          <w:color w:val="auto"/>
          <w:sz w:val="32"/>
          <w:szCs w:val="32"/>
        </w:rPr>
        <w:t>万元，实际总投入</w:t>
      </w:r>
      <w:r>
        <w:rPr>
          <w:rFonts w:hint="eastAsia"/>
          <w:color w:val="auto"/>
          <w:sz w:val="32"/>
          <w:szCs w:val="32"/>
          <w:lang w:val="en-US" w:eastAsia="zh-CN"/>
        </w:rPr>
        <w:t>758.97</w:t>
      </w:r>
      <w:r>
        <w:rPr>
          <w:rFonts w:hint="eastAsia"/>
          <w:color w:val="auto"/>
          <w:sz w:val="32"/>
          <w:szCs w:val="32"/>
        </w:rPr>
        <w:t>万元，该项目资金已全部落实到位，资金来源为</w:t>
      </w:r>
      <w:r>
        <w:rPr>
          <w:rFonts w:hint="eastAsia"/>
          <w:color w:val="auto"/>
          <w:sz w:val="32"/>
          <w:szCs w:val="32"/>
          <w:lang w:val="en-US" w:eastAsia="zh-CN"/>
        </w:rPr>
        <w:t>财政资金</w:t>
      </w:r>
      <w:r>
        <w:rPr>
          <w:rFonts w:hint="eastAsia"/>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资金使用情况：该项目年初预算数</w:t>
      </w:r>
      <w:r>
        <w:rPr>
          <w:rFonts w:hint="eastAsia"/>
          <w:color w:val="auto"/>
          <w:sz w:val="32"/>
          <w:szCs w:val="32"/>
          <w:lang w:val="en-US" w:eastAsia="zh-CN"/>
        </w:rPr>
        <w:t>758.97</w:t>
      </w:r>
      <w:r>
        <w:rPr>
          <w:rFonts w:hint="eastAsia"/>
          <w:color w:val="auto"/>
          <w:sz w:val="32"/>
          <w:szCs w:val="32"/>
        </w:rPr>
        <w:t>万元，全年预算数</w:t>
      </w:r>
      <w:r>
        <w:rPr>
          <w:rFonts w:hint="eastAsia"/>
          <w:color w:val="auto"/>
          <w:sz w:val="32"/>
          <w:szCs w:val="32"/>
          <w:lang w:val="en-US" w:eastAsia="zh-CN"/>
        </w:rPr>
        <w:t>758.97</w:t>
      </w:r>
      <w:r>
        <w:rPr>
          <w:rFonts w:hint="eastAsia"/>
          <w:color w:val="auto"/>
          <w:sz w:val="32"/>
          <w:szCs w:val="32"/>
        </w:rPr>
        <w:t>万元，全年执行数</w:t>
      </w:r>
      <w:r>
        <w:rPr>
          <w:rFonts w:hint="eastAsia"/>
          <w:color w:val="auto"/>
          <w:sz w:val="32"/>
          <w:szCs w:val="32"/>
          <w:lang w:val="en-US" w:eastAsia="zh-CN"/>
        </w:rPr>
        <w:t>704.18</w:t>
      </w:r>
      <w:r>
        <w:rPr>
          <w:rFonts w:hint="eastAsia"/>
          <w:color w:val="auto"/>
          <w:sz w:val="32"/>
          <w:szCs w:val="32"/>
        </w:rPr>
        <w:t>万元，预算执行率为</w:t>
      </w:r>
      <w:r>
        <w:rPr>
          <w:rFonts w:hint="eastAsia"/>
          <w:color w:val="auto"/>
          <w:sz w:val="32"/>
          <w:szCs w:val="32"/>
          <w:lang w:val="en-US" w:eastAsia="zh-CN"/>
        </w:rPr>
        <w:t>92.78</w:t>
      </w:r>
      <w:r>
        <w:rPr>
          <w:rFonts w:hint="eastAsia"/>
          <w:color w:val="auto"/>
          <w:sz w:val="32"/>
          <w:szCs w:val="32"/>
        </w:rPr>
        <w:t>%，</w:t>
      </w:r>
      <w:r>
        <w:rPr>
          <w:rFonts w:hint="eastAsia"/>
          <w:color w:val="auto"/>
          <w:sz w:val="32"/>
          <w:szCs w:val="32"/>
          <w:lang w:eastAsia="zh-CN"/>
        </w:rPr>
        <w:t>主要</w:t>
      </w:r>
      <w:r>
        <w:rPr>
          <w:rFonts w:hint="eastAsia"/>
          <w:color w:val="auto"/>
          <w:sz w:val="32"/>
          <w:szCs w:val="32"/>
        </w:rPr>
        <w:t>用于：老旧小区改造项目</w:t>
      </w:r>
      <w:r>
        <w:rPr>
          <w:rFonts w:hint="eastAsia"/>
          <w:color w:val="auto"/>
          <w:sz w:val="32"/>
          <w:szCs w:val="32"/>
          <w:lang w:eastAsia="zh-CN"/>
        </w:rPr>
        <w:t>支付</w:t>
      </w:r>
      <w:r>
        <w:rPr>
          <w:rFonts w:hint="eastAsia"/>
          <w:color w:val="auto"/>
          <w:sz w:val="32"/>
          <w:szCs w:val="32"/>
          <w:lang w:val="en-US" w:eastAsia="zh-CN"/>
        </w:rPr>
        <w:t>500万元项目进度款，二氧化氯消毒设备购置项目支付11.6万元项目进度款，污水处理厂升级改造工程建设项目支付92.58万元项目进度款，口岸配套区道路工程支付100万元项目进度款。共支付704.18</w:t>
      </w:r>
      <w:r>
        <w:rPr>
          <w:rFonts w:hint="eastAsia"/>
          <w:color w:val="auto"/>
          <w:sz w:val="32"/>
          <w:szCs w:val="32"/>
        </w:rPr>
        <w:t>万元</w:t>
      </w:r>
      <w:r>
        <w:rPr>
          <w:rFonts w:hint="eastAsia"/>
          <w:color w:val="auto"/>
          <w:sz w:val="32"/>
          <w:szCs w:val="32"/>
          <w:lang w:eastAsia="zh-CN"/>
        </w:rPr>
        <w:t>工程进度款</w:t>
      </w:r>
      <w:r>
        <w:rPr>
          <w:rFonts w:hint="eastAsia"/>
          <w:color w:val="auto"/>
          <w:sz w:val="32"/>
          <w:szCs w:val="32"/>
        </w:rPr>
        <w:t>。</w:t>
      </w:r>
      <w:bookmarkStart w:id="3" w:name="_Toc68703829"/>
    </w:p>
    <w:p>
      <w:pPr>
        <w:spacing w:line="560" w:lineRule="exact"/>
        <w:rPr>
          <w:color w:val="FF0000"/>
          <w:sz w:val="32"/>
          <w:szCs w:val="32"/>
        </w:rPr>
      </w:pPr>
      <w:r>
        <w:rPr>
          <w:rFonts w:hint="eastAsia" w:ascii="Times New Roman" w:hAnsi="Times New Roman" w:eastAsia="楷体_GB2312" w:cs="Times New Roman"/>
          <w:b/>
          <w:bCs/>
          <w:sz w:val="32"/>
          <w:szCs w:val="32"/>
          <w:lang w:eastAsia="zh-CN"/>
        </w:rPr>
        <w:t>（二）项目绩效目标</w:t>
      </w:r>
      <w:bookmarkEnd w:id="3"/>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1.总体目标：1.霍尔果斯口岸配套区道路工程。建设内容：新建F路2426米、天津路480米、西域路330米及其配套附属设施。该项目的实施极大改善霍尔果斯市的交通环境，为企业发展提供便利基础，切实提高人民的生活水平，对霍尔果斯市的经济发展具有深远的影响。2.霍尔果斯市2020年老旧小区基础设施建设项目。解决老旧住宅小区基础设施薄弱，消防、电梯等设施老旧，存在安全隐患，规划布局不合理，无法满足居民目前居住生活需求。3.霍尔果斯市住建局（供排水）二氧化氯消毒设备购置项目。本工程是采购安装项目，项目的完成将有效地改善霍尔果斯市的民生问题，加快霍尔果斯市的发展，保护居民的身体健康，对水资源的科学开发利用也是非常有益的。 4.霍尔果斯经济开发区污水处理厂升级改造工程建设项目。新建尾水车间、滤布滤池车间; 工艺提升改造设备添置:工艺设备补缺;改造村料，安装调试:补漏部分。在线监测设备采购及安装工程: 水质在线检测分析仪、超声波明渠流量计、氨氮检测仪、数据采集传输仪，PH在线分析仪、巴歇尔槽、两间 9 平方米检测站房等。项目已于2015年12月完工投入使用。</w:t>
      </w:r>
    </w:p>
    <w:p>
      <w:pPr>
        <w:spacing w:line="560" w:lineRule="exact"/>
        <w:rPr>
          <w:rFonts w:hint="eastAsia"/>
          <w:color w:val="FF0000"/>
          <w:sz w:val="32"/>
          <w:szCs w:val="32"/>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2.阶段性目标：</w:t>
      </w:r>
      <w:bookmarkStart w:id="4" w:name="_Toc68703830"/>
      <w:r>
        <w:rPr>
          <w:rFonts w:eastAsia="仿宋_GB2312"/>
          <w:sz w:val="32"/>
          <w:szCs w:val="32"/>
        </w:rPr>
        <w:t>1.霍尔果斯口岸配套区道路工程。建设内容：新建F路2426米、天津路480米、西域路330米及其配套附属设施。该项目在2023年12月31日之前已支付完成100万元。 2.霍尔果斯市2020年老旧小区基础设施建设项目。该项目在2023年12月31日之前已支付完成500万元。3.霍尔果斯市住建局（供排水）二氧化氯消毒设备购置项目。本工程是采购安装项目，该项目在2023年12月31日之前已支付完成11.6万元。 4.霍尔果斯经济开发区污水处理厂升级改造工程建设项目。新建尾水车间、滤布滤池车间; 工艺提升改造设备添置:工艺设备补缺;改造村料，安装调试:补漏部分。在线监测设备采购及安装工程: 水质在线检测分析仪、超声波明渠流量计、氨氮检测仪、数据采集传输仪，PH在线分析仪、巴歇尔槽、两间 9 平方米检测站房等。该项目在2023年12月31日之前已支付完成92.58万元。</w:t>
      </w:r>
    </w:p>
    <w:p>
      <w:p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4"/>
    </w:p>
    <w:p>
      <w:pPr>
        <w:numPr>
          <w:ilvl w:val="0"/>
          <w:numId w:val="0"/>
        </w:numPr>
        <w:spacing w:line="560" w:lineRule="exact"/>
        <w:rPr>
          <w:rFonts w:hint="eastAsia" w:ascii="Times New Roman" w:hAnsi="Times New Roman" w:eastAsia="楷体_GB2312" w:cs="Times New Roman"/>
          <w:b/>
          <w:bCs/>
          <w:sz w:val="32"/>
          <w:szCs w:val="32"/>
          <w:lang w:eastAsia="zh-CN"/>
        </w:rPr>
      </w:pPr>
      <w:bookmarkStart w:id="5" w:name="_Toc68703831"/>
      <w:r>
        <w:rPr>
          <w:rFonts w:hint="eastAsia" w:ascii="Times New Roman" w:hAnsi="Times New Roman" w:eastAsia="楷体_GB2312" w:cs="Times New Roman"/>
          <w:b/>
          <w:bCs/>
          <w:sz w:val="32"/>
          <w:szCs w:val="32"/>
          <w:lang w:val="en-US" w:eastAsia="zh-CN"/>
        </w:rPr>
        <w:t>（一）绩效评价目的、对象和范围</w:t>
      </w:r>
      <w:bookmarkEnd w:id="5"/>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2"/>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320" w:firstLineChars="1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霍尔果斯历史建设项目所包含的全部项目内容。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spacing w:line="560" w:lineRule="exact"/>
        <w:ind w:firstLine="320" w:firstLineChars="100"/>
        <w:jc w:val="both"/>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霍尔果斯历史建设项目工程款评价，评价核心为资金的支出完成情况和效果。</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6"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6"/>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lang w:val="en-US" w:eastAsia="zh-CN"/>
          <w14:textFill>
            <w14:solidFill>
              <w14:schemeClr w14:val="tx1"/>
            </w14:solidFill>
          </w14:textFill>
        </w:rPr>
        <w:t>计划</w:t>
      </w:r>
      <w:r>
        <w:rPr>
          <w:rFonts w:hint="eastAsia"/>
          <w:bCs/>
          <w:color w:val="000000" w:themeColor="text1"/>
          <w:sz w:val="32"/>
          <w:szCs w:val="32"/>
          <w14:textFill>
            <w14:solidFill>
              <w14:schemeClr w14:val="tx1"/>
            </w14:solidFill>
          </w14:textFill>
        </w:rPr>
        <w:t>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7" w:name="_Toc68703833"/>
      <w:r>
        <w:rPr>
          <w:rFonts w:hint="eastAsia" w:ascii="Times New Roman" w:hAnsi="Times New Roman" w:eastAsia="楷体_GB2312" w:cs="Times New Roman"/>
          <w:b/>
          <w:bCs/>
          <w:kern w:val="2"/>
          <w:sz w:val="32"/>
          <w:szCs w:val="32"/>
          <w:lang w:val="en-US" w:eastAsia="zh-CN" w:bidi="ar-SA"/>
        </w:rPr>
        <w:t>（三）绩效评价工作过程</w:t>
      </w:r>
      <w:bookmarkEnd w:id="7"/>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8"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8"/>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9" w:name="_Toc68703835"/>
      <w:r>
        <w:rPr>
          <w:rFonts w:hint="eastAsia" w:ascii="Times New Roman" w:hAnsi="Times New Roman" w:eastAsia="楷体_GB2312" w:cs="Times New Roman"/>
          <w:b/>
          <w:bCs/>
          <w:kern w:val="2"/>
          <w:sz w:val="32"/>
          <w:szCs w:val="32"/>
          <w:lang w:val="en-US" w:eastAsia="zh-CN" w:bidi="ar-SA"/>
        </w:rPr>
        <w:t>（一）综合评价情况</w:t>
      </w:r>
      <w:bookmarkEnd w:id="9"/>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0" w:name="_Toc68703836"/>
      <w:r>
        <w:rPr>
          <w:rFonts w:hint="eastAsia" w:ascii="Times New Roman" w:hAnsi="Times New Roman" w:eastAsia="楷体_GB2312" w:cs="Times New Roman"/>
          <w:b/>
          <w:bCs/>
          <w:kern w:val="2"/>
          <w:sz w:val="32"/>
          <w:szCs w:val="32"/>
          <w:lang w:val="en-US" w:eastAsia="zh-CN" w:bidi="ar-SA"/>
        </w:rPr>
        <w:t>（二）评价结论</w:t>
      </w:r>
      <w:bookmarkEnd w:id="10"/>
    </w:p>
    <w:p>
      <w:pPr>
        <w:pStyle w:val="2"/>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b w:val="0"/>
          <w:bCs w:val="0"/>
          <w:lang w:val="en-US" w:eastAsia="zh-CN"/>
        </w:rPr>
        <w:t>98.82</w:t>
      </w:r>
      <w:r>
        <w:rPr>
          <w:rFonts w:hint="eastAsia" w:ascii="Times New Roman" w:hAnsi="Times New Roman" w:eastAsia="仿宋_GB2312"/>
          <w:b w:val="0"/>
          <w:bCs w:val="0"/>
        </w:rPr>
        <w:t xml:space="preserve">分，属于“优”。其中，项目决策类指标权重为20分，得分为 </w:t>
      </w:r>
      <w:r>
        <w:rPr>
          <w:rFonts w:hint="eastAsia" w:ascii="Times New Roman" w:hAnsi="Times New Roman" w:eastAsia="仿宋_GB2312"/>
          <w:b w:val="0"/>
          <w:bCs w:val="0"/>
          <w:lang w:val="en-US" w:eastAsia="zh-CN"/>
        </w:rPr>
        <w:t>20</w:t>
      </w:r>
      <w:r>
        <w:rPr>
          <w:rFonts w:hint="eastAsia" w:ascii="Times New Roman" w:hAnsi="Times New Roman" w:eastAsia="仿宋_GB2312"/>
          <w:b w:val="0"/>
          <w:bCs w:val="0"/>
        </w:rPr>
        <w:t>分，得分率为</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%。项目过程类指标权重为20分，得分为</w:t>
      </w:r>
      <w:r>
        <w:rPr>
          <w:rFonts w:hint="eastAsia" w:ascii="Times New Roman" w:hAnsi="Times New Roman" w:eastAsia="仿宋_GB2312"/>
          <w:b w:val="0"/>
          <w:bCs w:val="0"/>
          <w:lang w:val="en-US" w:eastAsia="zh-CN"/>
        </w:rPr>
        <w:t>19.71</w:t>
      </w:r>
      <w:r>
        <w:rPr>
          <w:rFonts w:hint="eastAsia" w:ascii="Times New Roman" w:hAnsi="Times New Roman" w:eastAsia="仿宋_GB2312"/>
          <w:b w:val="0"/>
          <w:bCs w:val="0"/>
        </w:rPr>
        <w:t>分，得分率为</w:t>
      </w:r>
      <w:r>
        <w:rPr>
          <w:rFonts w:hint="eastAsia" w:ascii="Times New Roman" w:hAnsi="Times New Roman" w:eastAsia="仿宋_GB2312"/>
          <w:b w:val="0"/>
          <w:bCs w:val="0"/>
          <w:lang w:val="en-US" w:eastAsia="zh-CN"/>
        </w:rPr>
        <w:t>98.55</w:t>
      </w:r>
      <w:r>
        <w:rPr>
          <w:rFonts w:hint="eastAsia" w:ascii="Times New Roman" w:hAnsi="Times New Roman" w:eastAsia="仿宋_GB2312"/>
          <w:b w:val="0"/>
          <w:bCs w:val="0"/>
        </w:rPr>
        <w:t>%。项目产出类指标权重为40分，得分为</w:t>
      </w:r>
      <w:r>
        <w:rPr>
          <w:rFonts w:hint="eastAsia" w:ascii="Times New Roman" w:hAnsi="Times New Roman" w:eastAsia="仿宋_GB2312"/>
          <w:b w:val="0"/>
          <w:bCs w:val="0"/>
          <w:lang w:val="en-US" w:eastAsia="zh-CN"/>
        </w:rPr>
        <w:t>39.11</w:t>
      </w:r>
      <w:r>
        <w:rPr>
          <w:rFonts w:hint="eastAsia" w:ascii="Times New Roman" w:hAnsi="Times New Roman" w:eastAsia="仿宋_GB2312"/>
          <w:b w:val="0"/>
          <w:bCs w:val="0"/>
        </w:rPr>
        <w:t>分，得分率为</w:t>
      </w:r>
      <w:r>
        <w:rPr>
          <w:rFonts w:hint="eastAsia" w:ascii="Times New Roman" w:hAnsi="Times New Roman" w:eastAsia="仿宋_GB2312"/>
          <w:b w:val="0"/>
          <w:bCs w:val="0"/>
          <w:lang w:val="en-US" w:eastAsia="zh-CN"/>
        </w:rPr>
        <w:t>97.78</w:t>
      </w:r>
      <w:r>
        <w:rPr>
          <w:rFonts w:hint="eastAsia" w:ascii="Times New Roman" w:hAnsi="Times New Roman" w:eastAsia="仿宋_GB2312"/>
          <w:b w:val="0"/>
          <w:bCs w:val="0"/>
        </w:rPr>
        <w:t>%。项目效益类指标权重为20分，得分为</w:t>
      </w:r>
      <w:r>
        <w:rPr>
          <w:rFonts w:hint="eastAsia" w:ascii="Times New Roman" w:hAnsi="Times New Roman" w:eastAsia="仿宋_GB2312"/>
          <w:b w:val="0"/>
          <w:bCs w:val="0"/>
          <w:lang w:val="en-US" w:eastAsia="zh-CN"/>
        </w:rPr>
        <w:t>20</w:t>
      </w:r>
      <w:r>
        <w:rPr>
          <w:rFonts w:hint="eastAsia" w:ascii="Times New Roman" w:hAnsi="Times New Roman" w:eastAsia="仿宋_GB2312"/>
          <w:b w:val="0"/>
          <w:bCs w:val="0"/>
        </w:rPr>
        <w:t>分，得分率为</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3"/>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19.71</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39.11</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98.82</w:t>
            </w:r>
          </w:p>
        </w:tc>
      </w:tr>
    </w:tbl>
    <w:p>
      <w:pPr>
        <w:spacing w:line="560" w:lineRule="exact"/>
        <w:rPr>
          <w:rFonts w:hint="eastAsia" w:ascii="Times New Roman" w:hAnsi="Times New Roman" w:eastAsia="黑体" w:cs="Times New Roman"/>
          <w:bCs/>
          <w:sz w:val="32"/>
          <w:szCs w:val="32"/>
          <w:lang w:val="en-US" w:eastAsia="zh-CN"/>
        </w:rPr>
      </w:pPr>
      <w:bookmarkStart w:id="11" w:name="_Toc68703837"/>
      <w:r>
        <w:rPr>
          <w:rFonts w:hint="eastAsia" w:ascii="Times New Roman" w:hAnsi="Times New Roman" w:eastAsia="黑体" w:cs="Times New Roman"/>
          <w:bCs/>
          <w:sz w:val="32"/>
          <w:szCs w:val="32"/>
          <w:lang w:val="en-US" w:eastAsia="zh-CN"/>
        </w:rPr>
        <w:t>四、绩效评价指标分析</w:t>
      </w:r>
      <w:bookmarkEnd w:id="11"/>
    </w:p>
    <w:p>
      <w:pPr>
        <w:spacing w:line="560" w:lineRule="exact"/>
        <w:rPr>
          <w:rFonts w:hint="eastAsia" w:ascii="Times New Roman" w:hAnsi="Times New Roman" w:eastAsia="楷体_GB2312" w:cs="Times New Roman"/>
          <w:b/>
          <w:bCs/>
          <w:kern w:val="2"/>
          <w:sz w:val="32"/>
          <w:szCs w:val="32"/>
          <w:lang w:val="en-US" w:eastAsia="zh-CN" w:bidi="ar-SA"/>
        </w:rPr>
      </w:pPr>
      <w:bookmarkStart w:id="12" w:name="_Toc68703838"/>
      <w:r>
        <w:rPr>
          <w:rFonts w:hint="eastAsia" w:ascii="Times New Roman" w:hAnsi="Times New Roman" w:eastAsia="楷体_GB2312" w:cs="Times New Roman"/>
          <w:b/>
          <w:bCs/>
          <w:kern w:val="2"/>
          <w:sz w:val="32"/>
          <w:szCs w:val="32"/>
          <w:lang w:val="en-US" w:eastAsia="zh-CN" w:bidi="ar-SA"/>
        </w:rPr>
        <w:t>（一）项目决策情况</w:t>
      </w:r>
      <w:bookmarkEnd w:id="12"/>
    </w:p>
    <w:p>
      <w:pPr>
        <w:pageBreakBefore w:val="0"/>
        <w:widowControl w:val="0"/>
        <w:kinsoku/>
        <w:wordWrap/>
        <w:overflowPunct/>
        <w:topLinePunct w:val="0"/>
        <w:autoSpaceDE/>
        <w:autoSpaceDN/>
        <w:bidi w:val="0"/>
        <w:adjustRightInd/>
        <w:snapToGrid/>
        <w:spacing w:line="560" w:lineRule="exact"/>
        <w:jc w:val="left"/>
        <w:textAlignment w:val="auto"/>
        <w:rPr>
          <w:rFonts w:hint="eastAsia"/>
          <w:lang w:val="en-US" w:eastAsia="zh-CN"/>
        </w:rPr>
      </w:pPr>
      <w:r>
        <w:rPr>
          <w:rFonts w:hint="eastAsia"/>
          <w:b w:val="0"/>
          <w:bCs w:val="0"/>
          <w:sz w:val="32"/>
          <w:szCs w:val="32"/>
          <w:lang w:val="en-US" w:eastAsia="zh-CN"/>
        </w:rPr>
        <w:t>　　项目决策类</w:t>
      </w:r>
      <w:r>
        <w:rPr>
          <w:rFonts w:hint="eastAsia"/>
          <w:b w:val="0"/>
          <w:bCs w:val="0"/>
          <w:color w:val="auto"/>
          <w:sz w:val="32"/>
          <w:szCs w:val="32"/>
          <w:lang w:val="en-US" w:eastAsia="zh-CN"/>
        </w:rPr>
        <w:t>指标包括项目立项、绩效目标和资金投入三方面的内容，由6个三级指标构成，权重分值为20分，实际得分20分，得分率为100%。</w:t>
      </w:r>
    </w:p>
    <w:p>
      <w:pPr>
        <w:pStyle w:val="22"/>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3"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3"/>
    <w:p>
      <w:pPr>
        <w:pStyle w:val="22"/>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w:t>
      </w:r>
      <w:r>
        <w:rPr>
          <w:rFonts w:hint="eastAsia" w:ascii="仿宋_GB2312" w:hAnsi="仿宋_GB2312" w:eastAsia="仿宋_GB2312" w:cs="仿宋_GB2312"/>
          <w:color w:val="auto"/>
          <w:sz w:val="32"/>
          <w:szCs w:val="32"/>
          <w:lang w:val="en-US" w:eastAsia="zh-CN"/>
        </w:rPr>
        <w:t>构成，权重分</w:t>
      </w:r>
      <w:r>
        <w:rPr>
          <w:rFonts w:hint="eastAsia" w:ascii="仿宋_GB2312" w:hAnsi="仿宋_GB2312" w:eastAsia="仿宋_GB2312" w:cs="仿宋_GB2312"/>
          <w:color w:val="auto"/>
          <w:sz w:val="32"/>
          <w:szCs w:val="32"/>
          <w:highlight w:val="none"/>
          <w:lang w:val="en-US" w:eastAsia="zh-CN"/>
        </w:rPr>
        <w:t>值为20分，实际得分</w:t>
      </w:r>
      <w:r>
        <w:rPr>
          <w:rFonts w:hint="eastAsia" w:ascii="仿宋_GB2312" w:hAnsi="仿宋_GB2312" w:cs="仿宋_GB2312"/>
          <w:color w:val="auto"/>
          <w:sz w:val="32"/>
          <w:szCs w:val="32"/>
          <w:highlight w:val="none"/>
          <w:lang w:val="en-US" w:eastAsia="zh-CN"/>
        </w:rPr>
        <w:t>19.71</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98.55</w:t>
      </w:r>
      <w:r>
        <w:rPr>
          <w:rFonts w:hint="eastAsia" w:ascii="仿宋_GB2312" w:hAnsi="仿宋_GB2312" w:eastAsia="仿宋_GB2312" w:cs="仿宋_GB2312"/>
          <w:color w:val="auto"/>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本项目总投资</w:t>
      </w:r>
      <w:r>
        <w:rPr>
          <w:rFonts w:hint="eastAsia"/>
          <w:color w:val="auto"/>
          <w:sz w:val="32"/>
          <w:szCs w:val="32"/>
          <w:highlight w:val="none"/>
          <w:lang w:val="en-US" w:eastAsia="zh-CN"/>
        </w:rPr>
        <w:t>758.97</w:t>
      </w:r>
      <w:r>
        <w:rPr>
          <w:rFonts w:hint="eastAsia" w:ascii="仿宋_GB2312" w:hAnsi="仿宋_GB2312" w:eastAsia="仿宋_GB2312" w:cs="仿宋_GB2312"/>
          <w:color w:val="auto"/>
          <w:sz w:val="32"/>
          <w:szCs w:val="32"/>
          <w:highlight w:val="none"/>
          <w:lang w:val="en-US" w:eastAsia="zh-CN"/>
        </w:rPr>
        <w:t>万元，财政资金及时足额到位，到位率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w:t>
      </w:r>
      <w:r>
        <w:rPr>
          <w:rFonts w:hint="eastAsia" w:ascii="仿宋_GB2312" w:hAnsi="仿宋_GB2312" w:cs="仿宋_GB2312"/>
          <w:sz w:val="32"/>
          <w:szCs w:val="32"/>
          <w:highlight w:val="none"/>
          <w:lang w:val="en-US" w:eastAsia="zh-CN"/>
        </w:rPr>
        <w:t>704.18</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92.78</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keepNext w:val="0"/>
        <w:keepLines w:val="0"/>
        <w:pageBreakBefore w:val="0"/>
        <w:widowControl w:val="0"/>
        <w:numPr>
          <w:numId w:val="0"/>
        </w:numPr>
        <w:kinsoku/>
        <w:wordWrap/>
        <w:overflowPunct/>
        <w:topLinePunct w:val="0"/>
        <w:autoSpaceDE/>
        <w:autoSpaceDN/>
        <w:bidi w:val="0"/>
        <w:adjustRightInd/>
        <w:snapToGrid/>
        <w:textAlignment w:val="auto"/>
        <w:outlineLvl w:val="9"/>
        <w:rPr>
          <w:rFonts w:hint="eastAsia" w:ascii="Times New Roman" w:hAnsi="Times New Roman" w:eastAsia="楷体_GB2312" w:cs="Times New Roman"/>
          <w:b/>
          <w:bCs/>
          <w:kern w:val="2"/>
          <w:sz w:val="32"/>
          <w:szCs w:val="32"/>
          <w:lang w:val="en-US" w:eastAsia="zh-CN" w:bidi="ar-SA"/>
        </w:rPr>
      </w:pPr>
      <w:bookmarkStart w:id="14" w:name="_Toc68703840"/>
      <w:r>
        <w:rPr>
          <w:rFonts w:hint="eastAsia" w:ascii="Times New Roman" w:hAnsi="Times New Roman" w:eastAsia="楷体_GB2312" w:cs="Times New Roman"/>
          <w:b/>
          <w:bCs/>
          <w:kern w:val="2"/>
          <w:sz w:val="32"/>
          <w:szCs w:val="32"/>
          <w:lang w:val="en-US" w:eastAsia="zh-CN" w:bidi="ar-SA"/>
        </w:rPr>
        <w:t>（三）项目产出情况</w:t>
      </w:r>
      <w:bookmarkEnd w:id="14"/>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w:t>
      </w:r>
      <w:r>
        <w:rPr>
          <w:rFonts w:hint="eastAsia" w:ascii="仿宋_GB2312" w:hAnsi="仿宋_GB2312" w:eastAsia="仿宋_GB2312" w:cs="仿宋_GB2312"/>
          <w:sz w:val="32"/>
          <w:szCs w:val="32"/>
          <w:highlight w:val="none"/>
          <w:lang w:val="en-US" w:eastAsia="zh-CN"/>
        </w:rPr>
        <w:t>，由</w:t>
      </w:r>
      <w:r>
        <w:rPr>
          <w:rFonts w:hint="eastAsia" w:ascii="仿宋_GB2312" w:hAnsi="仿宋_GB2312" w:cs="仿宋_GB2312"/>
          <w:sz w:val="32"/>
          <w:szCs w:val="32"/>
          <w:highlight w:val="none"/>
          <w:lang w:val="en-US" w:eastAsia="zh-CN"/>
        </w:rPr>
        <w:t>8</w:t>
      </w:r>
      <w:r>
        <w:rPr>
          <w:rFonts w:hint="eastAsia" w:ascii="仿宋_GB2312" w:hAnsi="仿宋_GB2312" w:eastAsia="仿宋_GB2312" w:cs="仿宋_GB2312"/>
          <w:sz w:val="32"/>
          <w:szCs w:val="32"/>
          <w:highlight w:val="none"/>
          <w:lang w:val="en-US" w:eastAsia="zh-CN"/>
        </w:rPr>
        <w:t>个三级指标构成，权重分为</w:t>
      </w:r>
      <w:r>
        <w:rPr>
          <w:rFonts w:hint="eastAsia" w:ascii="仿宋_GB2312" w:hAnsi="仿宋_GB2312" w:cs="仿宋_GB2312"/>
          <w:sz w:val="32"/>
          <w:szCs w:val="32"/>
          <w:highlight w:val="none"/>
          <w:lang w:val="en-US" w:eastAsia="zh-CN"/>
        </w:rPr>
        <w:t>40</w:t>
      </w:r>
      <w:r>
        <w:rPr>
          <w:rFonts w:hint="eastAsia" w:ascii="仿宋_GB2312" w:hAnsi="仿宋_GB2312" w:eastAsia="仿宋_GB2312" w:cs="仿宋_GB2312"/>
          <w:sz w:val="32"/>
          <w:szCs w:val="32"/>
          <w:highlight w:val="none"/>
          <w:lang w:val="en-US" w:eastAsia="zh-CN"/>
        </w:rPr>
        <w:t>分，实际得分</w:t>
      </w:r>
      <w:r>
        <w:rPr>
          <w:rFonts w:hint="eastAsia" w:ascii="仿宋_GB2312" w:hAnsi="仿宋_GB2312" w:cs="仿宋_GB2312"/>
          <w:sz w:val="32"/>
          <w:szCs w:val="32"/>
          <w:highlight w:val="none"/>
          <w:lang w:val="en-US" w:eastAsia="zh-CN"/>
        </w:rPr>
        <w:t>39.11</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97.78</w:t>
      </w:r>
      <w:r>
        <w:rPr>
          <w:rFonts w:hint="eastAsia" w:ascii="仿宋_GB2312" w:hAnsi="仿宋_GB2312" w:eastAsia="仿宋_GB2312" w:cs="仿宋_GB2312"/>
          <w:sz w:val="32"/>
          <w:szCs w:val="32"/>
          <w:highlight w:val="none"/>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color w:val="auto"/>
          <w:sz w:val="32"/>
          <w:szCs w:val="32"/>
        </w:rPr>
        <w:t>支付项目工程款数量，指标值：</w:t>
      </w:r>
      <w:r>
        <w:rPr>
          <w:rFonts w:hint="eastAsia" w:ascii="宋体" w:hAnsi="宋体" w:eastAsia="宋体" w:cs="宋体"/>
          <w:color w:val="auto"/>
          <w:sz w:val="32"/>
          <w:szCs w:val="32"/>
        </w:rPr>
        <w:t>≧</w:t>
      </w:r>
      <w:r>
        <w:rPr>
          <w:rFonts w:hint="eastAsia"/>
          <w:color w:val="auto"/>
          <w:sz w:val="32"/>
          <w:szCs w:val="32"/>
        </w:rPr>
        <w:t>4</w:t>
      </w:r>
      <w:r>
        <w:rPr>
          <w:rFonts w:hint="eastAsia"/>
          <w:color w:val="auto"/>
          <w:sz w:val="32"/>
          <w:szCs w:val="32"/>
          <w:lang w:val="en-US" w:eastAsia="zh-CN"/>
        </w:rPr>
        <w:t>个</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4个</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指标1：项目验收合格率，指标值：</w:t>
      </w:r>
      <w:r>
        <w:rPr>
          <w:rFonts w:hint="eastAsia"/>
          <w:color w:val="auto"/>
          <w:sz w:val="32"/>
          <w:szCs w:val="32"/>
          <w:lang w:val="en-US" w:eastAsia="zh-CN"/>
        </w:rPr>
        <w:t>=100%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lang w:eastAsia="zh-CN"/>
        </w:rPr>
      </w:pPr>
      <w:r>
        <w:rPr>
          <w:rFonts w:hint="eastAsia"/>
          <w:color w:val="auto"/>
          <w:sz w:val="32"/>
          <w:szCs w:val="32"/>
        </w:rPr>
        <w:t>指标2：</w:t>
      </w:r>
      <w:r>
        <w:rPr>
          <w:rFonts w:hint="eastAsia"/>
          <w:color w:val="auto"/>
          <w:sz w:val="32"/>
          <w:szCs w:val="32"/>
          <w:lang w:eastAsia="zh-CN"/>
        </w:rPr>
        <w:t>资金支付准确率</w:t>
      </w:r>
      <w:r>
        <w:rPr>
          <w:rFonts w:hint="eastAsia"/>
          <w:color w:val="auto"/>
          <w:sz w:val="32"/>
          <w:szCs w:val="32"/>
        </w:rPr>
        <w:t>，指标值：</w:t>
      </w:r>
      <w:r>
        <w:rPr>
          <w:rFonts w:hint="eastAsia"/>
          <w:color w:val="auto"/>
          <w:sz w:val="32"/>
          <w:szCs w:val="32"/>
          <w:lang w:val="en-US" w:eastAsia="zh-CN"/>
        </w:rPr>
        <w:t>=100%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bookmarkStart w:id="15" w:name="_Toc68703841"/>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项目资金支付及时率</w:t>
      </w:r>
      <w:r>
        <w:rPr>
          <w:rFonts w:hint="eastAsia" w:ascii="仿宋_GB2312" w:hAnsi="仿宋_GB2312" w:cs="仿宋_GB2312"/>
          <w:sz w:val="32"/>
          <w:szCs w:val="32"/>
          <w:highlight w:val="none"/>
          <w:lang w:eastAsia="zh-CN"/>
        </w:rPr>
        <w:t>，</w:t>
      </w:r>
      <w:r>
        <w:rPr>
          <w:rFonts w:hint="eastAsia"/>
          <w:color w:val="auto"/>
          <w:sz w:val="32"/>
          <w:szCs w:val="32"/>
        </w:rPr>
        <w:t>指标值：</w:t>
      </w:r>
      <w:r>
        <w:rPr>
          <w:rFonts w:hint="eastAsia"/>
          <w:color w:val="auto"/>
          <w:sz w:val="32"/>
          <w:szCs w:val="32"/>
          <w:lang w:val="en-US" w:eastAsia="zh-CN"/>
        </w:rPr>
        <w:t>=100%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pPr>
        <w:shd w:val="clear"/>
        <w:spacing w:line="600" w:lineRule="exact"/>
        <w:ind w:firstLine="640" w:firstLineChars="200"/>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指标1：老旧小区改造项目，指标值：</w:t>
      </w:r>
      <w:r>
        <w:rPr>
          <w:rFonts w:hint="eastAsia" w:ascii="宋体" w:hAnsi="宋体" w:eastAsia="宋体" w:cs="宋体"/>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500万元，实际完成值：500万元，指标完成率100%。</w:t>
      </w:r>
    </w:p>
    <w:p>
      <w:pPr>
        <w:shd w:val="clear"/>
        <w:spacing w:line="600" w:lineRule="exact"/>
        <w:ind w:firstLine="640" w:firstLineChars="200"/>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指标2：二氧化氯消毒设备购置项目，指标值：</w:t>
      </w:r>
      <w:r>
        <w:rPr>
          <w:rFonts w:hint="eastAsia" w:ascii="宋体" w:hAnsi="宋体" w:eastAsia="宋体" w:cs="宋体"/>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11.6万元，实际完成值：11.6万元，指标完成率100%。</w:t>
      </w:r>
    </w:p>
    <w:p>
      <w:pPr>
        <w:shd w:val="clear"/>
        <w:spacing w:line="600" w:lineRule="exact"/>
        <w:ind w:firstLine="640" w:firstLineChars="200"/>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指标3：污水处理厂升级改造工程建设项目，指标值：</w:t>
      </w:r>
      <w:r>
        <w:rPr>
          <w:rFonts w:hint="eastAsia" w:ascii="宋体" w:hAnsi="宋体" w:eastAsia="宋体" w:cs="宋体"/>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92.58万元，实际完成值：92.58万元，指标完成率100%。</w:t>
      </w:r>
    </w:p>
    <w:p>
      <w:pPr>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kern w:val="2"/>
          <w:sz w:val="32"/>
          <w:szCs w:val="32"/>
          <w:highlight w:val="yellow"/>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指标4：口岸配套区道路工程，指标值：</w:t>
      </w:r>
      <w:r>
        <w:rPr>
          <w:rFonts w:hint="eastAsia" w:ascii="宋体" w:hAnsi="宋体" w:eastAsia="宋体" w:cs="宋体"/>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154.79万元，实际完成值100万元，指标完成率64.6%，偏差原因：施工单位未能及时提供发票。</w:t>
      </w:r>
    </w:p>
    <w:p>
      <w:pPr>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（四）项目效益情况</w:t>
      </w:r>
      <w:bookmarkEnd w:id="15"/>
    </w:p>
    <w:p>
      <w:pPr>
        <w:shd w:val="clear"/>
        <w:spacing w:line="600" w:lineRule="exact"/>
        <w:ind w:firstLine="640" w:firstLineChars="200"/>
        <w:outlineLvl w:val="0"/>
        <w:rPr>
          <w:rFonts w:hint="eastAsia"/>
          <w:highlight w:val="none"/>
          <w:lang w:val="en-US" w:eastAsia="zh-CN"/>
        </w:rPr>
      </w:pPr>
      <w:r>
        <w:rPr>
          <w:rFonts w:hint="eastAsia" w:ascii="仿宋_GB2312" w:hAnsi="仿宋_GB2312" w:eastAsia="仿宋_GB2312" w:cs="仿宋_GB2312"/>
          <w:sz w:val="32"/>
          <w:szCs w:val="32"/>
          <w:lang w:val="en-US" w:eastAsia="zh-CN"/>
        </w:rPr>
        <w:t>项目效益类指标包括项</w:t>
      </w:r>
      <w:r>
        <w:rPr>
          <w:rFonts w:hint="eastAsia" w:ascii="仿宋_GB2312" w:hAnsi="仿宋_GB2312" w:eastAsia="仿宋_GB2312" w:cs="仿宋_GB2312"/>
          <w:sz w:val="32"/>
          <w:szCs w:val="32"/>
          <w:highlight w:val="none"/>
          <w:lang w:val="en-US" w:eastAsia="zh-CN"/>
        </w:rPr>
        <w:t>目实施效益和满意度两方面的内容，由</w:t>
      </w: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个三级指标构成，权重分为20分，实际得分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社会效益指标：</w:t>
      </w:r>
    </w:p>
    <w:p>
      <w:pPr>
        <w:shd w:val="clear"/>
        <w:spacing w:line="600" w:lineRule="exact"/>
        <w:ind w:firstLine="640" w:firstLineChars="200"/>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sz w:val="32"/>
          <w:szCs w:val="32"/>
          <w:highlight w:val="none"/>
        </w:rPr>
        <w:t>完善霍尔果斯配套区道路的建设</w:t>
      </w:r>
      <w:r>
        <w:rPr>
          <w:rFonts w:hint="eastAsia" w:ascii="仿宋_GB2312" w:hAnsi="仿宋_GB2312" w:cs="仿宋_GB2312"/>
          <w:sz w:val="32"/>
          <w:szCs w:val="32"/>
          <w:highlight w:val="none"/>
          <w:lang w:eastAsia="zh-CN"/>
        </w:rPr>
        <w:t>，</w:t>
      </w:r>
      <w:r>
        <w:rPr>
          <w:rFonts w:hint="eastAsia" w:ascii="仿宋_GB2312" w:hAnsi="仿宋_GB2312" w:eastAsia="仿宋_GB2312" w:cs="仿宋_GB2312"/>
          <w:b w:val="0"/>
          <w:bCs w:val="0"/>
          <w:kern w:val="2"/>
          <w:sz w:val="32"/>
          <w:szCs w:val="32"/>
          <w:highlight w:val="none"/>
          <w:lang w:val="en-US" w:eastAsia="zh-CN" w:bidi="ar-SA"/>
        </w:rPr>
        <w:t>指标值：</w:t>
      </w:r>
      <w:r>
        <w:rPr>
          <w:rFonts w:hint="eastAsia" w:ascii="仿宋_GB2312" w:hAnsi="仿宋_GB2312" w:eastAsia="仿宋_GB2312" w:cs="仿宋_GB2312"/>
          <w:sz w:val="32"/>
          <w:szCs w:val="32"/>
          <w:highlight w:val="none"/>
          <w:lang w:val="en-US" w:eastAsia="zh-CN"/>
        </w:rPr>
        <w:t>有效完善</w:t>
      </w:r>
      <w:r>
        <w:rPr>
          <w:rFonts w:hint="eastAsia" w:ascii="仿宋_GB2312" w:hAnsi="仿宋_GB2312" w:eastAsia="仿宋_GB2312" w:cs="仿宋_GB2312"/>
          <w:b w:val="0"/>
          <w:bCs w:val="0"/>
          <w:kern w:val="2"/>
          <w:sz w:val="32"/>
          <w:szCs w:val="32"/>
          <w:highlight w:val="none"/>
          <w:lang w:val="en-US" w:eastAsia="zh-CN" w:bidi="ar-SA"/>
        </w:rPr>
        <w:t>，实际完成值</w:t>
      </w:r>
      <w:r>
        <w:rPr>
          <w:rFonts w:hint="eastAsia" w:ascii="仿宋_GB2312" w:hAnsi="仿宋_GB2312" w:cs="仿宋_GB2312"/>
          <w:b w:val="0"/>
          <w:bCs w:val="0"/>
          <w:kern w:val="2"/>
          <w:sz w:val="32"/>
          <w:szCs w:val="32"/>
          <w:highlight w:val="none"/>
          <w:lang w:val="en-US" w:eastAsia="zh-CN" w:bidi="ar-SA"/>
        </w:rPr>
        <w:t>：有效完善</w:t>
      </w:r>
      <w:r>
        <w:rPr>
          <w:rFonts w:hint="eastAsia" w:ascii="仿宋_GB2312" w:hAnsi="仿宋_GB2312" w:eastAsia="仿宋_GB2312" w:cs="仿宋_GB2312"/>
          <w:b w:val="0"/>
          <w:bCs w:val="0"/>
          <w:kern w:val="2"/>
          <w:sz w:val="32"/>
          <w:szCs w:val="32"/>
          <w:highlight w:val="none"/>
          <w:lang w:val="en-US" w:eastAsia="zh-CN" w:bidi="ar-SA"/>
        </w:rPr>
        <w:t>，指标完成率</w:t>
      </w:r>
      <w:r>
        <w:rPr>
          <w:rFonts w:hint="eastAsia" w:ascii="仿宋_GB2312" w:hAnsi="仿宋_GB2312" w:cs="仿宋_GB2312"/>
          <w:b w:val="0"/>
          <w:bCs w:val="0"/>
          <w:kern w:val="2"/>
          <w:sz w:val="32"/>
          <w:szCs w:val="32"/>
          <w:highlight w:val="none"/>
          <w:lang w:val="en-US" w:eastAsia="zh-CN" w:bidi="ar-SA"/>
        </w:rPr>
        <w:t>100</w:t>
      </w:r>
      <w:r>
        <w:rPr>
          <w:rFonts w:hint="eastAsia" w:ascii="仿宋_GB2312" w:hAnsi="仿宋_GB2312" w:eastAsia="仿宋_GB2312" w:cs="仿宋_GB2312"/>
          <w:b w:val="0"/>
          <w:bCs w:val="0"/>
          <w:kern w:val="2"/>
          <w:sz w:val="32"/>
          <w:szCs w:val="32"/>
          <w:highlight w:val="none"/>
          <w:lang w:val="en-US" w:eastAsia="zh-CN" w:bidi="ar-SA"/>
        </w:rPr>
        <w:t>%</w:t>
      </w:r>
      <w:r>
        <w:rPr>
          <w:rFonts w:hint="eastAsia" w:ascii="仿宋_GB2312" w:hAnsi="仿宋_GB2312" w:cs="仿宋_GB2312"/>
          <w:b w:val="0"/>
          <w:bCs w:val="0"/>
          <w:kern w:val="2"/>
          <w:sz w:val="32"/>
          <w:szCs w:val="32"/>
          <w:highlight w:val="none"/>
          <w:lang w:val="en-US" w:eastAsia="zh-CN" w:bidi="ar-SA"/>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满意度指标：施工单位满意度</w:t>
      </w:r>
      <w:r>
        <w:rPr>
          <w:rFonts w:hint="eastAsia" w:ascii="仿宋_GB2312" w:hAnsi="仿宋_GB2312" w:cs="仿宋_GB2312"/>
          <w:sz w:val="32"/>
          <w:szCs w:val="32"/>
          <w:highlight w:val="none"/>
          <w:lang w:val="en-US" w:eastAsia="zh-CN"/>
        </w:rPr>
        <w:t>，</w:t>
      </w:r>
      <w:r>
        <w:rPr>
          <w:rFonts w:hint="eastAsia" w:ascii="仿宋_GB2312" w:hAnsi="仿宋_GB2312" w:eastAsia="仿宋_GB2312" w:cs="仿宋_GB2312"/>
          <w:b w:val="0"/>
          <w:bCs w:val="0"/>
          <w:kern w:val="2"/>
          <w:sz w:val="32"/>
          <w:szCs w:val="32"/>
          <w:highlight w:val="none"/>
          <w:lang w:val="en-US" w:eastAsia="zh-CN" w:bidi="ar-SA"/>
        </w:rPr>
        <w:t>指标值：</w:t>
      </w:r>
      <w:r>
        <w:rPr>
          <w:rFonts w:hint="eastAsia" w:ascii="宋体" w:hAnsi="宋体" w:eastAsia="宋体" w:cs="宋体"/>
          <w:b w:val="0"/>
          <w:bCs w:val="0"/>
          <w:kern w:val="2"/>
          <w:sz w:val="32"/>
          <w:szCs w:val="32"/>
          <w:highlight w:val="none"/>
          <w:lang w:val="en-US" w:eastAsia="zh-CN" w:bidi="ar-SA"/>
        </w:rPr>
        <w:t>≧95%</w:t>
      </w:r>
      <w:r>
        <w:rPr>
          <w:rFonts w:hint="eastAsia" w:ascii="仿宋_GB2312" w:hAnsi="仿宋_GB2312" w:eastAsia="仿宋_GB2312" w:cs="仿宋_GB2312"/>
          <w:b w:val="0"/>
          <w:bCs w:val="0"/>
          <w:kern w:val="2"/>
          <w:sz w:val="32"/>
          <w:szCs w:val="32"/>
          <w:highlight w:val="none"/>
          <w:lang w:val="en-US" w:eastAsia="zh-CN" w:bidi="ar-SA"/>
        </w:rPr>
        <w:t>，实际完成值</w:t>
      </w:r>
      <w:r>
        <w:rPr>
          <w:rFonts w:hint="eastAsia" w:ascii="仿宋_GB2312" w:hAnsi="仿宋_GB2312" w:cs="仿宋_GB2312"/>
          <w:b w:val="0"/>
          <w:bCs w:val="0"/>
          <w:kern w:val="2"/>
          <w:sz w:val="32"/>
          <w:szCs w:val="32"/>
          <w:highlight w:val="none"/>
          <w:lang w:val="en-US" w:eastAsia="zh-CN" w:bidi="ar-SA"/>
        </w:rPr>
        <w:t>：100%</w:t>
      </w:r>
      <w:r>
        <w:rPr>
          <w:rFonts w:hint="eastAsia" w:ascii="仿宋_GB2312" w:hAnsi="仿宋_GB2312" w:eastAsia="仿宋_GB2312" w:cs="仿宋_GB2312"/>
          <w:b w:val="0"/>
          <w:bCs w:val="0"/>
          <w:kern w:val="2"/>
          <w:sz w:val="32"/>
          <w:szCs w:val="32"/>
          <w:highlight w:val="none"/>
          <w:lang w:val="en-US" w:eastAsia="zh-CN" w:bidi="ar-SA"/>
        </w:rPr>
        <w:t>，指标完成率</w:t>
      </w:r>
      <w:r>
        <w:rPr>
          <w:rFonts w:hint="eastAsia" w:ascii="仿宋_GB2312" w:hAnsi="仿宋_GB2312" w:cs="仿宋_GB2312"/>
          <w:b w:val="0"/>
          <w:bCs w:val="0"/>
          <w:kern w:val="2"/>
          <w:sz w:val="32"/>
          <w:szCs w:val="32"/>
          <w:highlight w:val="none"/>
          <w:lang w:val="en-US" w:eastAsia="zh-CN" w:bidi="ar-SA"/>
        </w:rPr>
        <w:t>100</w:t>
      </w:r>
      <w:r>
        <w:rPr>
          <w:rFonts w:hint="eastAsia" w:ascii="仿宋_GB2312" w:hAnsi="仿宋_GB2312" w:eastAsia="仿宋_GB2312" w:cs="仿宋_GB2312"/>
          <w:b w:val="0"/>
          <w:bCs w:val="0"/>
          <w:kern w:val="2"/>
          <w:sz w:val="32"/>
          <w:szCs w:val="32"/>
          <w:highlight w:val="none"/>
          <w:lang w:val="en-US" w:eastAsia="zh-CN" w:bidi="ar-SA"/>
        </w:rPr>
        <w:t>%</w:t>
      </w:r>
      <w:r>
        <w:rPr>
          <w:rFonts w:hint="eastAsia" w:ascii="仿宋_GB2312" w:hAnsi="仿宋_GB2312" w:cs="仿宋_GB2312"/>
          <w:b w:val="0"/>
          <w:bCs w:val="0"/>
          <w:kern w:val="2"/>
          <w:sz w:val="32"/>
          <w:szCs w:val="32"/>
          <w:highlight w:val="none"/>
          <w:lang w:val="en-US" w:eastAsia="zh-CN" w:bidi="ar-SA"/>
        </w:rPr>
        <w:t>。</w:t>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2"/>
        <w:spacing w:line="560" w:lineRule="exact"/>
        <w:ind w:firstLine="64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霍尔果斯历史建设项目工程款项目年初预算</w:t>
      </w:r>
      <w:r>
        <w:rPr>
          <w:rFonts w:hint="eastAsia"/>
          <w:color w:val="auto"/>
          <w:sz w:val="32"/>
          <w:szCs w:val="32"/>
          <w:lang w:val="en-US" w:eastAsia="zh-CN"/>
        </w:rPr>
        <w:t>758.97</w:t>
      </w:r>
      <w:r>
        <w:rPr>
          <w:rFonts w:hint="eastAsia" w:ascii="仿宋_GB2312" w:hAnsi="仿宋_GB2312" w:eastAsia="仿宋_GB2312" w:cs="仿宋_GB2312"/>
          <w:color w:val="auto"/>
          <w:kern w:val="2"/>
          <w:sz w:val="32"/>
          <w:szCs w:val="32"/>
          <w:lang w:val="en-US" w:eastAsia="zh-CN" w:bidi="ar-SA"/>
        </w:rPr>
        <w:t>万元，全年预算</w:t>
      </w:r>
      <w:r>
        <w:rPr>
          <w:rFonts w:hint="eastAsia"/>
          <w:color w:val="auto"/>
          <w:sz w:val="32"/>
          <w:szCs w:val="32"/>
          <w:lang w:val="en-US" w:eastAsia="zh-CN"/>
        </w:rPr>
        <w:t>758.97</w:t>
      </w:r>
      <w:r>
        <w:rPr>
          <w:rFonts w:hint="eastAsia" w:ascii="仿宋_GB2312" w:hAnsi="仿宋_GB2312" w:eastAsia="仿宋_GB2312" w:cs="仿宋_GB2312"/>
          <w:color w:val="auto"/>
          <w:kern w:val="2"/>
          <w:sz w:val="32"/>
          <w:szCs w:val="32"/>
          <w:lang w:val="en-US" w:eastAsia="zh-CN" w:bidi="ar-SA"/>
        </w:rPr>
        <w:t>万元，实际支出</w:t>
      </w:r>
      <w:r>
        <w:rPr>
          <w:rFonts w:hint="eastAsia" w:ascii="仿宋_GB2312" w:hAnsi="仿宋_GB2312" w:cs="仿宋_GB2312"/>
          <w:color w:val="auto"/>
          <w:kern w:val="2"/>
          <w:sz w:val="32"/>
          <w:szCs w:val="32"/>
          <w:lang w:val="en-US" w:eastAsia="zh-CN" w:bidi="ar-SA"/>
        </w:rPr>
        <w:t>704.18</w:t>
      </w:r>
      <w:r>
        <w:rPr>
          <w:rFonts w:hint="eastAsia" w:ascii="仿宋_GB2312" w:hAnsi="仿宋_GB2312" w:eastAsia="仿宋_GB2312" w:cs="仿宋_GB2312"/>
          <w:color w:val="auto"/>
          <w:kern w:val="2"/>
          <w:sz w:val="32"/>
          <w:szCs w:val="32"/>
          <w:lang w:val="en-US" w:eastAsia="zh-CN" w:bidi="ar-SA"/>
        </w:rPr>
        <w:t>万元，预算执行率为</w:t>
      </w:r>
      <w:r>
        <w:rPr>
          <w:rFonts w:hint="eastAsia" w:ascii="仿宋_GB2312" w:hAnsi="仿宋_GB2312" w:cs="仿宋_GB2312"/>
          <w:color w:val="auto"/>
          <w:kern w:val="2"/>
          <w:sz w:val="32"/>
          <w:szCs w:val="32"/>
          <w:lang w:val="en-US" w:eastAsia="zh-CN" w:bidi="ar-SA"/>
        </w:rPr>
        <w:t>92.78</w:t>
      </w:r>
      <w:r>
        <w:rPr>
          <w:rFonts w:hint="eastAsia" w:ascii="仿宋_GB2312" w:hAnsi="仿宋_GB2312" w:eastAsia="仿宋_GB2312" w:cs="仿宋_GB2312"/>
          <w:color w:val="auto"/>
          <w:kern w:val="2"/>
          <w:sz w:val="32"/>
          <w:szCs w:val="32"/>
          <w:lang w:val="en-US" w:eastAsia="zh-CN" w:bidi="ar-SA"/>
        </w:rPr>
        <w:t>%，项目绩效指标总体完成率为</w:t>
      </w:r>
      <w:r>
        <w:rPr>
          <w:rFonts w:hint="eastAsia" w:ascii="仿宋_GB2312" w:hAnsi="仿宋_GB2312" w:cs="仿宋_GB2312"/>
          <w:color w:val="auto"/>
          <w:kern w:val="2"/>
          <w:sz w:val="32"/>
          <w:szCs w:val="32"/>
          <w:lang w:val="en-US" w:eastAsia="zh-CN" w:bidi="ar-SA"/>
        </w:rPr>
        <w:t>96.96</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总体</w:t>
      </w:r>
      <w:r>
        <w:rPr>
          <w:rFonts w:hint="eastAsia" w:ascii="仿宋_GB2312" w:hAnsi="仿宋_GB2312" w:eastAsia="仿宋_GB2312" w:cs="仿宋_GB2312"/>
          <w:color w:val="auto"/>
          <w:kern w:val="2"/>
          <w:sz w:val="32"/>
          <w:szCs w:val="32"/>
          <w:lang w:val="en-US" w:eastAsia="zh-CN" w:bidi="ar-SA"/>
        </w:rPr>
        <w:t>偏差率为</w:t>
      </w:r>
      <w:r>
        <w:rPr>
          <w:rFonts w:hint="eastAsia" w:ascii="仿宋_GB2312" w:hAnsi="仿宋_GB2312" w:cs="仿宋_GB2312"/>
          <w:color w:val="auto"/>
          <w:kern w:val="2"/>
          <w:sz w:val="32"/>
          <w:szCs w:val="32"/>
          <w:lang w:val="en-US" w:eastAsia="zh-CN" w:bidi="ar-SA"/>
        </w:rPr>
        <w:t>3.04</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偏差</w:t>
      </w:r>
      <w:r>
        <w:rPr>
          <w:rFonts w:hint="eastAsia" w:ascii="仿宋_GB2312" w:hAnsi="仿宋_GB2312" w:eastAsia="仿宋_GB2312" w:cs="仿宋_GB2312"/>
          <w:color w:val="auto"/>
          <w:kern w:val="2"/>
          <w:sz w:val="32"/>
          <w:szCs w:val="32"/>
          <w:lang w:val="en-US" w:eastAsia="zh-CN" w:bidi="ar-SA"/>
        </w:rPr>
        <w:t>原因</w:t>
      </w:r>
      <w:r>
        <w:rPr>
          <w:rFonts w:hint="eastAsia" w:ascii="仿宋_GB2312" w:hAnsi="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CN" w:bidi="ar-SA"/>
        </w:rPr>
        <w:t>项目工程款未</w:t>
      </w:r>
      <w:r>
        <w:rPr>
          <w:rFonts w:hint="eastAsia" w:ascii="仿宋_GB2312" w:hAnsi="仿宋_GB2312" w:cs="仿宋_GB2312"/>
          <w:color w:val="auto"/>
          <w:kern w:val="2"/>
          <w:sz w:val="32"/>
          <w:szCs w:val="32"/>
          <w:lang w:val="en-US" w:eastAsia="zh-CN" w:bidi="ar-SA"/>
        </w:rPr>
        <w:t>能</w:t>
      </w:r>
      <w:r>
        <w:rPr>
          <w:rFonts w:hint="eastAsia" w:ascii="仿宋_GB2312" w:hAnsi="仿宋_GB2312" w:eastAsia="仿宋_GB2312" w:cs="仿宋_GB2312"/>
          <w:color w:val="auto"/>
          <w:kern w:val="2"/>
          <w:sz w:val="32"/>
          <w:szCs w:val="32"/>
          <w:lang w:val="en-US" w:eastAsia="zh-CN" w:bidi="ar-SA"/>
        </w:rPr>
        <w:t>按预算支出完成</w:t>
      </w:r>
      <w:r>
        <w:rPr>
          <w:rFonts w:hint="eastAsia" w:ascii="仿宋_GB2312" w:hAnsi="仿宋_GB2312" w:cs="仿宋_GB2312"/>
          <w:color w:val="auto"/>
          <w:kern w:val="2"/>
          <w:sz w:val="32"/>
          <w:szCs w:val="32"/>
          <w:lang w:val="en-US" w:eastAsia="zh-CN" w:bidi="ar-SA"/>
        </w:rPr>
        <w:t>，施工方未能及时提供发票</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改进</w:t>
      </w:r>
      <w:r>
        <w:rPr>
          <w:rFonts w:hint="eastAsia" w:ascii="仿宋_GB2312" w:hAnsi="仿宋_GB2312" w:eastAsia="仿宋_GB2312" w:cs="仿宋_GB2312"/>
          <w:color w:val="auto"/>
          <w:kern w:val="2"/>
          <w:sz w:val="32"/>
          <w:szCs w:val="32"/>
          <w:lang w:val="en-US" w:eastAsia="zh-CN" w:bidi="ar-SA"/>
        </w:rPr>
        <w:t>措施：科学合理编制预算，要做好编制前的调查研究和分析工作，进一步提高预算的准确性和科学性，减少预算编制的随意性。</w:t>
      </w:r>
    </w:p>
    <w:p/>
    <w:p>
      <w:pPr>
        <w:spacing w:line="560" w:lineRule="exact"/>
        <w:rPr>
          <w:rFonts w:hint="eastAsia" w:ascii="Times New Roman" w:hAnsi="Times New Roman" w:eastAsia="黑体" w:cs="Times New Roman"/>
          <w:bCs/>
          <w:sz w:val="32"/>
          <w:szCs w:val="32"/>
          <w:lang w:val="en-US" w:eastAsia="zh-CN"/>
        </w:rPr>
      </w:pPr>
      <w:bookmarkStart w:id="16"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6"/>
    </w:p>
    <w:p>
      <w:pPr>
        <w:spacing w:line="560" w:lineRule="exact"/>
        <w:rPr>
          <w:rFonts w:hint="eastAsia" w:ascii="Times New Roman" w:hAnsi="Times New Roman" w:eastAsia="楷体_GB2312" w:cs="Times New Roman"/>
          <w:b/>
          <w:bCs/>
          <w:kern w:val="2"/>
          <w:sz w:val="32"/>
          <w:szCs w:val="32"/>
          <w:lang w:val="en-US" w:eastAsia="zh-CN" w:bidi="ar-SA"/>
        </w:rPr>
      </w:pPr>
      <w:bookmarkStart w:id="17" w:name="_Toc68703843"/>
      <w:r>
        <w:rPr>
          <w:rFonts w:hint="eastAsia" w:ascii="Times New Roman" w:hAnsi="Times New Roman" w:eastAsia="楷体_GB2312" w:cs="Times New Roman"/>
          <w:b/>
          <w:bCs/>
          <w:kern w:val="2"/>
          <w:sz w:val="32"/>
          <w:szCs w:val="32"/>
          <w:lang w:val="en-US" w:eastAsia="zh-CN" w:bidi="ar-SA"/>
        </w:rPr>
        <w:t>（一）主要经验及做法</w:t>
      </w:r>
      <w:bookmarkEnd w:id="17"/>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w:t>
      </w:r>
      <w:r>
        <w:rPr>
          <w:rFonts w:hint="eastAsia"/>
          <w:sz w:val="32"/>
          <w:szCs w:val="32"/>
          <w:lang w:val="en-US" w:eastAsia="zh-CN"/>
        </w:rPr>
        <w:t xml:space="preserve">                                                                                                                                                                                                                                                                                                                                                                                                                                                                                                                                                                                                                                                                                                                                                                                                                                                                                                                                                                                                                                                                                                                                                                                                                                                                                                                                                                                                                                                                                                                                                                                                                                                                                                                                                                                                                                                                                                                                                                                                                                                                                                                                                                                                                                                                                                                                                                                                                                                                                                                                                                                                                                                                                                                                                                                                                                                                                                                                                                                                                                                                                                                                                                                                                                                                                                                                                                                                                                                                                                                                                                                                                                                                                                                                                                                                                                                                                                                                                                                                                                                                                                                                                                                                                </w:t>
      </w:r>
      <w:r>
        <w:rPr>
          <w:rFonts w:hint="eastAsia"/>
          <w:sz w:val="32"/>
          <w:szCs w:val="32"/>
          <w:lang w:val="en-US" w:eastAsia="zh-CN"/>
        </w:rPr>
        <w:t xml:space="preserve">                                                                                                                                                                                                                                                                                                                                                                                                                                                                                                                                                                                                                                                                                                                                                                                                                                                                                                                                                                                                                                                                                                                                                                                                                                                                                                                                                                                                                                                                                                                                                                                                                                                                                                                                                                                                                                                                                                                                                                                                                                                                                                                                                                               </w:t>
      </w:r>
      <w:r>
        <w:rPr>
          <w:rFonts w:eastAsia="仿宋_GB2312"/>
          <w:sz w:val="32"/>
          <w:szCs w:val="32"/>
        </w:rPr>
        <w:t>管理规范进行，在项目资金使用过程中，严格落实把关，按照项目资金使用范围做好审核工作，让项目资金落于实处。在项目完成后，做好受益群众民意调查及项目防范工作。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18"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8"/>
      <w:r>
        <w:rPr>
          <w:rFonts w:hint="eastAsia" w:ascii="Times New Roman" w:hAnsi="Times New Roman" w:eastAsia="楷体_GB2312" w:cs="Times New Roman"/>
          <w:b/>
          <w:bCs/>
          <w:kern w:val="2"/>
          <w:sz w:val="32"/>
          <w:szCs w:val="32"/>
          <w:lang w:val="en-US" w:eastAsia="zh-CN" w:bidi="ar-SA"/>
        </w:rPr>
        <w:t>　</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1.</w:t>
      </w:r>
      <w:r>
        <w:rPr>
          <w:rFonts w:hint="eastAsia" w:ascii="仿宋_GB2312" w:hAnsi="仿宋_GB2312" w:eastAsia="仿宋_GB2312" w:cs="仿宋_GB2312"/>
          <w:sz w:val="32"/>
          <w:szCs w:val="32"/>
          <w:highlight w:val="none"/>
          <w:lang w:val="en-US" w:eastAsia="zh-CN"/>
        </w:rPr>
        <w:t>项目实施过程中，项目管理方面欠缺经验，部分事项协调处理不及时，施工单位安全生产意识淡薄。单位内部预算绩效工作有待进一步提高，工作职责分工，业务流程设计，存在责任不清，被动应付的情况。部门单位预算绩效管理质量和水平不高。绩效目标设置需要进一步加强编制的合理性，不能客观准确的反映项目建设实效。</w:t>
      </w:r>
      <w:bookmarkStart w:id="19" w:name="_Toc68703845"/>
    </w:p>
    <w:p>
      <w:pPr>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0"/>
        <w:rPr>
          <w:rFonts w:hint="eastAsia" w:ascii="Times New Roman" w:hAnsi="Times New Roman" w:eastAsia="仿宋_GB2312" w:cs="Times New Roman"/>
          <w:b w:val="0"/>
          <w:bCs w:val="0"/>
          <w:color w:val="FF0000"/>
          <w:kern w:val="2"/>
          <w:sz w:val="32"/>
          <w:szCs w:val="32"/>
          <w:lang w:val="en-US" w:eastAsia="zh-CN" w:bidi="ar-SA"/>
        </w:rPr>
      </w:pPr>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9"/>
      <w:r>
        <w:rPr>
          <w:rFonts w:hint="eastAsia" w:ascii="Times New Roman" w:hAnsi="Times New Roman" w:eastAsia="黑体" w:cs="Times New Roman"/>
          <w:b w:val="0"/>
          <w:bCs/>
          <w:kern w:val="2"/>
          <w:sz w:val="32"/>
          <w:szCs w:val="32"/>
          <w:lang w:val="en-US" w:eastAsia="zh-CN" w:bidi="ar-SA"/>
        </w:rPr>
        <w:t>　</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1</w:t>
      </w:r>
      <w:r>
        <w:rPr>
          <w:rFonts w:hint="eastAsia" w:ascii="仿宋_GB2312" w:hAnsi="仿宋_GB2312" w:eastAsia="仿宋_GB2312" w:cs="仿宋_GB2312"/>
          <w:sz w:val="32"/>
          <w:szCs w:val="32"/>
          <w:highlight w:val="none"/>
          <w:lang w:val="en-US" w:eastAsia="zh-CN"/>
        </w:rPr>
        <w:t>.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bookmarkStart w:id="20" w:name="_Toc68703846"/>
    </w:p>
    <w:p>
      <w:pPr>
        <w:shd w:val="clear"/>
        <w:spacing w:line="600" w:lineRule="exact"/>
        <w:outlineLvl w:val="0"/>
        <w:rPr>
          <w:rFonts w:hint="eastAsia" w:ascii="黑体" w:hAnsi="黑体" w:eastAsia="黑体" w:cs="黑体"/>
          <w:sz w:val="32"/>
          <w:szCs w:val="32"/>
        </w:rPr>
      </w:pPr>
      <w:r>
        <w:rPr>
          <w:rFonts w:hint="eastAsia" w:ascii="黑体" w:hAnsi="黑体" w:eastAsia="黑体" w:cs="黑体"/>
          <w:sz w:val="32"/>
          <w:szCs w:val="32"/>
          <w:lang w:eastAsia="zh-CN"/>
        </w:rPr>
        <w:t>八</w:t>
      </w:r>
      <w:r>
        <w:rPr>
          <w:rFonts w:hint="eastAsia" w:ascii="黑体" w:hAnsi="黑体" w:eastAsia="黑体" w:cs="黑体"/>
          <w:sz w:val="32"/>
          <w:szCs w:val="32"/>
        </w:rPr>
        <w:t>、其他需要说明的问题</w:t>
      </w:r>
      <w:bookmarkEnd w:id="20"/>
    </w:p>
    <w:p>
      <w:pPr>
        <w:pageBreakBefore w:val="0"/>
        <w:widowControl w:val="0"/>
        <w:kinsoku/>
        <w:wordWrap/>
        <w:overflowPunct/>
        <w:topLinePunct w:val="0"/>
        <w:autoSpaceDE/>
        <w:autoSpaceDN/>
        <w:bidi w:val="0"/>
        <w:adjustRightInd/>
        <w:snapToGrid/>
        <w:spacing w:line="560" w:lineRule="exact"/>
        <w:textAlignment w:val="auto"/>
      </w:pPr>
      <w:r>
        <w:rPr>
          <w:rFonts w:hint="eastAsia" w:ascii="仿宋_GB2312" w:hAnsi="仿宋_GB2312" w:cs="仿宋_GB2312"/>
          <w:sz w:val="32"/>
          <w:szCs w:val="32"/>
          <w:lang w:eastAsia="zh-CN"/>
        </w:rPr>
        <w:t>　　　</w:t>
      </w:r>
      <w:r>
        <w:rPr>
          <w:rFonts w:hint="eastAsia" w:ascii="仿宋_GB2312" w:hAnsi="仿宋_GB2312" w:eastAsia="仿宋_GB2312" w:cs="仿宋_GB2312"/>
          <w:sz w:val="32"/>
          <w:szCs w:val="32"/>
          <w:lang w:eastAsia="zh-Hans"/>
        </w:rPr>
        <w:t>本项目无其他需说明的问题</w:t>
      </w:r>
      <w:r>
        <w:rPr>
          <w:rFonts w:hint="eastAsia" w:ascii="仿宋_GB2312" w:hAnsi="仿宋_GB2312" w:cs="仿宋_GB2312"/>
          <w:sz w:val="32"/>
          <w:szCs w:val="32"/>
          <w:lang w:eastAsia="zh-CN"/>
        </w:rPr>
        <w:t>。</w:t>
      </w:r>
      <w:bookmarkStart w:id="23" w:name="_GoBack"/>
      <w:bookmarkEnd w:id="23"/>
    </w:p>
    <w:p>
      <w:pPr>
        <w:sectPr>
          <w:headerReference r:id="rId3" w:type="default"/>
          <w:pgSz w:w="11906" w:h="16838"/>
          <w:pgMar w:top="1928" w:right="1531" w:bottom="1701" w:left="1531" w:header="737" w:footer="851" w:gutter="0"/>
          <w:cols w:space="720" w:num="1"/>
          <w:docGrid w:type="lines" w:linePitch="408" w:charSpace="0"/>
        </w:sectPr>
      </w:pPr>
    </w:p>
    <w:tbl>
      <w:tblPr>
        <w:tblStyle w:val="13"/>
        <w:tblpPr w:leftFromText="180" w:rightFromText="180" w:vertAnchor="text" w:horzAnchor="page" w:tblpX="3720" w:tblpY="582"/>
        <w:tblOverlap w:val="never"/>
        <w:tblW w:w="8834" w:type="dxa"/>
        <w:tblInd w:w="0" w:type="dxa"/>
        <w:tblLayout w:type="fixed"/>
        <w:tblCellMar>
          <w:top w:w="0" w:type="dxa"/>
          <w:left w:w="0" w:type="dxa"/>
          <w:bottom w:w="0" w:type="dxa"/>
          <w:right w:w="0" w:type="dxa"/>
        </w:tblCellMar>
      </w:tblPr>
      <w:tblGrid>
        <w:gridCol w:w="695"/>
        <w:gridCol w:w="695"/>
        <w:gridCol w:w="695"/>
        <w:gridCol w:w="695"/>
        <w:gridCol w:w="646"/>
        <w:gridCol w:w="405"/>
        <w:gridCol w:w="967"/>
        <w:gridCol w:w="859"/>
        <w:gridCol w:w="560"/>
        <w:gridCol w:w="501"/>
        <w:gridCol w:w="570"/>
        <w:gridCol w:w="396"/>
        <w:gridCol w:w="454"/>
        <w:gridCol w:w="696"/>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eastAsia="方正小标宋简体"/>
                <w:b/>
                <w:sz w:val="32"/>
                <w:szCs w:val="32"/>
                <w:u w:val="single"/>
              </w:rPr>
            </w:pPr>
            <w:r>
              <w:rPr>
                <w:rFonts w:hint="eastAsia" w:ascii="宋体" w:hAnsi="宋体" w:eastAsia="宋体" w:cs="宋体"/>
                <w:b/>
                <w:i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项目名称</w:t>
            </w:r>
          </w:p>
        </w:tc>
        <w:tc>
          <w:tcPr>
            <w:tcW w:w="7444"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霍尔果斯历史建设项目工程款</w:t>
            </w:r>
          </w:p>
        </w:tc>
      </w:tr>
      <w:tr>
        <w:tblPrEx>
          <w:tblLayout w:type="fixed"/>
          <w:tblCellMar>
            <w:top w:w="0" w:type="dxa"/>
            <w:left w:w="0" w:type="dxa"/>
            <w:bottom w:w="0" w:type="dxa"/>
            <w:right w:w="0" w:type="dxa"/>
          </w:tblCellMar>
        </w:tblPrEx>
        <w:trPr>
          <w:trHeight w:val="276" w:hRule="atLeast"/>
        </w:trPr>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主管部门</w:t>
            </w:r>
          </w:p>
        </w:tc>
        <w:tc>
          <w:tcPr>
            <w:tcW w:w="3408"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eastAsia="zh-CN" w:bidi="ar"/>
              </w:rPr>
            </w:pPr>
            <w:r>
              <w:rPr>
                <w:rFonts w:hint="eastAsia" w:ascii="宋体" w:hAnsi="宋体" w:eastAsia="宋体" w:cs="宋体"/>
                <w:i w:val="0"/>
                <w:color w:val="000000"/>
                <w:kern w:val="0"/>
                <w:sz w:val="20"/>
                <w:szCs w:val="20"/>
                <w:u w:val="none"/>
                <w:lang w:val="en-US" w:eastAsia="zh-CN" w:bidi="ar"/>
              </w:rPr>
              <w:t>霍尔果斯市住房和城乡建设局</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实施单位</w:t>
            </w:r>
          </w:p>
        </w:tc>
        <w:tc>
          <w:tcPr>
            <w:tcW w:w="2617"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霍尔果斯市住房和城乡建设局</w:t>
            </w:r>
          </w:p>
        </w:tc>
      </w:tr>
      <w:tr>
        <w:tblPrEx>
          <w:tblLayout w:type="fixed"/>
          <w:tblCellMar>
            <w:top w:w="0" w:type="dxa"/>
            <w:left w:w="0" w:type="dxa"/>
            <w:bottom w:w="0" w:type="dxa"/>
            <w:right w:w="0" w:type="dxa"/>
          </w:tblCellMar>
        </w:tblPrEx>
        <w:trPr>
          <w:trHeight w:val="276" w:hRule="atLeast"/>
        </w:trPr>
        <w:tc>
          <w:tcPr>
            <w:tcW w:w="13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年初预算数</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全年预算数</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全年执行数</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分值</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年度资金总额</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758.97</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0"/>
                <w:szCs w:val="20"/>
                <w:u w:val="none"/>
                <w:lang w:val="en-US" w:eastAsia="zh-CN" w:bidi="ar"/>
              </w:rPr>
              <w:t>758.97</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color w:val="000000"/>
                <w:kern w:val="0"/>
                <w:sz w:val="20"/>
                <w:szCs w:val="20"/>
                <w:u w:val="none"/>
                <w:lang w:val="en-US" w:eastAsia="zh-CN" w:bidi="ar"/>
              </w:rPr>
              <w:t>704.18</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92.78%</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0"/>
                <w:szCs w:val="20"/>
                <w:u w:val="none"/>
                <w:lang w:val="en-US" w:eastAsia="zh-CN" w:bidi="ar"/>
              </w:rPr>
              <w:t>9.28分</w:t>
            </w:r>
          </w:p>
        </w:tc>
      </w:tr>
      <w:tr>
        <w:tblPrEx>
          <w:tblLayout w:type="fixed"/>
          <w:tblCellMar>
            <w:top w:w="0" w:type="dxa"/>
            <w:left w:w="0" w:type="dxa"/>
            <w:bottom w:w="0" w:type="dxa"/>
            <w:right w:w="0" w:type="dxa"/>
          </w:tblCellMar>
        </w:tblPrEx>
        <w:trPr>
          <w:trHeight w:val="638"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其中：当年财政拨款</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758.97</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758.97</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704.18</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      上年结转资金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  其他资金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年度总体目标</w:t>
            </w: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预期目标</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霍尔果斯口岸配套区道路工程。建设内容：新建F路2426米、天津路480米、西域路330米及其配套附属设施。该项目的实施极大改善霍尔果斯市的交通环境，为企业发展提供便利基础，切实提高人民的生活水平，对霍尔果斯市的经济发展具有深远的影响。</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2.霍尔果斯市2020年老旧小区基础设施建设项目。解决老旧住宅小区基础设施薄弱，消防、电梯等设施老旧，存在安全隐患，规划布局不合理，无法满足居民目前居住生活需求。</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霍尔果斯市住建局（供排水）二氧化氯消毒设备购置项目。本工程是采购安装项目，项目的完成将有效地改善霍尔果斯市的民生问题，加快霍尔果斯市的发展，保护居民的身体健康，对水资源的科学开发利用也是非常有益的。</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4.霍尔果斯经济开发区污水处理厂升级改造工程建设项目。新建尾水车间、滤布滤池车间; 工艺提升改造设备添置:工艺设备补缺;改造村料，安装调试:补漏部分。在线监测设备采购及安装工程: 水质在线检测分析仪、超声波明渠流量计、氨氮检测仪、数据采集传输仪，PH在线分析仪、巴歇尔槽、两间 9 平方米检测站房等。项目已于2015年12月完工投入使用。</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1.霍尔果斯口岸配套区道路工程。建设内容：新建F路2426米、天津路480米、西域路330米及其配套附属设施。该项目在2023年12月31日之前已支付完成100万元。</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2.霍尔果斯市2020年老旧小区基础设施建设项目。该项目在2023年12月31日之前已支付完成500万元。</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3.霍尔果斯市住建局（供排水）二氧化氯消毒设备购置项目。本工程是采购安装项目，该项目在2023年12月31日之前已支付完成11.6万元。</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4.霍尔果斯经济开发区污水处理厂升级改造工程建设项目。新建尾水车间、滤布滤池车间; 工艺提升改造设备添置:工艺设备补缺;改造村料，安装调试:补漏部分。在线监测设备采购及安装工程: 水质在线检测分析仪、超声波明渠流量计、氨氮检测仪、数据采集传输仪，PH在线分析仪、巴歇尔槽、两间 9 平方米检测站房等。该项目在2023年12月31日之前已支付完成92.58万元。</w:t>
            </w:r>
          </w:p>
        </w:tc>
      </w:tr>
      <w:tr>
        <w:tblPrEx>
          <w:tblLayout w:type="fixed"/>
          <w:tblCellMar>
            <w:top w:w="0" w:type="dxa"/>
            <w:left w:w="0" w:type="dxa"/>
            <w:bottom w:w="0" w:type="dxa"/>
            <w:right w:w="0" w:type="dxa"/>
          </w:tblCellMar>
        </w:tblPrEx>
        <w:trPr>
          <w:trHeight w:val="408"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一级指标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二级指标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三级指标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年度指标值</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实际完成值</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分值</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得分</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695"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年度绩效指标完成情况</w:t>
            </w:r>
          </w:p>
        </w:tc>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产出指标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20"/>
                <w:szCs w:val="20"/>
                <w:u w:val="none"/>
                <w:lang w:val="en-US" w:eastAsia="zh-CN" w:bidi="ar"/>
              </w:rPr>
              <w:t>支付项目工程款数量</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&gt;=4个</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4个</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eastAsia="仿宋_GB2312"/>
                <w:lang w:val="en-US" w:eastAsia="zh-CN"/>
              </w:rPr>
            </w:pPr>
            <w:r>
              <w:rPr>
                <w:rFonts w:hint="eastAsia" w:ascii="宋体" w:hAnsi="宋体" w:eastAsia="宋体" w:cs="宋体"/>
                <w:i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20"/>
                <w:szCs w:val="20"/>
                <w:u w:val="none"/>
                <w:lang w:val="en-US" w:eastAsia="zh-CN" w:bidi="ar"/>
              </w:rPr>
              <w:t>项目验收合格率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eastAsia="仿宋_GB2312"/>
                <w:lang w:val="en-US" w:eastAsia="zh-CN"/>
              </w:rPr>
            </w:pPr>
            <w:r>
              <w:rPr>
                <w:rFonts w:hint="eastAsia" w:ascii="宋体" w:hAnsi="宋体" w:eastAsia="宋体" w:cs="宋体"/>
                <w:i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sz w:val="20"/>
                <w:szCs w:val="20"/>
              </w:rPr>
            </w:pPr>
            <w:r>
              <w:rPr>
                <w:rFonts w:hint="eastAsia" w:ascii="宋体" w:hAnsi="宋体" w:eastAsia="宋体" w:cs="宋体"/>
                <w:i w:val="0"/>
                <w:color w:val="000000"/>
                <w:kern w:val="0"/>
                <w:sz w:val="20"/>
                <w:szCs w:val="20"/>
                <w:u w:val="none"/>
                <w:lang w:val="en-US" w:eastAsia="zh-CN" w:bidi="ar"/>
              </w:rPr>
              <w:t>资金支付准确率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lang w:val="en-US" w:eastAsia="zh-CN"/>
              </w:rPr>
            </w:pPr>
            <w:r>
              <w:rPr>
                <w:rFonts w:hint="eastAsia" w:ascii="宋体" w:hAnsi="宋体" w:eastAsia="宋体" w:cs="宋体"/>
                <w:i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continue"/>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时效指标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20"/>
                <w:szCs w:val="20"/>
                <w:u w:val="none"/>
                <w:lang w:val="en-US" w:eastAsia="zh-CN" w:bidi="ar"/>
              </w:rPr>
              <w:t>项目资金支付及时率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eastAsia="仿宋_GB2312"/>
                <w:lang w:val="en-US" w:eastAsia="zh-CN"/>
              </w:rPr>
            </w:pPr>
            <w:r>
              <w:rPr>
                <w:rFonts w:hint="eastAsia" w:ascii="宋体" w:hAnsi="宋体" w:eastAsia="宋体" w:cs="宋体"/>
                <w:i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restart"/>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成本指标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经济成本指标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sz w:val="20"/>
                <w:szCs w:val="20"/>
              </w:rPr>
            </w:pPr>
            <w:r>
              <w:rPr>
                <w:rFonts w:hint="eastAsia" w:ascii="宋体" w:hAnsi="宋体" w:eastAsia="宋体" w:cs="宋体"/>
                <w:i w:val="0"/>
                <w:color w:val="000000"/>
                <w:kern w:val="0"/>
                <w:sz w:val="20"/>
                <w:szCs w:val="20"/>
                <w:u w:val="none"/>
                <w:lang w:val="en-US" w:eastAsia="zh-CN" w:bidi="ar"/>
              </w:rPr>
              <w:t>老旧小区改造项目</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&lt;=500万元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500万元</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eastAsia="仿宋_GB2312"/>
                <w:lang w:val="en-US" w:eastAsia="zh-CN"/>
              </w:rPr>
            </w:pPr>
            <w:r>
              <w:rPr>
                <w:rFonts w:hint="eastAsia" w:ascii="宋体" w:hAnsi="宋体" w:eastAsia="宋体" w:cs="宋体"/>
                <w:i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经济成本指标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sz w:val="20"/>
                <w:szCs w:val="20"/>
              </w:rPr>
            </w:pPr>
            <w:r>
              <w:rPr>
                <w:rFonts w:hint="eastAsia" w:ascii="宋体" w:hAnsi="宋体" w:eastAsia="宋体" w:cs="宋体"/>
                <w:i w:val="0"/>
                <w:color w:val="000000"/>
                <w:kern w:val="0"/>
                <w:sz w:val="20"/>
                <w:szCs w:val="20"/>
                <w:u w:val="none"/>
                <w:lang w:val="en-US" w:eastAsia="zh-CN" w:bidi="ar"/>
              </w:rPr>
              <w:t>二氧化氯消毒设备购置项目</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&lt;=11.60万元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11.6万元</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eastAsia="仿宋_GB2312"/>
                <w:lang w:val="en-US" w:eastAsia="zh-CN"/>
              </w:rPr>
            </w:pPr>
            <w:r>
              <w:rPr>
                <w:rFonts w:hint="eastAsia" w:ascii="宋体" w:hAnsi="宋体" w:eastAsia="宋体" w:cs="宋体"/>
                <w:i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经济成本指标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sz w:val="20"/>
                <w:szCs w:val="20"/>
              </w:rPr>
            </w:pPr>
            <w:r>
              <w:rPr>
                <w:rFonts w:hint="eastAsia" w:ascii="宋体" w:hAnsi="宋体" w:eastAsia="宋体" w:cs="宋体"/>
                <w:i w:val="0"/>
                <w:color w:val="000000"/>
                <w:kern w:val="0"/>
                <w:sz w:val="20"/>
                <w:szCs w:val="20"/>
                <w:u w:val="none"/>
                <w:lang w:val="en-US" w:eastAsia="zh-CN" w:bidi="ar"/>
              </w:rPr>
              <w:t>污水处理厂升级改造工程建设项目</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&lt;=92.58万元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92.58万元</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eastAsia="仿宋_GB2312"/>
                <w:lang w:val="en-US" w:eastAsia="zh-CN"/>
              </w:rPr>
            </w:pPr>
            <w:r>
              <w:rPr>
                <w:rFonts w:hint="eastAsia" w:ascii="宋体" w:hAnsi="宋体" w:eastAsia="宋体" w:cs="宋体"/>
                <w:i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经济成本指标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sz w:val="20"/>
                <w:szCs w:val="20"/>
              </w:rPr>
            </w:pPr>
            <w:r>
              <w:rPr>
                <w:rFonts w:hint="eastAsia" w:ascii="宋体" w:hAnsi="宋体" w:eastAsia="宋体" w:cs="宋体"/>
                <w:i w:val="0"/>
                <w:color w:val="000000"/>
                <w:kern w:val="0"/>
                <w:sz w:val="20"/>
                <w:szCs w:val="20"/>
                <w:u w:val="none"/>
                <w:lang w:val="en-US" w:eastAsia="zh-CN" w:bidi="ar"/>
              </w:rPr>
              <w:t>口岸配套区道路工程</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&lt;=154.79万元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100万元</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eastAsia="仿宋_GB2312"/>
                <w:lang w:val="en-US" w:eastAsia="zh-CN"/>
              </w:rPr>
            </w:pPr>
            <w:r>
              <w:rPr>
                <w:rFonts w:hint="eastAsia" w:ascii="宋体" w:hAnsi="宋体" w:eastAsia="宋体" w:cs="宋体"/>
                <w:i w:val="0"/>
                <w:color w:val="000000"/>
                <w:kern w:val="0"/>
                <w:sz w:val="20"/>
                <w:szCs w:val="20"/>
                <w:u w:val="none"/>
                <w:lang w:val="en-US" w:eastAsia="zh-CN" w:bidi="ar"/>
              </w:rPr>
              <w:t>3.23</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1.偏差原因：施工方发票未提供完整故资金未支付；2.改进措施：下一年度督促施工方提供完整的资料</w:t>
            </w: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效益指标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社会效益指标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20"/>
                <w:szCs w:val="20"/>
                <w:u w:val="none"/>
                <w:lang w:val="en-US" w:eastAsia="zh-CN" w:bidi="ar"/>
              </w:rPr>
              <w:t>完善霍尔果斯配套区道路的建设</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有效完善</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有效改善</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20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满意度指标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满意度指标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20"/>
                <w:szCs w:val="20"/>
                <w:u w:val="none"/>
                <w:lang w:val="en-US" w:eastAsia="zh-CN" w:bidi="ar"/>
              </w:rPr>
              <w:t>施工单位满意度</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满意度较高</w:t>
            </w:r>
          </w:p>
        </w:tc>
      </w:tr>
      <w:tr>
        <w:tblPrEx>
          <w:tblLayout w:type="fixed"/>
          <w:tblCellMar>
            <w:top w:w="0" w:type="dxa"/>
            <w:left w:w="0" w:type="dxa"/>
            <w:bottom w:w="0" w:type="dxa"/>
            <w:right w:w="0" w:type="dxa"/>
          </w:tblCellMar>
        </w:tblPrEx>
        <w:trPr>
          <w:trHeight w:val="432" w:hRule="atLeast"/>
        </w:trPr>
        <w:tc>
          <w:tcPr>
            <w:tcW w:w="5657" w:type="dxa"/>
            <w:gridSpan w:val="8"/>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总分</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97.51分</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bl>
    <w:p>
      <w:pPr>
        <w:pStyle w:val="2"/>
        <w:jc w:val="both"/>
      </w:pPr>
    </w:p>
    <w:p>
      <w:pPr>
        <w:spacing w:line="600" w:lineRule="exact"/>
        <w:rPr>
          <w:rFonts w:hint="default" w:ascii="黑体" w:hAnsi="黑体" w:eastAsia="黑体" w:cs="黑体"/>
          <w:bCs/>
          <w:sz w:val="32"/>
          <w:szCs w:val="32"/>
          <w:lang w:val="en-US" w:eastAsia="zh-CN"/>
        </w:rPr>
      </w:pPr>
    </w:p>
    <w:p>
      <w:pPr>
        <w:bidi w:val="0"/>
        <w:rPr>
          <w:rFonts w:hint="default" w:ascii="Times New Roman" w:hAnsi="Times New Roman" w:eastAsia="仿宋_GB2312" w:cs="Times New Roman"/>
          <w:kern w:val="2"/>
          <w:sz w:val="30"/>
          <w:szCs w:val="24"/>
          <w:lang w:val="en-US" w:eastAsia="zh-CN" w:bidi="ar-SA"/>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tabs>
          <w:tab w:val="left" w:pos="9071"/>
        </w:tabs>
        <w:bidi w:val="0"/>
        <w:jc w:val="left"/>
        <w:rPr>
          <w:rFonts w:hint="default"/>
          <w:lang w:val="en-US" w:eastAsia="zh-CN"/>
        </w:rPr>
        <w:sectPr>
          <w:pgSz w:w="16838" w:h="11906" w:orient="landscape"/>
          <w:pgMar w:top="1531" w:right="1928" w:bottom="1531" w:left="1701" w:header="737" w:footer="851" w:gutter="0"/>
          <w:cols w:space="720" w:num="1"/>
          <w:docGrid w:type="lines" w:linePitch="408" w:charSpace="0"/>
        </w:sectPr>
      </w:pPr>
      <w:r>
        <w:rPr>
          <w:rFonts w:hint="eastAsia"/>
          <w:lang w:val="en-US" w:eastAsia="zh-CN"/>
        </w:rPr>
        <w:tab/>
      </w:r>
    </w:p>
    <w:p>
      <w:pPr>
        <w:pStyle w:val="22"/>
        <w:ind w:firstLine="562"/>
        <w:jc w:val="center"/>
        <w:rPr>
          <w:sz w:val="28"/>
          <w:szCs w:val="40"/>
        </w:rPr>
      </w:pPr>
      <w:bookmarkStart w:id="21" w:name="_Toc30064_WPSOffice_Level1"/>
      <w:bookmarkStart w:id="22" w:name="_Toc26499_WPSOffice_Level2"/>
      <w:r>
        <w:rPr>
          <w:rFonts w:hint="eastAsia"/>
          <w:b/>
          <w:bCs/>
          <w:sz w:val="28"/>
          <w:szCs w:val="40"/>
        </w:rPr>
        <w:t>霍尔果斯历史建设项目工程款绩效评价指标体系及综合评分表</w:t>
      </w:r>
      <w:bookmarkEnd w:id="21"/>
      <w:bookmarkEnd w:id="22"/>
    </w:p>
    <w:tbl>
      <w:tblPr>
        <w:tblStyle w:val="13"/>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3.71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9.11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C552922-943F-45D1-951A-D7D42B4C143E}"/>
  </w:font>
  <w:font w:name="黑体">
    <w:panose1 w:val="02010609060101010101"/>
    <w:charset w:val="86"/>
    <w:family w:val="auto"/>
    <w:pitch w:val="default"/>
    <w:sig w:usb0="800002BF" w:usb1="38CF7CFA" w:usb2="00000016" w:usb3="00000000" w:csb0="00040001" w:csb1="00000000"/>
    <w:embedRegular r:id="rId2" w:fontKey="{4DD9826F-599E-434C-9CB5-63AC451BD42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3161DF82-5034-49DE-B460-A4814483AD0B}"/>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panose1 w:val="02000000000000000000"/>
    <w:charset w:val="86"/>
    <w:family w:val="script"/>
    <w:pitch w:val="default"/>
    <w:sig w:usb0="00000000" w:usb1="00000000" w:usb2="00000000" w:usb3="00000000" w:csb0="00000000" w:csb1="00000000"/>
    <w:embedRegular r:id="rId4" w:fontKey="{BEC09C8E-E63E-4E7E-B4AB-BBB12FA7742C}"/>
  </w:font>
  <w:font w:name="方正小标宋简体">
    <w:panose1 w:val="02010601030101010101"/>
    <w:charset w:val="86"/>
    <w:family w:val="auto"/>
    <w:pitch w:val="default"/>
    <w:sig w:usb0="00000001" w:usb1="080E0000" w:usb2="00000000" w:usb3="00000000" w:csb0="00040000" w:csb1="00000000"/>
    <w:embedRegular r:id="rId5" w:fontKey="{1686E53C-B003-46F2-81F2-EB58CE7B5DB6}"/>
  </w:font>
  <w:font w:name="红豆小标宋简体">
    <w:altName w:val="宋体"/>
    <w:panose1 w:val="02000509000000000000"/>
    <w:charset w:val="86"/>
    <w:family w:val="auto"/>
    <w:pitch w:val="default"/>
    <w:sig w:usb0="00000000" w:usb1="00000000" w:usb2="00000012" w:usb3="00000000" w:csb0="00040001" w:csb1="00000000"/>
    <w:embedRegular r:id="rId6" w:fontKey="{41C68F0A-C5A2-47F0-B685-F601F215D972}"/>
  </w:font>
  <w:font w:name="楷体_GB2312">
    <w:panose1 w:val="02010609030101010101"/>
    <w:charset w:val="86"/>
    <w:family w:val="auto"/>
    <w:pitch w:val="default"/>
    <w:sig w:usb0="00000001" w:usb1="080E0000" w:usb2="00000000" w:usb3="00000000" w:csb0="00040000" w:csb1="00000000"/>
    <w:embedRegular r:id="rId7" w:fontKey="{850647CD-3C9E-4F0F-B68E-8A93B8259932}"/>
  </w:font>
  <w:font w:name="仿宋">
    <w:panose1 w:val="02010609060101010101"/>
    <w:charset w:val="86"/>
    <w:family w:val="modern"/>
    <w:pitch w:val="default"/>
    <w:sig w:usb0="800002BF" w:usb1="38CF7CFA" w:usb2="00000016" w:usb3="00000000" w:csb0="00040001" w:csb1="00000000"/>
    <w:embedRegular r:id="rId8" w:fontKey="{02611675-9C84-4BFC-91F8-81B120C6B37E}"/>
  </w:font>
  <w:font w:name="方正仿宋_GBK">
    <w:panose1 w:val="02000000000000000000"/>
    <w:charset w:val="86"/>
    <w:family w:val="auto"/>
    <w:pitch w:val="default"/>
    <w:sig w:usb0="00000000" w:usb1="00000000" w:usb2="00000000" w:usb3="00000000" w:csb0="00000000" w:csb1="00000000"/>
    <w:embedRegular r:id="rId9" w:fontKey="{A6463515-A297-44B5-9ADC-B014A4CAEEB5}"/>
  </w:font>
  <w:font w:name="楷体">
    <w:panose1 w:val="02010609060101010101"/>
    <w:charset w:val="86"/>
    <w:family w:val="modern"/>
    <w:pitch w:val="default"/>
    <w:sig w:usb0="800002BF" w:usb1="38CF7CFA" w:usb2="00000016" w:usb3="00000000" w:csb0="00040001" w:csb1="00000000"/>
    <w:embedRegular r:id="rId10" w:fontKey="{2A7BFB8B-B8A0-46D0-B7D0-750A34C63F73}"/>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NWM2OWI1ZWI0MDQzZjY5YzE4ZTJiNjRmZjMxZmIifQ=="/>
  </w:docVars>
  <w:rsids>
    <w:rsidRoot w:val="007D49C5"/>
    <w:rsid w:val="000D63FA"/>
    <w:rsid w:val="001E64B1"/>
    <w:rsid w:val="005B64E8"/>
    <w:rsid w:val="00614288"/>
    <w:rsid w:val="00670592"/>
    <w:rsid w:val="00792CFE"/>
    <w:rsid w:val="007D49C5"/>
    <w:rsid w:val="008175E0"/>
    <w:rsid w:val="008C631D"/>
    <w:rsid w:val="009C4E3E"/>
    <w:rsid w:val="00A114ED"/>
    <w:rsid w:val="00B24331"/>
    <w:rsid w:val="01583141"/>
    <w:rsid w:val="04FB416E"/>
    <w:rsid w:val="05253FFE"/>
    <w:rsid w:val="060C50DA"/>
    <w:rsid w:val="060F19E9"/>
    <w:rsid w:val="06393B03"/>
    <w:rsid w:val="06C629DA"/>
    <w:rsid w:val="06DF115B"/>
    <w:rsid w:val="07E746F1"/>
    <w:rsid w:val="08676ECB"/>
    <w:rsid w:val="086E3D17"/>
    <w:rsid w:val="091153EC"/>
    <w:rsid w:val="09D04852"/>
    <w:rsid w:val="09E9764E"/>
    <w:rsid w:val="0D4C225E"/>
    <w:rsid w:val="0D6E5F32"/>
    <w:rsid w:val="0EE46AFC"/>
    <w:rsid w:val="0F2A6BF7"/>
    <w:rsid w:val="0FC424DD"/>
    <w:rsid w:val="10725009"/>
    <w:rsid w:val="109627EE"/>
    <w:rsid w:val="10BC257C"/>
    <w:rsid w:val="11974CD7"/>
    <w:rsid w:val="11F14C32"/>
    <w:rsid w:val="12381C92"/>
    <w:rsid w:val="124D59CE"/>
    <w:rsid w:val="125A4EAA"/>
    <w:rsid w:val="127C66E3"/>
    <w:rsid w:val="141A440D"/>
    <w:rsid w:val="150F6327"/>
    <w:rsid w:val="15E9463D"/>
    <w:rsid w:val="16F4060E"/>
    <w:rsid w:val="17136327"/>
    <w:rsid w:val="17AB72E5"/>
    <w:rsid w:val="17F34569"/>
    <w:rsid w:val="1811250D"/>
    <w:rsid w:val="181871E2"/>
    <w:rsid w:val="19166846"/>
    <w:rsid w:val="1A5D44D6"/>
    <w:rsid w:val="1CD65C5D"/>
    <w:rsid w:val="1CEA6E7C"/>
    <w:rsid w:val="1CED5883"/>
    <w:rsid w:val="1D71534B"/>
    <w:rsid w:val="1DC110DE"/>
    <w:rsid w:val="1FA55DFC"/>
    <w:rsid w:val="2031215C"/>
    <w:rsid w:val="20E60986"/>
    <w:rsid w:val="20E92B23"/>
    <w:rsid w:val="21C65A76"/>
    <w:rsid w:val="22AC2218"/>
    <w:rsid w:val="22EC6EE7"/>
    <w:rsid w:val="232D40C3"/>
    <w:rsid w:val="23620D1A"/>
    <w:rsid w:val="23B47E14"/>
    <w:rsid w:val="24AA0932"/>
    <w:rsid w:val="24E14A0E"/>
    <w:rsid w:val="25C73A07"/>
    <w:rsid w:val="25CA2B9D"/>
    <w:rsid w:val="25E1104C"/>
    <w:rsid w:val="26552372"/>
    <w:rsid w:val="26900BF3"/>
    <w:rsid w:val="26B14C8A"/>
    <w:rsid w:val="2729052F"/>
    <w:rsid w:val="28C14634"/>
    <w:rsid w:val="290B2C76"/>
    <w:rsid w:val="29CE5AA6"/>
    <w:rsid w:val="2A03547F"/>
    <w:rsid w:val="2B2468CA"/>
    <w:rsid w:val="2C3427F7"/>
    <w:rsid w:val="2CE05244"/>
    <w:rsid w:val="2EC724D4"/>
    <w:rsid w:val="2EE30257"/>
    <w:rsid w:val="300D20E3"/>
    <w:rsid w:val="313A1850"/>
    <w:rsid w:val="33F64B1A"/>
    <w:rsid w:val="34000165"/>
    <w:rsid w:val="345627D1"/>
    <w:rsid w:val="347D7D46"/>
    <w:rsid w:val="34DA27CE"/>
    <w:rsid w:val="34DC77C8"/>
    <w:rsid w:val="36411DC5"/>
    <w:rsid w:val="36A24189"/>
    <w:rsid w:val="36B72533"/>
    <w:rsid w:val="36DF7E92"/>
    <w:rsid w:val="394C79E9"/>
    <w:rsid w:val="39C64BFA"/>
    <w:rsid w:val="39EE3059"/>
    <w:rsid w:val="3A165FCA"/>
    <w:rsid w:val="3A340FF7"/>
    <w:rsid w:val="3A954E66"/>
    <w:rsid w:val="3B611F22"/>
    <w:rsid w:val="3B961AA0"/>
    <w:rsid w:val="3B9D74DC"/>
    <w:rsid w:val="3BA46E66"/>
    <w:rsid w:val="3D802EF4"/>
    <w:rsid w:val="3E257E84"/>
    <w:rsid w:val="4057649F"/>
    <w:rsid w:val="40667434"/>
    <w:rsid w:val="41261F49"/>
    <w:rsid w:val="412C429B"/>
    <w:rsid w:val="41333305"/>
    <w:rsid w:val="414C17C2"/>
    <w:rsid w:val="41503350"/>
    <w:rsid w:val="41681144"/>
    <w:rsid w:val="42267415"/>
    <w:rsid w:val="430B098D"/>
    <w:rsid w:val="43E94AF8"/>
    <w:rsid w:val="44520CA4"/>
    <w:rsid w:val="450B6AE4"/>
    <w:rsid w:val="456D683B"/>
    <w:rsid w:val="472D26D6"/>
    <w:rsid w:val="495612C1"/>
    <w:rsid w:val="49B52FF9"/>
    <w:rsid w:val="49E74ACD"/>
    <w:rsid w:val="4B193F45"/>
    <w:rsid w:val="4B425615"/>
    <w:rsid w:val="4C41780C"/>
    <w:rsid w:val="4E465964"/>
    <w:rsid w:val="4E5F5F21"/>
    <w:rsid w:val="4F470610"/>
    <w:rsid w:val="4FF80240"/>
    <w:rsid w:val="500E5BA1"/>
    <w:rsid w:val="507F5677"/>
    <w:rsid w:val="518D1CB7"/>
    <w:rsid w:val="51E2472E"/>
    <w:rsid w:val="524A2B00"/>
    <w:rsid w:val="52594527"/>
    <w:rsid w:val="54873A1A"/>
    <w:rsid w:val="56796849"/>
    <w:rsid w:val="568F383B"/>
    <w:rsid w:val="5A6F52F5"/>
    <w:rsid w:val="5CA5038F"/>
    <w:rsid w:val="5CBC7FB4"/>
    <w:rsid w:val="5D555EEF"/>
    <w:rsid w:val="5D996CA8"/>
    <w:rsid w:val="5DA95371"/>
    <w:rsid w:val="5E65126A"/>
    <w:rsid w:val="603853AE"/>
    <w:rsid w:val="613233CF"/>
    <w:rsid w:val="61536AAB"/>
    <w:rsid w:val="6187560F"/>
    <w:rsid w:val="623B41B9"/>
    <w:rsid w:val="62A969EB"/>
    <w:rsid w:val="63071170"/>
    <w:rsid w:val="64C4402E"/>
    <w:rsid w:val="656655EA"/>
    <w:rsid w:val="686F7714"/>
    <w:rsid w:val="68B86C5B"/>
    <w:rsid w:val="68FF4E51"/>
    <w:rsid w:val="69234858"/>
    <w:rsid w:val="69821BA7"/>
    <w:rsid w:val="69EB5D53"/>
    <w:rsid w:val="6A862BA8"/>
    <w:rsid w:val="6B700A20"/>
    <w:rsid w:val="6B7B7763"/>
    <w:rsid w:val="6BE20E7D"/>
    <w:rsid w:val="6CA362CC"/>
    <w:rsid w:val="6CFB0ED9"/>
    <w:rsid w:val="6DE211D7"/>
    <w:rsid w:val="6DFC1C65"/>
    <w:rsid w:val="6E9431F9"/>
    <w:rsid w:val="6F282502"/>
    <w:rsid w:val="6FAC7299"/>
    <w:rsid w:val="71144511"/>
    <w:rsid w:val="71C726C1"/>
    <w:rsid w:val="72AE2BF4"/>
    <w:rsid w:val="72DB607B"/>
    <w:rsid w:val="73C64D7F"/>
    <w:rsid w:val="73DA2455"/>
    <w:rsid w:val="73E133EA"/>
    <w:rsid w:val="74173885"/>
    <w:rsid w:val="74563DED"/>
    <w:rsid w:val="754346AE"/>
    <w:rsid w:val="75FA041F"/>
    <w:rsid w:val="760F49BD"/>
    <w:rsid w:val="76294569"/>
    <w:rsid w:val="76E870A0"/>
    <w:rsid w:val="77735805"/>
    <w:rsid w:val="77877BF2"/>
    <w:rsid w:val="78A44C7D"/>
    <w:rsid w:val="7AE40DD7"/>
    <w:rsid w:val="7B004ADD"/>
    <w:rsid w:val="7BEB0DFD"/>
    <w:rsid w:val="7C3073CD"/>
    <w:rsid w:val="7C9B6A7C"/>
    <w:rsid w:val="7CCC7252"/>
    <w:rsid w:val="7D016D33"/>
    <w:rsid w:val="7F7E03FA"/>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Body Text Indent"/>
    <w:basedOn w:val="1"/>
    <w:qFormat/>
    <w:uiPriority w:val="0"/>
    <w:pPr>
      <w:widowControl/>
      <w:spacing w:before="100" w:beforeAutospacing="1" w:after="100" w:afterAutospacing="1"/>
      <w:jc w:val="left"/>
    </w:pPr>
    <w:rPr>
      <w:rFonts w:ascii="宋体" w:hAnsi="宋体" w:eastAsia="宋体"/>
      <w:kern w:val="0"/>
      <w:sz w:val="24"/>
    </w:rPr>
  </w:style>
  <w:style w:type="paragraph" w:styleId="8">
    <w:name w:val="footer"/>
    <w:basedOn w:val="1"/>
    <w:link w:val="21"/>
    <w:semiHidden/>
    <w:unhideWhenUsed/>
    <w:qFormat/>
    <w:uiPriority w:val="99"/>
    <w:pPr>
      <w:tabs>
        <w:tab w:val="center" w:pos="4153"/>
        <w:tab w:val="right" w:pos="8306"/>
      </w:tabs>
      <w:snapToGrid w:val="0"/>
      <w:jc w:val="left"/>
    </w:pPr>
    <w:rPr>
      <w:sz w:val="18"/>
      <w:szCs w:val="18"/>
    </w:rPr>
  </w:style>
  <w:style w:type="paragraph" w:styleId="9">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1">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2">
    <w:name w:val="Body Text First Indent 2"/>
    <w:basedOn w:val="7"/>
    <w:next w:val="1"/>
    <w:qFormat/>
    <w:uiPriority w:val="0"/>
    <w:pPr>
      <w:ind w:firstLine="420" w:firstLineChars="200"/>
    </w:pPr>
  </w:style>
  <w:style w:type="character" w:styleId="15">
    <w:name w:val="Strong"/>
    <w:qFormat/>
    <w:uiPriority w:val="0"/>
    <w:rPr>
      <w:b/>
      <w:bCs/>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character" w:customStyle="1" w:styleId="17">
    <w:name w:val="标题 1 Char"/>
    <w:basedOn w:val="14"/>
    <w:link w:val="3"/>
    <w:qFormat/>
    <w:uiPriority w:val="9"/>
    <w:rPr>
      <w:rFonts w:ascii="Times New Roman" w:hAnsi="Times New Roman" w:eastAsia="仿宋_GB2312" w:cs="Times New Roman"/>
      <w:b/>
      <w:bCs/>
      <w:kern w:val="44"/>
      <w:sz w:val="44"/>
      <w:szCs w:val="44"/>
    </w:rPr>
  </w:style>
  <w:style w:type="character" w:customStyle="1" w:styleId="18">
    <w:name w:val="标题 2 Char"/>
    <w:basedOn w:val="14"/>
    <w:link w:val="4"/>
    <w:qFormat/>
    <w:uiPriority w:val="9"/>
    <w:rPr>
      <w:rFonts w:asciiTheme="majorHAnsi" w:hAnsiTheme="majorHAnsi" w:eastAsiaTheme="majorEastAsia" w:cstheme="majorBidi"/>
      <w:b/>
      <w:bCs/>
      <w:sz w:val="32"/>
      <w:szCs w:val="32"/>
    </w:rPr>
  </w:style>
  <w:style w:type="paragraph" w:customStyle="1" w:styleId="19">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0">
    <w:name w:val="页眉 Char"/>
    <w:basedOn w:val="14"/>
    <w:link w:val="9"/>
    <w:semiHidden/>
    <w:qFormat/>
    <w:uiPriority w:val="99"/>
    <w:rPr>
      <w:rFonts w:ascii="Times New Roman" w:hAnsi="Times New Roman" w:eastAsia="仿宋_GB2312" w:cs="Times New Roman"/>
      <w:sz w:val="18"/>
      <w:szCs w:val="18"/>
    </w:rPr>
  </w:style>
  <w:style w:type="character" w:customStyle="1" w:styleId="21">
    <w:name w:val="页脚 Char"/>
    <w:basedOn w:val="14"/>
    <w:link w:val="8"/>
    <w:semiHidden/>
    <w:qFormat/>
    <w:uiPriority w:val="99"/>
    <w:rPr>
      <w:rFonts w:ascii="Times New Roman" w:hAnsi="Times New Roman" w:eastAsia="仿宋_GB2312" w:cs="Times New Roman"/>
      <w:sz w:val="18"/>
      <w:szCs w:val="18"/>
    </w:rPr>
  </w:style>
  <w:style w:type="paragraph" w:customStyle="1" w:styleId="22">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5042</Words>
  <Characters>5242</Characters>
  <Lines>37</Lines>
  <Paragraphs>10</Paragraphs>
  <TotalTime>6</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2024-06-07T05:44:55Z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1946747E0728439DBDBE3864B5F238AD</vt:lpwstr>
  </property>
</Properties>
</file>