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伊犁州霍尔果斯市城区供热工程建设项目</w:t>
      </w:r>
      <w:r>
        <w:rPr>
          <w:rFonts w:eastAsia="方正小标宋_GBK"/>
          <w:kern w:val="0"/>
          <w:sz w:val="48"/>
          <w:szCs w:val="48"/>
        </w:rPr>
        <w:t>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项目名称：伊犁州霍尔果斯市城区供热工程建设项目</w:t>
      </w:r>
    </w:p>
    <w:p>
      <w:pPr>
        <w:spacing w:line="560" w:lineRule="exact"/>
        <w:ind w:left="1606" w:hanging="1606" w:hangingChars="5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霍尔果斯市住房和城乡建设局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霍尔果斯市住房和城乡建设局</w:t>
      </w: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李宝德</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15</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lang w:eastAsia="zh-CN"/>
        </w:rPr>
        <w:t>本项目依据</w:t>
      </w:r>
      <w:r>
        <w:rPr>
          <w:rFonts w:hint="eastAsia"/>
          <w:color w:val="auto"/>
          <w:sz w:val="32"/>
          <w:szCs w:val="32"/>
          <w:highlight w:val="none"/>
        </w:rPr>
        <w:t>伊犁哈萨克自治州发展和改革委员会文件（伊州发改投资{2021}162号）文的要求，</w:t>
      </w:r>
      <w:r>
        <w:rPr>
          <w:rFonts w:hint="eastAsia" w:ascii="仿宋_GB2312" w:hAnsi="仿宋"/>
          <w:color w:val="auto"/>
          <w:sz w:val="32"/>
          <w:szCs w:val="32"/>
        </w:rPr>
        <w:t>结合项目开展情况</w:t>
      </w:r>
      <w:r>
        <w:rPr>
          <w:rFonts w:hint="eastAsia" w:ascii="仿宋_GB2312" w:hAnsi="仿宋"/>
          <w:color w:val="auto"/>
          <w:sz w:val="32"/>
          <w:szCs w:val="32"/>
          <w:lang w:eastAsia="zh-CN"/>
        </w:rPr>
        <w:t>，</w:t>
      </w:r>
      <w:r>
        <w:rPr>
          <w:rFonts w:hint="eastAsia"/>
          <w:color w:val="auto"/>
          <w:sz w:val="32"/>
          <w:szCs w:val="32"/>
          <w:highlight w:val="none"/>
        </w:rPr>
        <w:t>总投资3000万元，合同价2283.96万元，其中中央预算资金1800万元，建设内容：新建供热管网7千米，管径DN250/DN300，改造提升换热站10座及相关配套设施.项目于2022年10月底完工，项目已支付1200万元，</w:t>
      </w:r>
      <w:r>
        <w:rPr>
          <w:rFonts w:hint="eastAsia"/>
          <w:color w:val="auto"/>
          <w:sz w:val="32"/>
          <w:szCs w:val="32"/>
          <w:highlight w:val="none"/>
          <w:lang w:val="en-US" w:eastAsia="zh-CN"/>
        </w:rPr>
        <w:t>2023年支付</w:t>
      </w:r>
      <w:r>
        <w:rPr>
          <w:rFonts w:hint="eastAsia"/>
          <w:color w:val="auto"/>
          <w:sz w:val="32"/>
          <w:szCs w:val="32"/>
          <w:highlight w:val="none"/>
        </w:rPr>
        <w:t>300万元,支付伊犁州霍尔果斯市城区供热工程建设项目进度款，于2023年2月支付完成。本工程是霍尔果斯市完善城市供热管网设施重要措施，项目的实施对霍尔果斯市的经济发展具有深远的影响。</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FF0000"/>
          <w:sz w:val="32"/>
          <w:szCs w:val="32"/>
          <w:lang w:eastAsia="zh-CN"/>
        </w:rPr>
      </w:pPr>
      <w:r>
        <w:rPr>
          <w:rFonts w:hint="eastAsia" w:ascii="仿宋_GB2312"/>
          <w:sz w:val="32"/>
          <w:szCs w:val="32"/>
        </w:rPr>
        <w:t>主要内容：</w:t>
      </w:r>
      <w:r>
        <w:rPr>
          <w:rFonts w:hint="eastAsia"/>
          <w:color w:val="auto"/>
          <w:sz w:val="32"/>
          <w:szCs w:val="32"/>
          <w:highlight w:val="none"/>
        </w:rPr>
        <w:t>新建供热管网7千米，管径DN250/DN300，改造提升换热站10座及相关配套设施</w:t>
      </w:r>
      <w:r>
        <w:rPr>
          <w:rFonts w:hint="eastAsia"/>
          <w:color w:val="auto"/>
          <w:sz w:val="32"/>
          <w:szCs w:val="32"/>
          <w:highlight w:val="none"/>
          <w:lang w:eastAsia="zh-CN"/>
        </w:rPr>
        <w:t>。</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300</w:t>
      </w:r>
      <w:r>
        <w:rPr>
          <w:rFonts w:hint="eastAsia"/>
          <w:color w:val="auto"/>
          <w:sz w:val="32"/>
          <w:szCs w:val="32"/>
        </w:rPr>
        <w:t>万元，全年预算数</w:t>
      </w:r>
      <w:r>
        <w:rPr>
          <w:rFonts w:hint="eastAsia"/>
          <w:color w:val="auto"/>
          <w:sz w:val="32"/>
          <w:szCs w:val="32"/>
          <w:lang w:val="en-US" w:eastAsia="zh-CN"/>
        </w:rPr>
        <w:t>300</w:t>
      </w:r>
      <w:r>
        <w:rPr>
          <w:rFonts w:hint="eastAsia"/>
          <w:color w:val="auto"/>
          <w:sz w:val="32"/>
          <w:szCs w:val="32"/>
        </w:rPr>
        <w:t>万元，实际总投入</w:t>
      </w:r>
      <w:r>
        <w:rPr>
          <w:rFonts w:hint="eastAsia"/>
          <w:color w:val="auto"/>
          <w:sz w:val="32"/>
          <w:szCs w:val="32"/>
          <w:lang w:val="en-US" w:eastAsia="zh-CN"/>
        </w:rPr>
        <w:t>300</w:t>
      </w:r>
      <w:r>
        <w:rPr>
          <w:rFonts w:hint="eastAsia"/>
          <w:color w:val="auto"/>
          <w:sz w:val="32"/>
          <w:szCs w:val="32"/>
        </w:rPr>
        <w:t>万元，该项目资金已全部落实到位，资金来源为</w:t>
      </w:r>
      <w:r>
        <w:rPr>
          <w:rFonts w:hint="eastAsia"/>
          <w:color w:val="auto"/>
          <w:sz w:val="32"/>
          <w:szCs w:val="32"/>
          <w:lang w:val="en-US" w:eastAsia="zh-CN"/>
        </w:rPr>
        <w:t>中央预算内资金</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sz w:val="32"/>
          <w:szCs w:val="32"/>
        </w:rPr>
        <w:t>资金使用情况：</w:t>
      </w:r>
      <w:r>
        <w:rPr>
          <w:rFonts w:hint="eastAsia"/>
          <w:color w:val="auto"/>
          <w:sz w:val="32"/>
          <w:szCs w:val="32"/>
        </w:rPr>
        <w:t>该项目年初预算数</w:t>
      </w:r>
      <w:r>
        <w:rPr>
          <w:rFonts w:hint="eastAsia"/>
          <w:color w:val="auto"/>
          <w:sz w:val="32"/>
          <w:szCs w:val="32"/>
          <w:lang w:val="en-US" w:eastAsia="zh-CN"/>
        </w:rPr>
        <w:t>300</w:t>
      </w:r>
      <w:r>
        <w:rPr>
          <w:rFonts w:hint="eastAsia"/>
          <w:color w:val="auto"/>
          <w:sz w:val="32"/>
          <w:szCs w:val="32"/>
        </w:rPr>
        <w:t>万元，全年预算数</w:t>
      </w:r>
      <w:r>
        <w:rPr>
          <w:rFonts w:hint="eastAsia"/>
          <w:color w:val="auto"/>
          <w:sz w:val="32"/>
          <w:szCs w:val="32"/>
          <w:lang w:val="en-US" w:eastAsia="zh-CN"/>
        </w:rPr>
        <w:t>300</w:t>
      </w:r>
      <w:r>
        <w:rPr>
          <w:rFonts w:hint="eastAsia"/>
          <w:color w:val="auto"/>
          <w:sz w:val="32"/>
          <w:szCs w:val="32"/>
        </w:rPr>
        <w:t>万元，全年执行数</w:t>
      </w:r>
      <w:r>
        <w:rPr>
          <w:rFonts w:hint="eastAsia"/>
          <w:color w:val="auto"/>
          <w:sz w:val="32"/>
          <w:szCs w:val="32"/>
          <w:lang w:val="en-US" w:eastAsia="zh-CN"/>
        </w:rPr>
        <w:t>300</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300</w:t>
      </w:r>
      <w:r>
        <w:rPr>
          <w:rFonts w:hint="eastAsia"/>
          <w:color w:val="auto"/>
          <w:sz w:val="32"/>
          <w:szCs w:val="32"/>
        </w:rPr>
        <w:t>万元</w:t>
      </w:r>
      <w:r>
        <w:rPr>
          <w:rFonts w:hint="eastAsia"/>
          <w:color w:val="auto"/>
          <w:sz w:val="32"/>
          <w:szCs w:val="32"/>
          <w:lang w:eastAsia="zh-CN"/>
        </w:rPr>
        <w:t>主要用于支付项目工程进度款</w:t>
      </w:r>
      <w:r>
        <w:rPr>
          <w:rFonts w:hint="eastAsia"/>
          <w:color w:val="FF0000"/>
          <w:sz w:val="32"/>
          <w:szCs w:val="32"/>
        </w:rPr>
        <w:t>。</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r>
        <w:rPr>
          <w:rFonts w:hint="eastAsia" w:ascii="Times New Roman" w:hAnsi="Times New Roman" w:eastAsia="仿宋_GB2312" w:cs="Times New Roman"/>
          <w:b w:val="0"/>
          <w:bCs w:val="0"/>
          <w:sz w:val="32"/>
          <w:szCs w:val="32"/>
          <w:lang w:val="en-US" w:eastAsia="zh-CN"/>
        </w:rPr>
        <w:t xml:space="preserve">   根据伊犁哈萨克自治州发展和改革委员会文件（伊州发改投资{2021}162号）文的要求，伊犁州霍尔果斯市城区供热工程建设项目，总投资3000万元，合同价2283.96万元，其中中央预算资金1800万元，建设内容：新建供热管网7千米，管径DN250/DN300，改造提升换热站10座及相关配套设施.项目于2022年10月底完工</w:t>
      </w:r>
      <w:r>
        <w:rPr>
          <w:rFonts w:hint="eastAsia" w:cs="Times New Roman"/>
          <w:b w:val="0"/>
          <w:bCs w:val="0"/>
          <w:sz w:val="32"/>
          <w:szCs w:val="32"/>
          <w:lang w:val="en-US" w:eastAsia="zh-CN"/>
        </w:rPr>
        <w:t>23年支付项目进度款300万元</w:t>
      </w:r>
      <w:r>
        <w:rPr>
          <w:rFonts w:hint="eastAsia" w:ascii="Times New Roman" w:hAnsi="Times New Roman" w:eastAsia="仿宋_GB2312" w:cs="Times New Roman"/>
          <w:b w:val="0"/>
          <w:bCs w:val="0"/>
          <w:sz w:val="32"/>
          <w:szCs w:val="32"/>
          <w:lang w:val="en-US" w:eastAsia="zh-CN"/>
        </w:rPr>
        <w:t>。本工程是霍尔果斯市完善城市供热管网设施重要措施，项目的实施对霍尔果斯市的经济发展具有深远的影响。</w:t>
      </w:r>
    </w:p>
    <w:p>
      <w:pPr>
        <w:spacing w:line="560" w:lineRule="exact"/>
        <w:rPr>
          <w:rFonts w:hint="eastAsia" w:ascii="Times New Roman" w:hAnsi="Times New Roman" w:eastAsia="仿宋_GB2312" w:cs="Times New Roman"/>
          <w:b w:val="0"/>
          <w:bCs w:val="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xml:space="preserve">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伊犁州霍尔果斯市城区供热工程建设项目，总投资3000万元，合同价2283.96万元，其中中央预算资金1800万元，建设内容：新建供热管网7千米，管径DN250/DN300，改造提升换热站10座及相关配套设施</w:t>
      </w:r>
      <w:r>
        <w:rPr>
          <w:rFonts w:hint="eastAsia" w:cs="Times New Roman"/>
          <w:b w:val="0"/>
          <w:bCs w:val="0"/>
          <w:sz w:val="32"/>
          <w:szCs w:val="32"/>
          <w:lang w:val="en-US" w:eastAsia="zh-CN"/>
        </w:rPr>
        <w:t>，项目</w:t>
      </w:r>
      <w:r>
        <w:rPr>
          <w:rFonts w:hint="eastAsia" w:ascii="Times New Roman" w:hAnsi="Times New Roman" w:eastAsia="仿宋_GB2312" w:cs="Times New Roman"/>
          <w:b w:val="0"/>
          <w:bCs w:val="0"/>
          <w:sz w:val="32"/>
          <w:szCs w:val="32"/>
          <w:lang w:val="en-US" w:eastAsia="zh-CN"/>
        </w:rPr>
        <w:t>于</w:t>
      </w:r>
      <w:r>
        <w:rPr>
          <w:rFonts w:hint="eastAsia" w:cs="Times New Roman"/>
          <w:b w:val="0"/>
          <w:bCs w:val="0"/>
          <w:sz w:val="32"/>
          <w:szCs w:val="32"/>
          <w:lang w:val="en-US" w:eastAsia="zh-CN"/>
        </w:rPr>
        <w:t>2022年6月完成60%的工程量，</w:t>
      </w:r>
      <w:r>
        <w:rPr>
          <w:rFonts w:hint="eastAsia" w:ascii="Times New Roman" w:hAnsi="Times New Roman" w:eastAsia="仿宋_GB2312" w:cs="Times New Roman"/>
          <w:b w:val="0"/>
          <w:bCs w:val="0"/>
          <w:sz w:val="32"/>
          <w:szCs w:val="32"/>
          <w:lang w:val="en-US" w:eastAsia="zh-CN"/>
        </w:rPr>
        <w:t>2022年10月底完工，于2023年2月支付完成</w:t>
      </w:r>
      <w:r>
        <w:rPr>
          <w:rFonts w:hint="eastAsia" w:cs="Times New Roman"/>
          <w:b w:val="0"/>
          <w:bCs w:val="0"/>
          <w:sz w:val="32"/>
          <w:szCs w:val="32"/>
          <w:lang w:val="en-US" w:eastAsia="zh-CN"/>
        </w:rPr>
        <w:t>300万元工程款的支付</w:t>
      </w:r>
      <w:r>
        <w:rPr>
          <w:rFonts w:hint="eastAsia" w:ascii="Times New Roman" w:hAnsi="Times New Roman" w:eastAsia="仿宋_GB2312" w:cs="Times New Roman"/>
          <w:b w:val="0"/>
          <w:bCs w:val="0"/>
          <w:sz w:val="32"/>
          <w:szCs w:val="32"/>
          <w:lang w:val="en-US" w:eastAsia="zh-CN"/>
        </w:rPr>
        <w:t>。</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　2.绩效评价对象：</w:t>
      </w:r>
    </w:p>
    <w:p>
      <w:pPr>
        <w:spacing w:line="56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imes New Roman"/>
          <w:kern w:val="0"/>
          <w:sz w:val="32"/>
          <w:szCs w:val="32"/>
          <w:lang w:val="en-US" w:eastAsia="zh-CN" w:bidi="ar-SA"/>
        </w:rPr>
        <w:t>伊犁州霍尔果斯市城区供热工程建设项目所包含</w:t>
      </w:r>
      <w:r>
        <w:rPr>
          <w:rFonts w:hint="eastAsia" w:ascii="仿宋_GB2312" w:hAnsi="仿宋_GB2312" w:eastAsia="仿宋_GB2312" w:cs="仿宋_GB2312"/>
          <w:sz w:val="32"/>
          <w:szCs w:val="32"/>
        </w:rPr>
        <w:t>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伊犁州霍尔果斯市城区供热工程建设项目评价，评价核心为资金的支出完成情况和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w:t>
      </w:r>
      <w:r>
        <w:rPr>
          <w:rFonts w:hint="eastAsia" w:ascii="Times New Roman" w:hAnsi="Times New Roman" w:eastAsia="仿宋_GB2312"/>
          <w:b w:val="0"/>
          <w:bCs w:val="0"/>
        </w:rPr>
        <w:t>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w:t>
      </w:r>
      <w:r>
        <w:rPr>
          <w:rFonts w:hint="eastAsia" w:ascii="仿宋_GB2312" w:hAnsi="仿宋_GB2312" w:cs="仿宋_GB2312"/>
          <w:sz w:val="32"/>
          <w:szCs w:val="32"/>
          <w:lang w:val="en-US" w:eastAsia="zh-CN"/>
        </w:rPr>
        <w:t>集体决策</w:t>
      </w:r>
      <w:r>
        <w:rPr>
          <w:rFonts w:hint="eastAsia" w:ascii="仿宋_GB2312" w:hAnsi="仿宋_GB2312" w:eastAsia="仿宋_GB2312" w:cs="仿宋_GB2312"/>
          <w:sz w:val="32"/>
          <w:szCs w:val="32"/>
          <w:lang w:val="en-US" w:eastAsia="zh-CN"/>
        </w:rPr>
        <w:t>，保障了程序的规范性。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本项目总投资300万元，财政资金及时足额到位，到位率100%，预算资金按计划进度执行。</w:t>
      </w:r>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预算编制较为详细，项目资金支出总体能够按照预算执行，预算资金支出300万元，预算执行率为100%。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3"/>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项目产出类指标包括产出数量、产出质量、产出时效、产出成本四方面的内容，由4个三级指标构成，权重分为40分，实际得分40分，得分率为100%。具体产出指标完成情况如下：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指标1：新建供热管网，指标值：</w:t>
      </w:r>
      <w:r>
        <w:rPr>
          <w:rFonts w:hint="eastAsia"/>
          <w:color w:val="auto"/>
          <w:sz w:val="32"/>
          <w:szCs w:val="32"/>
          <w:lang w:val="en-US" w:eastAsia="zh-CN"/>
        </w:rPr>
        <w:t>7000米</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7000米</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w:t>
      </w:r>
      <w:r>
        <w:rPr>
          <w:rFonts w:hint="eastAsia"/>
          <w:color w:val="auto"/>
          <w:sz w:val="32"/>
          <w:szCs w:val="32"/>
          <w:lang w:eastAsia="zh-CN"/>
        </w:rPr>
        <w:t>改造提升换热站</w:t>
      </w:r>
      <w:r>
        <w:rPr>
          <w:rFonts w:hint="eastAsia"/>
          <w:color w:val="auto"/>
          <w:sz w:val="32"/>
          <w:szCs w:val="32"/>
        </w:rPr>
        <w:t>，指标值：</w:t>
      </w:r>
      <w:r>
        <w:rPr>
          <w:rFonts w:hint="eastAsia"/>
          <w:color w:val="auto"/>
          <w:sz w:val="32"/>
          <w:szCs w:val="32"/>
          <w:lang w:val="en-US" w:eastAsia="zh-CN"/>
        </w:rPr>
        <w:t>10个</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10个</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FF0000"/>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w:t>
      </w:r>
      <w:r>
        <w:rPr>
          <w:rFonts w:hint="eastAsia"/>
          <w:color w:val="auto"/>
          <w:sz w:val="32"/>
          <w:szCs w:val="32"/>
          <w:lang w:eastAsia="zh-CN"/>
        </w:rPr>
        <w:t>项目竣工验收合格率</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FF0000"/>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lang w:eastAsia="zh-CN"/>
        </w:rPr>
      </w:pPr>
      <w:r>
        <w:rPr>
          <w:rFonts w:hint="eastAsia"/>
          <w:color w:val="auto"/>
          <w:sz w:val="32"/>
          <w:szCs w:val="32"/>
        </w:rPr>
        <w:t>指标2：</w:t>
      </w:r>
      <w:r>
        <w:rPr>
          <w:rFonts w:hint="eastAsia"/>
          <w:color w:val="auto"/>
          <w:sz w:val="32"/>
          <w:szCs w:val="32"/>
          <w:lang w:eastAsia="zh-CN"/>
        </w:rPr>
        <w:t>支付项目进度款准确率</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FF0000"/>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bookmarkStart w:id="14" w:name="_Toc68703841"/>
      <w:r>
        <w:rPr>
          <w:rFonts w:hint="eastAsia" w:ascii="仿宋_GB2312" w:hAnsi="仿宋_GB2312" w:eastAsia="仿宋_GB2312" w:cs="仿宋_GB2312"/>
          <w:sz w:val="32"/>
          <w:szCs w:val="32"/>
          <w:highlight w:val="none"/>
          <w:lang w:val="en-US" w:eastAsia="zh-CN"/>
        </w:rPr>
        <w:t>支付项目进度款完成时间</w:t>
      </w:r>
      <w:r>
        <w:rPr>
          <w:rFonts w:hint="eastAsia" w:ascii="仿宋_GB2312" w:hAnsi="仿宋_GB2312" w:cs="仿宋_GB2312"/>
          <w:sz w:val="32"/>
          <w:szCs w:val="32"/>
          <w:highlight w:val="none"/>
          <w:lang w:val="en-US" w:eastAsia="zh-CN"/>
        </w:rPr>
        <w:t>，</w:t>
      </w:r>
      <w:r>
        <w:rPr>
          <w:rFonts w:hint="eastAsia"/>
          <w:color w:val="auto"/>
          <w:sz w:val="32"/>
          <w:szCs w:val="32"/>
        </w:rPr>
        <w:t>指标值：</w:t>
      </w:r>
      <w:r>
        <w:rPr>
          <w:rFonts w:hint="eastAsia"/>
          <w:color w:val="auto"/>
          <w:sz w:val="32"/>
          <w:szCs w:val="32"/>
          <w:lang w:val="en-US" w:eastAsia="zh-CN"/>
        </w:rPr>
        <w:t>=100%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FF0000"/>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完善霍尔果斯市基础设施的建设</w:t>
      </w:r>
      <w:r>
        <w:rPr>
          <w:rFonts w:hint="eastAsia" w:ascii="仿宋_GB2312" w:hAnsi="仿宋_GB2312" w:cs="仿宋_GB2312"/>
          <w:sz w:val="32"/>
          <w:szCs w:val="32"/>
          <w:highlight w:val="none"/>
          <w:lang w:val="en-US" w:eastAsia="zh-CN"/>
        </w:rPr>
        <w:t>，</w:t>
      </w:r>
      <w:r>
        <w:rPr>
          <w:rFonts w:hint="eastAsia"/>
          <w:color w:val="auto"/>
          <w:sz w:val="32"/>
          <w:szCs w:val="32"/>
        </w:rPr>
        <w:t>指标值：</w:t>
      </w:r>
      <w:r>
        <w:rPr>
          <w:rFonts w:hint="eastAsia"/>
          <w:color w:val="auto"/>
          <w:sz w:val="32"/>
          <w:szCs w:val="32"/>
          <w:lang w:val="en-US" w:eastAsia="zh-CN"/>
        </w:rPr>
        <w:t>有效完善</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有效完善</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满意度指标：霍尔果斯市民满意度</w:t>
      </w:r>
      <w:r>
        <w:rPr>
          <w:rFonts w:hint="eastAsia" w:ascii="仿宋_GB2312" w:hAnsi="仿宋_GB2312" w:cs="仿宋_GB2312"/>
          <w:sz w:val="32"/>
          <w:szCs w:val="32"/>
          <w:highlight w:val="none"/>
          <w:lang w:val="en-US" w:eastAsia="zh-CN"/>
        </w:rPr>
        <w:t>，</w:t>
      </w:r>
      <w:r>
        <w:rPr>
          <w:rFonts w:hint="eastAsia"/>
          <w:color w:val="auto"/>
          <w:sz w:val="32"/>
          <w:szCs w:val="32"/>
        </w:rPr>
        <w:t>指标值：</w:t>
      </w:r>
      <w:r>
        <w:rPr>
          <w:rFonts w:hint="eastAsia"/>
          <w:color w:val="auto"/>
          <w:sz w:val="32"/>
          <w:szCs w:val="32"/>
          <w:lang w:val="en-US" w:eastAsia="zh-CN"/>
        </w:rPr>
        <w: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eastAsia="仿宋_GB2312" w:cs="仿宋_GB2312"/>
          <w:kern w:val="2"/>
          <w:sz w:val="32"/>
          <w:szCs w:val="32"/>
          <w:lang w:val="en-US" w:eastAsia="zh-CN" w:bidi="ar-SA"/>
        </w:rPr>
        <w:t>伊犁州霍尔果斯市城区供热工程建设项目项目年初预算300万元，全年预算300万元，实际支出300万元，预算执行率为100%，项目绩效指标总体完成率为100%，</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偏差率为0%。</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项目实施过程中，项目管理方面欠缺经验，部分事项协调处理不及时，施工单位安全生产意识淡薄。单位内部预算绩效工作有待进一步提高，工作职责分工，业务流程设计，存在责任不清，被动应付的情况。部门单位预算绩效管理质量和水平不高。绩效目标设置需要进一步加强编制的合理性，不能客观准确的反映项目建设实效。</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outlineLvl w:val="9"/>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bookmarkStart w:id="22" w:name="_GoBack"/>
      <w:bookmarkEnd w:id="22"/>
    </w:p>
    <w:p/>
    <w:p>
      <w:pPr>
        <w:pStyle w:val="2"/>
      </w:pPr>
    </w:p>
    <w:p>
      <w:pPr>
        <w:sectPr>
          <w:headerReference r:id="rId3" w:type="default"/>
          <w:pgSz w:w="11906" w:h="16838"/>
          <w:pgMar w:top="1928" w:right="1531" w:bottom="1701" w:left="1531" w:header="737" w:footer="851" w:gutter="0"/>
          <w:cols w:space="720" w:num="1"/>
          <w:docGrid w:type="lines" w:linePitch="408" w:charSpace="0"/>
        </w:sectPr>
      </w:pPr>
    </w:p>
    <w:p>
      <w:pPr>
        <w:pStyle w:val="2"/>
        <w:jc w:val="both"/>
      </w:pPr>
    </w:p>
    <w:tbl>
      <w:tblPr>
        <w:tblStyle w:val="11"/>
        <w:tblW w:w="137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53"/>
        <w:gridCol w:w="1054"/>
        <w:gridCol w:w="1058"/>
        <w:gridCol w:w="1120"/>
        <w:gridCol w:w="1150"/>
        <w:gridCol w:w="628"/>
        <w:gridCol w:w="1470"/>
        <w:gridCol w:w="1312"/>
        <w:gridCol w:w="847"/>
        <w:gridCol w:w="762"/>
        <w:gridCol w:w="862"/>
        <w:gridCol w:w="611"/>
        <w:gridCol w:w="692"/>
        <w:gridCol w:w="11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618"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伊犁州霍尔果斯市城区供热工程建设项目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42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霍尔果斯市住房和城乡建设局</w:t>
            </w: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0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霍尔果斯市住房和城乡建设局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0" w:hRule="atLeast"/>
        </w:trPr>
        <w:tc>
          <w:tcPr>
            <w:tcW w:w="21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1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300.00</w:t>
            </w: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300.00</w:t>
            </w: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w:t>
            </w: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21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1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0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21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61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4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根据伊犁哈萨克自治州发展和改革委员会文件（伊州发改投资{2021}162号）文的要求，伊犁州霍尔果斯市城区供热工程建设项目，总投资3000万元，合同价2283.96万元，其中中央预算资金1800万元，建设内容：新建供热管网7千米，管径DN250/DN300，改造提升换热站10座及相关配套设施.项目于2022年10月底完工，项目已支付1200万元，现申请300万元,支付伊犁州霍尔果斯市城区供热工程建设项目进度款，计划于2023年2月支付完成。本工程是霍尔果斯市完善城市供热管网设施重要措施，项目的实施对霍尔果斯市的经济发展具有深远的影响。</w:t>
            </w:r>
          </w:p>
        </w:tc>
        <w:tc>
          <w:tcPr>
            <w:tcW w:w="619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伊犁州霍尔果斯市城区供热工程建设项目，总投资3000万元，合同价2283.96万元，其中中央预算资金1800万元，建设内容：新建供热管网7千米，管径DN250/DN300，改造提升换热站10座及相关配套设施。此项目于2022年10月底已全部完工,23年支付项目工程款300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89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3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6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47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89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8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新建供热管网</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=7000米</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7000米</w:t>
            </w:r>
          </w:p>
        </w:tc>
        <w:tc>
          <w:tcPr>
            <w:tcW w:w="16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8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改造提升换热站</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=10个</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10个</w:t>
            </w:r>
          </w:p>
        </w:tc>
        <w:tc>
          <w:tcPr>
            <w:tcW w:w="16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8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项目竣工验收合格率</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8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支付项目进度款准确率</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8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支付项目进度款完成时间</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8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完善霍尔果斯市基础设施的建设</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有效完善</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有效完善</w:t>
            </w:r>
          </w:p>
        </w:tc>
        <w:tc>
          <w:tcPr>
            <w:tcW w:w="16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8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霍尔果斯市民满意度</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6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884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6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100.00分</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spacing w:line="600" w:lineRule="exact"/>
        <w:rPr>
          <w:rFonts w:hint="eastAsia" w:ascii="黑体" w:hAnsi="黑体" w:eastAsia="黑体" w:cs="黑体"/>
          <w:bCs/>
          <w:sz w:val="32"/>
          <w:szCs w:val="32"/>
        </w:rPr>
        <w:sectPr>
          <w:pgSz w:w="16838" w:h="11906" w:orient="landscape"/>
          <w:pgMar w:top="1531" w:right="1928" w:bottom="1531" w:left="1701" w:header="737" w:footer="851" w:gutter="0"/>
          <w:cols w:space="720" w:num="1"/>
          <w:docGrid w:type="lines" w:linePitch="408" w:charSpace="0"/>
        </w:sectPr>
      </w:pPr>
    </w:p>
    <w:p>
      <w:pPr>
        <w:pStyle w:val="20"/>
        <w:ind w:firstLine="562"/>
        <w:jc w:val="center"/>
        <w:rPr>
          <w:sz w:val="28"/>
          <w:szCs w:val="40"/>
        </w:rPr>
      </w:pPr>
      <w:bookmarkStart w:id="20" w:name="_Toc26499_WPSOffice_Level2"/>
      <w:bookmarkStart w:id="21" w:name="_Toc30064_WPSOffice_Level1"/>
      <w:r>
        <w:rPr>
          <w:rFonts w:hint="eastAsia"/>
          <w:b/>
          <w:bCs/>
          <w:color w:val="auto"/>
          <w:sz w:val="28"/>
          <w:szCs w:val="40"/>
          <w:highlight w:val="none"/>
          <w:lang w:val="en-US" w:eastAsia="zh-CN"/>
        </w:rPr>
        <w:t>伊犁州霍尔果斯市城区供热工程建设项目</w:t>
      </w:r>
      <w:r>
        <w:rPr>
          <w:rFonts w:hint="eastAsia"/>
          <w:b/>
          <w:bCs/>
          <w:color w:val="auto"/>
          <w:sz w:val="28"/>
          <w:szCs w:val="40"/>
          <w:highlight w:val="none"/>
        </w:rPr>
        <w:t>绩效</w:t>
      </w:r>
      <w:r>
        <w:rPr>
          <w:rFonts w:hint="eastAsia"/>
          <w:b/>
          <w:bCs/>
          <w:sz w:val="28"/>
          <w:szCs w:val="40"/>
        </w:rPr>
        <w:t>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325AF5C-AEA7-44A1-AED2-5869F64B4224}"/>
  </w:font>
  <w:font w:name="黑体">
    <w:panose1 w:val="02010609060101010101"/>
    <w:charset w:val="86"/>
    <w:family w:val="auto"/>
    <w:pitch w:val="default"/>
    <w:sig w:usb0="800002BF" w:usb1="38CF7CFA" w:usb2="00000016" w:usb3="00000000" w:csb0="00040001" w:csb1="00000000"/>
    <w:embedRegular r:id="rId2" w:fontKey="{7B446D4A-5E9D-44CB-8D9E-530E8F6D8D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B85F733C-6A01-4821-A46D-C0FC825F3E29}"/>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00000000" w:usb1="00000000" w:usb2="00000000" w:usb3="00000000" w:csb0="00000000" w:csb1="00000000"/>
    <w:embedRegular r:id="rId4" w:fontKey="{4A1241C8-56EF-4FE2-97CB-7FD92C07FDC2}"/>
  </w:font>
  <w:font w:name="红豆小标宋简体">
    <w:altName w:val="宋体"/>
    <w:panose1 w:val="02000509000000000000"/>
    <w:charset w:val="86"/>
    <w:family w:val="auto"/>
    <w:pitch w:val="default"/>
    <w:sig w:usb0="00000000" w:usb1="00000000" w:usb2="00000012" w:usb3="00000000" w:csb0="00040001" w:csb1="00000000"/>
    <w:embedRegular r:id="rId5" w:fontKey="{03F700E9-E848-48CC-8C8D-C857AF923EFC}"/>
  </w:font>
  <w:font w:name="楷体_GB2312">
    <w:panose1 w:val="02010609030101010101"/>
    <w:charset w:val="86"/>
    <w:family w:val="auto"/>
    <w:pitch w:val="default"/>
    <w:sig w:usb0="00000001" w:usb1="080E0000" w:usb2="00000000" w:usb3="00000000" w:csb0="00040000" w:csb1="00000000"/>
    <w:embedRegular r:id="rId6" w:fontKey="{686DCA64-E4B4-4091-B5F5-6E2593F340C4}"/>
  </w:font>
  <w:font w:name="仿宋">
    <w:panose1 w:val="02010609060101010101"/>
    <w:charset w:val="86"/>
    <w:family w:val="modern"/>
    <w:pitch w:val="default"/>
    <w:sig w:usb0="800002BF" w:usb1="38CF7CFA" w:usb2="00000016" w:usb3="00000000" w:csb0="00040001" w:csb1="00000000"/>
    <w:embedRegular r:id="rId7" w:fontKey="{88A78796-359A-432A-BB27-C71F66C6A8DD}"/>
  </w:font>
  <w:font w:name="方正仿宋_GBK">
    <w:panose1 w:val="02000000000000000000"/>
    <w:charset w:val="86"/>
    <w:family w:val="auto"/>
    <w:pitch w:val="default"/>
    <w:sig w:usb0="00000000" w:usb1="00000000" w:usb2="00000000" w:usb3="00000000" w:csb0="00000000" w:csb1="00000000"/>
    <w:embedRegular r:id="rId8" w:fontKey="{11F68B26-6CEA-4F8C-A7DA-08E5AE1F793F}"/>
  </w:font>
  <w:font w:name="楷体">
    <w:panose1 w:val="02010609060101010101"/>
    <w:charset w:val="86"/>
    <w:family w:val="modern"/>
    <w:pitch w:val="default"/>
    <w:sig w:usb0="800002BF" w:usb1="38CF7CFA" w:usb2="00000016" w:usb3="00000000" w:csb0="00040001" w:csb1="00000000"/>
    <w:embedRegular r:id="rId9" w:fontKey="{01579893-12B4-4015-8811-CD3520C5DA5A}"/>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4E52389"/>
    <w:rsid w:val="05253FFE"/>
    <w:rsid w:val="08502DB0"/>
    <w:rsid w:val="0992279B"/>
    <w:rsid w:val="0A2B38F4"/>
    <w:rsid w:val="0E5F7E9D"/>
    <w:rsid w:val="0F2A6BF7"/>
    <w:rsid w:val="0F8C5696"/>
    <w:rsid w:val="109627EE"/>
    <w:rsid w:val="1675491A"/>
    <w:rsid w:val="17136327"/>
    <w:rsid w:val="17AE026A"/>
    <w:rsid w:val="17D46E24"/>
    <w:rsid w:val="181871E2"/>
    <w:rsid w:val="19166846"/>
    <w:rsid w:val="19E83CC9"/>
    <w:rsid w:val="1C632B49"/>
    <w:rsid w:val="1CF1208B"/>
    <w:rsid w:val="1D2E4184"/>
    <w:rsid w:val="1D804DF1"/>
    <w:rsid w:val="1DDC1A6C"/>
    <w:rsid w:val="1E76021D"/>
    <w:rsid w:val="1FA11974"/>
    <w:rsid w:val="20947C82"/>
    <w:rsid w:val="20E92B23"/>
    <w:rsid w:val="221F520B"/>
    <w:rsid w:val="22AC2218"/>
    <w:rsid w:val="24E15888"/>
    <w:rsid w:val="267656C1"/>
    <w:rsid w:val="2729052F"/>
    <w:rsid w:val="28C14634"/>
    <w:rsid w:val="2A981233"/>
    <w:rsid w:val="2ACD7048"/>
    <w:rsid w:val="2BFE2C3D"/>
    <w:rsid w:val="2E727DB4"/>
    <w:rsid w:val="2EC724D4"/>
    <w:rsid w:val="2EE30257"/>
    <w:rsid w:val="2FAF7B4B"/>
    <w:rsid w:val="2FBA5266"/>
    <w:rsid w:val="31F9420D"/>
    <w:rsid w:val="340F1379"/>
    <w:rsid w:val="34DA27CE"/>
    <w:rsid w:val="36332A7E"/>
    <w:rsid w:val="36411DC5"/>
    <w:rsid w:val="36B72533"/>
    <w:rsid w:val="36CC101C"/>
    <w:rsid w:val="36D14327"/>
    <w:rsid w:val="377A41FF"/>
    <w:rsid w:val="3E995BBF"/>
    <w:rsid w:val="3FFD6496"/>
    <w:rsid w:val="4057649F"/>
    <w:rsid w:val="4493170D"/>
    <w:rsid w:val="450B6AE4"/>
    <w:rsid w:val="4A5B2AC6"/>
    <w:rsid w:val="4ABB636D"/>
    <w:rsid w:val="4C505D47"/>
    <w:rsid w:val="4DCA6E22"/>
    <w:rsid w:val="4F624B7D"/>
    <w:rsid w:val="4FEC222F"/>
    <w:rsid w:val="51480E67"/>
    <w:rsid w:val="519636FA"/>
    <w:rsid w:val="54873A1A"/>
    <w:rsid w:val="56796849"/>
    <w:rsid w:val="568F383B"/>
    <w:rsid w:val="5776778D"/>
    <w:rsid w:val="57B24135"/>
    <w:rsid w:val="57F94235"/>
    <w:rsid w:val="5AE467A0"/>
    <w:rsid w:val="5BF169B2"/>
    <w:rsid w:val="5D555EEF"/>
    <w:rsid w:val="5DA95371"/>
    <w:rsid w:val="5DCE3E5A"/>
    <w:rsid w:val="5E8D1CE7"/>
    <w:rsid w:val="61B3300F"/>
    <w:rsid w:val="63053881"/>
    <w:rsid w:val="66D01339"/>
    <w:rsid w:val="66E97CE4"/>
    <w:rsid w:val="67CF22BF"/>
    <w:rsid w:val="686F7714"/>
    <w:rsid w:val="6A862BA8"/>
    <w:rsid w:val="6B9B2216"/>
    <w:rsid w:val="6C4B23BA"/>
    <w:rsid w:val="6DFC1C65"/>
    <w:rsid w:val="6E820FEB"/>
    <w:rsid w:val="6F190B3E"/>
    <w:rsid w:val="74E81716"/>
    <w:rsid w:val="75FA041F"/>
    <w:rsid w:val="760F49BD"/>
    <w:rsid w:val="76E870A0"/>
    <w:rsid w:val="76ED481A"/>
    <w:rsid w:val="77E061A1"/>
    <w:rsid w:val="793406BE"/>
    <w:rsid w:val="79D917F7"/>
    <w:rsid w:val="7AE40DD7"/>
    <w:rsid w:val="7B0C60D2"/>
    <w:rsid w:val="7BEE41A9"/>
    <w:rsid w:val="7CA05F98"/>
    <w:rsid w:val="7D060B60"/>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15</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2024-06-07T05:38:13Z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778AA0E3AF7345E3B2C70F2C76390488</vt:lpwstr>
  </property>
</Properties>
</file>