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hint="eastAsia" w:ascii="宋体" w:hAnsi="宋体" w:eastAsia="宋体" w:cs="Arial"/>
          <w:b/>
          <w:bCs/>
          <w:sz w:val="48"/>
          <w:szCs w:val="48"/>
          <w:highlight w:val="none"/>
          <w:lang w:val="en-US" w:eastAsia="zh-CN"/>
        </w:rPr>
      </w:pPr>
      <w:r>
        <w:rPr>
          <w:rFonts w:hint="eastAsia" w:ascii="宋体" w:hAnsi="宋体" w:eastAsia="宋体" w:cs="Arial"/>
          <w:b/>
          <w:bCs/>
          <w:sz w:val="48"/>
          <w:szCs w:val="48"/>
          <w:highlight w:val="none"/>
          <w:lang w:val="en-US" w:eastAsia="zh-CN"/>
        </w:rPr>
        <w:t>2023年外经贸发展专项</w:t>
      </w:r>
      <w:r>
        <w:rPr>
          <w:rFonts w:ascii="宋体" w:hAnsi="宋体" w:eastAsia="宋体" w:cs="Arial"/>
          <w:b/>
          <w:bCs/>
          <w:sz w:val="48"/>
          <w:szCs w:val="48"/>
          <w:highlight w:val="none"/>
        </w:rPr>
        <w:t>资金项目支出绩效评价</w:t>
      </w:r>
      <w:r>
        <w:rPr>
          <w:rFonts w:hint="eastAsia" w:ascii="宋体" w:hAnsi="宋体" w:eastAsia="宋体" w:cs="Arial"/>
          <w:b/>
          <w:bCs/>
          <w:sz w:val="48"/>
          <w:szCs w:val="48"/>
          <w:highlight w:val="none"/>
          <w:lang w:val="en-US" w:eastAsia="zh-CN"/>
        </w:rPr>
        <w:t>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Times New Roman" w:hAnsi="Times New Roman" w:eastAsia="方正仿宋简体" w:cs="Times New Roman"/>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Times New Roman" w:hAnsi="Times New Roman" w:eastAsia="方正仿宋简体" w:cs="Times New Roman"/>
          <w:sz w:val="32"/>
          <w:szCs w:val="32"/>
          <w:lang w:val="en-US" w:eastAsia="zh-CN"/>
        </w:rPr>
        <w:t>2023年外经贸发展专项资金</w:t>
      </w:r>
    </w:p>
    <w:p>
      <w:pPr>
        <w:spacing w:line="560" w:lineRule="exact"/>
        <w:jc w:val="both"/>
        <w:rPr>
          <w:rFonts w:hint="default" w:ascii="Times New Roman" w:hAnsi="Times New Roman" w:eastAsia="方正仿宋简体" w:cs="Times New Roman"/>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Times New Roman" w:hAnsi="Times New Roman" w:eastAsia="方正仿宋简体" w:cs="Times New Roman"/>
          <w:sz w:val="32"/>
          <w:szCs w:val="32"/>
          <w:lang w:val="en-US" w:eastAsia="zh-CN"/>
        </w:rPr>
        <w:t>霍尔果斯市商务局</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Times New Roman" w:hAnsi="Times New Roman" w:eastAsia="方正仿宋简体" w:cs="Times New Roman"/>
          <w:sz w:val="32"/>
          <w:szCs w:val="32"/>
          <w:lang w:val="en-US" w:eastAsia="zh-CN"/>
        </w:rPr>
        <w:t>霍尔果斯市商务局</w:t>
      </w:r>
    </w:p>
    <w:p>
      <w:pPr>
        <w:spacing w:line="560" w:lineRule="exact"/>
        <w:ind w:firstLine="321" w:firstLineChars="1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Times New Roman" w:hAnsi="Times New Roman" w:eastAsia="方正仿宋简体" w:cs="Times New Roman"/>
          <w:sz w:val="32"/>
          <w:szCs w:val="32"/>
          <w:lang w:val="en-US" w:eastAsia="zh-CN"/>
        </w:rPr>
        <w:t>玛依努尔</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18</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简体" w:cs="Times New Roman"/>
          <w:sz w:val="32"/>
          <w:szCs w:val="32"/>
          <w:lang w:val="en-US" w:eastAsia="zh-CN"/>
        </w:rPr>
      </w:pPr>
      <w:r>
        <w:rPr>
          <w:rFonts w:hint="eastAsia" w:eastAsia="方正仿宋简体" w:cs="Times New Roman"/>
          <w:sz w:val="32"/>
          <w:szCs w:val="32"/>
          <w:lang w:val="en-US" w:eastAsia="zh-CN"/>
        </w:rPr>
        <w:t>　　</w:t>
      </w:r>
      <w:r>
        <w:rPr>
          <w:rFonts w:hint="eastAsia" w:ascii="Times New Roman" w:hAnsi="Times New Roman" w:eastAsia="方正仿宋简体" w:cs="Times New Roman"/>
          <w:sz w:val="32"/>
          <w:szCs w:val="32"/>
          <w:lang w:val="en-US" w:eastAsia="zh-CN"/>
        </w:rPr>
        <w:t>本项目</w:t>
      </w:r>
      <w:r>
        <w:rPr>
          <w:rFonts w:hint="default" w:ascii="Times New Roman" w:hAnsi="Times New Roman" w:eastAsia="方正仿宋简体" w:cs="Times New Roman"/>
          <w:sz w:val="32"/>
          <w:szCs w:val="32"/>
          <w:lang w:val="en-US" w:eastAsia="zh-CN"/>
        </w:rPr>
        <w:t>根据《</w:t>
      </w:r>
      <w:r>
        <w:rPr>
          <w:rFonts w:hint="eastAsia" w:ascii="Times New Roman" w:hAnsi="Times New Roman" w:eastAsia="方正仿宋简体" w:cs="Times New Roman"/>
          <w:sz w:val="32"/>
          <w:szCs w:val="32"/>
          <w:lang w:val="en-US" w:eastAsia="zh-CN"/>
        </w:rPr>
        <w:t>关于做好2023年度外经贸发展专项资金申报工作的通知》（新商发〔2023〕18号）《关于下达2023年中央外经贸发展专项资金预算（拨款）的通知》</w:t>
      </w:r>
      <w:r>
        <w:rPr>
          <w:rFonts w:hint="default" w:ascii="Times New Roman" w:hAnsi="Times New Roman" w:eastAsia="方正仿宋简体" w:cs="Times New Roman"/>
          <w:sz w:val="32"/>
          <w:szCs w:val="32"/>
          <w:lang w:val="en-US" w:eastAsia="zh-CN"/>
        </w:rPr>
        <w:t>工作要求，</w:t>
      </w:r>
      <w:r>
        <w:rPr>
          <w:rFonts w:hint="eastAsia" w:ascii="Times New Roman" w:hAnsi="Times New Roman" w:eastAsia="方正仿宋简体" w:cs="Times New Roman"/>
          <w:sz w:val="32"/>
          <w:szCs w:val="32"/>
          <w:lang w:val="en-US" w:eastAsia="zh-CN"/>
        </w:rPr>
        <w:t>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sz w:val="32"/>
          <w:szCs w:val="32"/>
          <w:highlight w:val="none"/>
          <w:lang w:eastAsia="zh-CN"/>
        </w:rPr>
      </w:pPr>
      <w:r>
        <w:rPr>
          <w:rFonts w:hint="eastAsia" w:ascii="仿宋_GB2312"/>
          <w:sz w:val="32"/>
          <w:szCs w:val="32"/>
          <w:highlight w:val="none"/>
        </w:rPr>
        <w:t>主要内容：</w:t>
      </w:r>
      <w:r>
        <w:rPr>
          <w:rFonts w:hint="eastAsia" w:ascii="仿宋_GB2312"/>
          <w:sz w:val="32"/>
          <w:szCs w:val="32"/>
          <w:highlight w:val="none"/>
          <w:lang w:eastAsia="zh-CN"/>
        </w:rPr>
        <w:t>促进外贸稳中提质，推动贸易产业融合发展，大力发展外贸新业态，提升外贸综合服务平台水平，稳住外贸基本盘；逐步扩大边民互市贸易规模，改善边境贸易仓储物流条件，支持边贸载体建设，提升边境贸易综合竞争力；加强国家级园区建设，提升对外开放水平及发展质量；积极培育发展新业态，扩大出口规模；支持建设的公共服务平台在服务贸易创新发展试点示范、特色服务出口基地的覆盖率进一步扩大。对外贸增速快、增量</w:t>
      </w:r>
      <w:r>
        <w:rPr>
          <w:rFonts w:hint="eastAsia" w:ascii="仿宋_GB2312"/>
          <w:color w:val="auto"/>
          <w:sz w:val="32"/>
          <w:szCs w:val="32"/>
          <w:highlight w:val="none"/>
          <w:lang w:eastAsia="zh-CN"/>
        </w:rPr>
        <w:t>贡献大的重点产业、重点企业加大支持力度。</w:t>
      </w:r>
      <w:r>
        <w:rPr>
          <w:rFonts w:hint="eastAsia" w:ascii="仿宋_GB2312"/>
          <w:sz w:val="32"/>
          <w:szCs w:val="32"/>
          <w:highlight w:val="none"/>
          <w:lang w:eastAsia="zh-CN"/>
        </w:rPr>
        <w:t>推动外贸稳规模优结构项目、支持内外贸（含服贸）中小企业开拓市场项目、支持边境贸易创新发展项目资金、支持国家级园区创新提升项目、支持推动服务贸易创新发展项目等。</w:t>
      </w:r>
    </w:p>
    <w:p>
      <w:pPr>
        <w:spacing w:line="560" w:lineRule="exact"/>
        <w:ind w:firstLine="640" w:firstLineChars="200"/>
        <w:rPr>
          <w:rFonts w:eastAsia="仿宋_GB2312"/>
          <w:sz w:val="32"/>
          <w:szCs w:val="32"/>
        </w:rPr>
      </w:pPr>
      <w:r>
        <w:rPr>
          <w:rFonts w:hint="eastAsia" w:ascii="仿宋_GB2312"/>
          <w:sz w:val="32"/>
          <w:szCs w:val="32"/>
        </w:rPr>
        <w:t>实施情况：</w:t>
      </w:r>
      <w:r>
        <w:rPr>
          <w:rFonts w:hint="eastAsia" w:eastAsia="仿宋_GB2312"/>
          <w:sz w:val="32"/>
          <w:szCs w:val="32"/>
        </w:rPr>
        <w:t>其中：推动外贸稳规模优结构项目9个，拨付资金887.9万元；支持内外贸（含服贸）中小企业开拓市场项目27个，拨付资金106.9816万元；支持边境贸易创新发展项目40个，拨付资金712.1万元；支持推动服务贸易创新发展项目1个（由霍尔果斯小小橙软件开发有限责任公司申报），拨付资金10万元。</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2747.46</w:t>
      </w:r>
      <w:r>
        <w:rPr>
          <w:rFonts w:hint="eastAsia"/>
          <w:color w:val="auto"/>
          <w:sz w:val="32"/>
          <w:szCs w:val="32"/>
        </w:rPr>
        <w:t>万元，全年预算数</w:t>
      </w:r>
      <w:r>
        <w:rPr>
          <w:rFonts w:hint="eastAsia"/>
          <w:color w:val="auto"/>
          <w:sz w:val="32"/>
          <w:szCs w:val="32"/>
          <w:lang w:val="en-US" w:eastAsia="zh-CN"/>
        </w:rPr>
        <w:t>2747.46</w:t>
      </w:r>
      <w:r>
        <w:rPr>
          <w:rFonts w:hint="eastAsia"/>
          <w:color w:val="auto"/>
          <w:sz w:val="32"/>
          <w:szCs w:val="32"/>
        </w:rPr>
        <w:t>万元，实际总投入</w:t>
      </w:r>
      <w:r>
        <w:rPr>
          <w:rFonts w:hint="eastAsia"/>
          <w:color w:val="auto"/>
          <w:sz w:val="32"/>
          <w:szCs w:val="32"/>
          <w:lang w:val="en-US" w:eastAsia="zh-CN"/>
        </w:rPr>
        <w:t>1716.98</w:t>
      </w:r>
      <w:r>
        <w:rPr>
          <w:rFonts w:hint="eastAsia"/>
          <w:color w:val="auto"/>
          <w:sz w:val="32"/>
          <w:szCs w:val="32"/>
        </w:rPr>
        <w:t>万元，该项目资金落实到位</w:t>
      </w:r>
      <w:r>
        <w:rPr>
          <w:rFonts w:hint="eastAsia"/>
          <w:color w:val="auto"/>
          <w:sz w:val="32"/>
          <w:szCs w:val="32"/>
          <w:lang w:val="en-US" w:eastAsia="zh-CN"/>
        </w:rPr>
        <w:t>1716.98</w:t>
      </w:r>
      <w:r>
        <w:rPr>
          <w:rFonts w:hint="eastAsia"/>
          <w:color w:val="auto"/>
          <w:sz w:val="32"/>
          <w:szCs w:val="32"/>
        </w:rPr>
        <w:t>万元，资金来源为</w:t>
      </w:r>
      <w:r>
        <w:rPr>
          <w:rFonts w:hint="eastAsia"/>
          <w:color w:val="auto"/>
          <w:sz w:val="32"/>
          <w:szCs w:val="32"/>
          <w:lang w:val="en-US" w:eastAsia="zh-CN"/>
        </w:rPr>
        <w:t>中央财政资金</w:t>
      </w:r>
      <w:r>
        <w:rPr>
          <w:rFonts w:hint="eastAsia"/>
          <w:color w:val="auto"/>
          <w:sz w:val="32"/>
          <w:szCs w:val="32"/>
        </w:rPr>
        <w:t>。</w:t>
      </w:r>
    </w:p>
    <w:p>
      <w:pPr>
        <w:spacing w:line="560" w:lineRule="exact"/>
        <w:ind w:firstLine="640" w:firstLineChars="200"/>
        <w:rPr>
          <w:rFonts w:hint="eastAsia"/>
          <w:color w:val="FF0000"/>
          <w:sz w:val="32"/>
          <w:szCs w:val="32"/>
        </w:rPr>
      </w:pPr>
      <w:r>
        <w:rPr>
          <w:rFonts w:hint="eastAsia" w:eastAsia="仿宋_GB2312"/>
          <w:sz w:val="32"/>
          <w:szCs w:val="32"/>
        </w:rPr>
        <w:t>资金使用情况：该项目年初预算数</w:t>
      </w:r>
      <w:r>
        <w:rPr>
          <w:rFonts w:hint="eastAsia"/>
          <w:color w:val="auto"/>
          <w:sz w:val="32"/>
          <w:szCs w:val="32"/>
          <w:lang w:val="en-US" w:eastAsia="zh-CN"/>
        </w:rPr>
        <w:t>2747.46</w:t>
      </w:r>
      <w:r>
        <w:rPr>
          <w:rFonts w:hint="eastAsia" w:eastAsia="仿宋_GB2312"/>
          <w:sz w:val="32"/>
          <w:szCs w:val="32"/>
        </w:rPr>
        <w:t>万元，全年预算数</w:t>
      </w:r>
      <w:r>
        <w:rPr>
          <w:rFonts w:hint="eastAsia" w:eastAsia="仿宋_GB2312"/>
          <w:sz w:val="32"/>
          <w:szCs w:val="32"/>
          <w:lang w:val="en-US" w:eastAsia="zh-CN"/>
        </w:rPr>
        <w:t>2747.46</w:t>
      </w:r>
      <w:r>
        <w:rPr>
          <w:rFonts w:hint="eastAsia" w:eastAsia="仿宋_GB2312"/>
          <w:sz w:val="32"/>
          <w:szCs w:val="32"/>
        </w:rPr>
        <w:t>万元</w:t>
      </w:r>
      <w:r>
        <w:rPr>
          <w:rFonts w:hint="eastAsia" w:eastAsia="仿宋_GB2312"/>
          <w:sz w:val="32"/>
          <w:szCs w:val="32"/>
          <w:lang w:eastAsia="zh-CN"/>
        </w:rPr>
        <w:t>，</w:t>
      </w:r>
      <w:r>
        <w:rPr>
          <w:rFonts w:hint="eastAsia" w:eastAsia="仿宋_GB2312"/>
          <w:sz w:val="32"/>
          <w:szCs w:val="32"/>
        </w:rPr>
        <w:t>全年执行数</w:t>
      </w:r>
      <w:r>
        <w:rPr>
          <w:rFonts w:hint="eastAsia" w:eastAsia="仿宋_GB2312"/>
          <w:sz w:val="32"/>
          <w:szCs w:val="32"/>
          <w:lang w:val="en-US" w:eastAsia="zh-CN"/>
        </w:rPr>
        <w:t>1716.98</w:t>
      </w:r>
      <w:r>
        <w:rPr>
          <w:rFonts w:hint="eastAsia" w:eastAsia="仿宋_GB2312"/>
          <w:sz w:val="32"/>
          <w:szCs w:val="32"/>
        </w:rPr>
        <w:t>万元，预算执行率为</w:t>
      </w:r>
      <w:r>
        <w:rPr>
          <w:rFonts w:hint="eastAsia" w:eastAsia="仿宋_GB2312"/>
          <w:sz w:val="32"/>
          <w:szCs w:val="32"/>
          <w:lang w:val="en-US" w:eastAsia="zh-CN"/>
        </w:rPr>
        <w:t>62.49</w:t>
      </w:r>
      <w:r>
        <w:rPr>
          <w:rFonts w:hint="eastAsia" w:eastAsia="仿宋_GB2312"/>
          <w:sz w:val="32"/>
          <w:szCs w:val="32"/>
        </w:rPr>
        <w:t>%</w:t>
      </w:r>
      <w:r>
        <w:rPr>
          <w:rFonts w:hint="eastAsia" w:eastAsia="仿宋_GB2312"/>
          <w:sz w:val="32"/>
          <w:szCs w:val="32"/>
          <w:lang w:val="en-US" w:eastAsia="zh-CN"/>
        </w:rPr>
        <w:t xml:space="preserve"> </w:t>
      </w:r>
      <w:r>
        <w:rPr>
          <w:rFonts w:hint="eastAsia" w:eastAsia="仿宋_GB2312"/>
          <w:sz w:val="32"/>
          <w:szCs w:val="32"/>
        </w:rPr>
        <w:t>，</w:t>
      </w:r>
      <w:r>
        <w:rPr>
          <w:rFonts w:hint="eastAsia" w:eastAsia="仿宋_GB2312"/>
          <w:sz w:val="32"/>
          <w:szCs w:val="32"/>
          <w:lang w:eastAsia="zh-CN"/>
        </w:rPr>
        <w:t>主要</w:t>
      </w:r>
      <w:r>
        <w:rPr>
          <w:rFonts w:hint="eastAsia" w:eastAsia="仿宋_GB2312"/>
          <w:sz w:val="32"/>
          <w:szCs w:val="32"/>
        </w:rPr>
        <w:t>用于：</w:t>
      </w:r>
      <w:bookmarkStart w:id="2" w:name="_Toc68703829"/>
      <w:r>
        <w:rPr>
          <w:rFonts w:hint="eastAsia" w:eastAsia="仿宋_GB2312"/>
          <w:sz w:val="32"/>
          <w:szCs w:val="32"/>
        </w:rPr>
        <w:t>推动外贸稳规模优结构项目9个，拨付资金887.9万元；支持内外贸（含服贸）中小企业开拓市场项目27个，拨付资金106.9816万元；支持边境贸易创新发展项目40个，拨付资金712.1万元；支持推动服务贸易创新发展项目1个（由霍尔果斯小小橙软件开发有限责任公司申报），拨付资金10万元。</w:t>
      </w:r>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_GB2312"/>
          <w:sz w:val="32"/>
          <w:szCs w:val="32"/>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hint="eastAsia" w:eastAsia="仿宋_GB2312"/>
          <w:sz w:val="32"/>
          <w:szCs w:val="32"/>
        </w:rPr>
        <w:t>目标1：促进外贸稳中提质，推动贸易产业融合发展，大力发展外贸新业态，提升外贸综合服务平台水平，稳住外贸基本盘；逐步扩大边民互市贸易规模，改善边境贸易仓储物流条件，支持边贸载体建设，提升边境贸易综合竞争力；加强国家级园区建设，提升对外开放水平及发展质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_GB2312"/>
          <w:sz w:val="32"/>
          <w:szCs w:val="32"/>
        </w:rPr>
      </w:pPr>
      <w:r>
        <w:rPr>
          <w:rFonts w:hint="eastAsia" w:eastAsia="仿宋_GB2312"/>
          <w:sz w:val="32"/>
          <w:szCs w:val="32"/>
        </w:rPr>
        <w:t>目标2：积极培育发展新业态，扩大出口规模；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_GB2312"/>
          <w:sz w:val="32"/>
          <w:szCs w:val="32"/>
        </w:rPr>
      </w:pPr>
      <w:r>
        <w:rPr>
          <w:rFonts w:hint="eastAsia" w:eastAsia="仿宋_GB2312"/>
          <w:sz w:val="32"/>
          <w:szCs w:val="32"/>
        </w:rPr>
        <w:t>目标3：支持建设的公共服务平台在服务贸易创新发展试点示范、特色服务出口基地的覆盖率进一步扩大。</w:t>
      </w:r>
    </w:p>
    <w:p>
      <w:pPr>
        <w:numPr>
          <w:ilvl w:val="0"/>
          <w:numId w:val="2"/>
        </w:numPr>
        <w:spacing w:line="560" w:lineRule="exact"/>
        <w:ind w:left="320" w:leftChars="0" w:firstLine="0" w:firstLineChars="0"/>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阶段性目标：</w:t>
      </w:r>
      <w:bookmarkStart w:id="3" w:name="_Toc687038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sz w:val="32"/>
          <w:szCs w:val="32"/>
          <w:lang w:val="en-US" w:eastAsia="zh-CN"/>
        </w:rPr>
        <w:t>支</w:t>
      </w:r>
      <w:r>
        <w:rPr>
          <w:rFonts w:hint="eastAsia" w:eastAsia="仿宋_GB2312"/>
          <w:sz w:val="32"/>
          <w:szCs w:val="32"/>
          <w:lang w:val="en-US" w:eastAsia="zh-CN"/>
        </w:rPr>
        <w:t>持外经贸发展专项资金拨了77家1716.9816万元。推动外贸稳规模优结构项目、支持内外贸（含服贸）中小企业开拓市场项目、支持边境贸易创新发展项目资金、支持国家级园区创新提升项目、支持推动服务贸易创新发展项目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0"/>
        </w:numPr>
        <w:spacing w:line="560" w:lineRule="exact"/>
        <w:ind w:firstLine="640" w:firstLineChars="200"/>
        <w:rPr>
          <w:rFonts w:eastAsia="仿宋_GB2312"/>
          <w:sz w:val="32"/>
          <w:szCs w:val="32"/>
        </w:rPr>
      </w:pPr>
      <w:r>
        <w:rPr>
          <w:rFonts w:hint="eastAsia"/>
          <w:sz w:val="32"/>
          <w:szCs w:val="32"/>
          <w:lang w:eastAsia="zh-CN"/>
        </w:rPr>
        <w:t>（</w:t>
      </w:r>
      <w:r>
        <w:rPr>
          <w:rFonts w:hint="eastAsia"/>
          <w:sz w:val="32"/>
          <w:szCs w:val="32"/>
          <w:lang w:val="en-US" w:eastAsia="zh-CN"/>
        </w:rPr>
        <w:t>1</w:t>
      </w:r>
      <w:r>
        <w:rPr>
          <w:rFonts w:hint="eastAsia"/>
          <w:sz w:val="32"/>
          <w:szCs w:val="32"/>
          <w:lang w:eastAsia="zh-CN"/>
        </w:rPr>
        <w:t>）</w:t>
      </w: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2"/>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pStyle w:val="7"/>
        <w:rPr>
          <w:rFonts w:hint="default"/>
          <w:color w:val="auto"/>
          <w:highlight w:val="none"/>
          <w:lang w:val="en-US" w:eastAsia="zh-CN"/>
        </w:rPr>
      </w:pPr>
      <w:r>
        <w:rPr>
          <w:rFonts w:hint="eastAsia"/>
          <w:color w:val="auto"/>
          <w:highlight w:val="none"/>
          <w:lang w:val="en-US" w:eastAsia="zh-CN"/>
        </w:rPr>
        <w:t>2023年度外经贸发展专项资金</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2023年度外经贸发展专项资金评价，评价核心为资金的支出完成情况和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pPr>
      <w:r>
        <w:rPr>
          <w:rFonts w:ascii="Times New Roman" w:hAnsi="Times New Roman" w:eastAsia="仿宋_GB2312"/>
          <w:b w:val="0"/>
          <w:bCs w:val="0"/>
        </w:rP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outlineLvl w:val="9"/>
        <w:rPr>
          <w:rFonts w:hint="eastAsia"/>
          <w:sz w:val="32"/>
          <w:szCs w:val="32"/>
        </w:rPr>
      </w:pPr>
      <w:r>
        <w:rPr>
          <w:rFonts w:hint="eastAsia"/>
        </w:rPr>
        <w:t>2、</w:t>
      </w:r>
      <w:r>
        <w:rPr>
          <w:rFonts w:hint="eastAsia"/>
          <w:sz w:val="32"/>
          <w:szCs w:val="32"/>
        </w:rPr>
        <w:t>评价指标体系</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1</w:t>
      </w:r>
      <w:r>
        <w:rPr>
          <w:rFonts w:hint="eastAsia"/>
          <w:sz w:val="32"/>
          <w:szCs w:val="32"/>
          <w:highlight w:val="none"/>
          <w:lang w:val="en-US" w:eastAsia="zh-CN"/>
        </w:rPr>
        <w:t>.</w:t>
      </w:r>
      <w:r>
        <w:rPr>
          <w:rFonts w:hint="eastAsia"/>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2</w:t>
      </w:r>
      <w:r>
        <w:rPr>
          <w:rFonts w:hint="eastAsia"/>
          <w:sz w:val="32"/>
          <w:szCs w:val="32"/>
          <w:highlight w:val="none"/>
          <w:lang w:val="en-US" w:eastAsia="zh-CN"/>
        </w:rPr>
        <w:t>.</w:t>
      </w:r>
      <w:r>
        <w:rPr>
          <w:rFonts w:hint="eastAsia"/>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3</w:t>
      </w:r>
      <w:r>
        <w:rPr>
          <w:rFonts w:hint="eastAsia"/>
          <w:sz w:val="32"/>
          <w:szCs w:val="32"/>
          <w:highlight w:val="none"/>
          <w:lang w:val="en-US" w:eastAsia="zh-CN"/>
        </w:rPr>
        <w:t>.</w:t>
      </w:r>
      <w:r>
        <w:rPr>
          <w:rFonts w:hint="eastAsia"/>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highlight w:val="none"/>
        </w:rPr>
      </w:pPr>
      <w:bookmarkStart w:id="7" w:name="_Toc68703834"/>
      <w:r>
        <w:rPr>
          <w:rFonts w:hint="eastAsia" w:eastAsia="仿宋_GB2312"/>
          <w:bCs/>
          <w:sz w:val="32"/>
          <w:szCs w:val="32"/>
          <w:highlight w:val="none"/>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highlight w:val="none"/>
          <w:lang w:val="en-US" w:eastAsia="zh-CN"/>
        </w:rPr>
        <w:t>三、</w:t>
      </w:r>
      <w:r>
        <w:rPr>
          <w:rFonts w:hint="eastAsia" w:ascii="Times New Roman" w:hAnsi="Times New Roman" w:eastAsia="黑体" w:cs="Times New Roman"/>
          <w:bCs/>
          <w:sz w:val="32"/>
          <w:szCs w:val="32"/>
          <w:highlight w:val="none"/>
          <w:lang w:val="en-US" w:eastAsia="zh-CN"/>
        </w:rPr>
        <w:t>综合评价情况及评价结论</w:t>
      </w:r>
      <w:bookmarkEnd w:id="7"/>
      <w:r>
        <w:rPr>
          <w:rFonts w:eastAsia="黑体"/>
          <w:sz w:val="32"/>
          <w:szCs w:val="32"/>
          <w:highlight w:val="none"/>
        </w:rPr>
        <w:t>（</w:t>
      </w:r>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12"/>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eastAsia"/>
          <w:sz w:val="30"/>
          <w:szCs w:val="30"/>
          <w:lang w:eastAsia="zh-CN"/>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w:t>
      </w:r>
      <w:r>
        <w:rPr>
          <w:rFonts w:hint="eastAsia" w:ascii="Times New Roman" w:hAnsi="Times New Roman" w:eastAsia="仿宋_GB2312"/>
          <w:b w:val="0"/>
          <w:bCs w:val="0"/>
          <w:highlight w:val="none"/>
        </w:rPr>
        <w:t>办法》（财预〔2020〕10号）文件的评分标准，通过数据采集、问卷调查及访谈等方式，对本项目进行客观评价，最终评分结果：总得分为</w:t>
      </w:r>
      <w:r>
        <w:rPr>
          <w:rFonts w:hint="eastAsia" w:ascii="Times New Roman" w:hAnsi="Times New Roman" w:eastAsia="仿宋_GB2312"/>
          <w:b w:val="0"/>
          <w:bCs w:val="0"/>
          <w:highlight w:val="none"/>
          <w:lang w:val="en-US" w:eastAsia="zh-CN"/>
        </w:rPr>
        <w:t>93.11</w:t>
      </w:r>
      <w:r>
        <w:rPr>
          <w:rFonts w:hint="eastAsia" w:ascii="Times New Roman" w:hAnsi="Times New Roman" w:eastAsia="仿宋_GB2312"/>
          <w:b w:val="0"/>
          <w:bCs w:val="0"/>
          <w:highlight w:val="none"/>
        </w:rPr>
        <w:t>分，属于“优”。其中，</w:t>
      </w:r>
      <w:r>
        <w:rPr>
          <w:rFonts w:hint="eastAsia" w:ascii="Times New Roman" w:hAnsi="Times New Roman" w:eastAsia="仿宋_GB2312"/>
          <w:b w:val="0"/>
          <w:bCs w:val="0"/>
          <w:color w:val="auto"/>
          <w:highlight w:val="none"/>
        </w:rPr>
        <w:t xml:space="preserve">项目决策类指标权重为20分，得分为 </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17</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85</w:t>
      </w:r>
      <w:r>
        <w:rPr>
          <w:rFonts w:hint="eastAsia" w:ascii="Times New Roman" w:hAnsi="Times New Roman" w:eastAsia="仿宋_GB2312"/>
          <w:b w:val="0"/>
          <w:bCs w:val="0"/>
          <w:color w:val="auto"/>
          <w:highlight w:val="none"/>
        </w:rPr>
        <w:t>%。项目产出类指标权重为</w:t>
      </w:r>
      <w:r>
        <w:rPr>
          <w:rFonts w:hint="eastAsia" w:ascii="Times New Roman" w:hAnsi="Times New Roman" w:eastAsia="仿宋_GB2312"/>
          <w:b w:val="0"/>
          <w:bCs w:val="0"/>
          <w:color w:val="auto"/>
          <w:highlight w:val="none"/>
          <w:lang w:val="en-US" w:eastAsia="zh-CN"/>
        </w:rPr>
        <w:t>40</w:t>
      </w:r>
      <w:r>
        <w:rPr>
          <w:rFonts w:hint="eastAsia"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36.21</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90.53</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19.9</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99.5</w:t>
      </w:r>
      <w:r>
        <w:rPr>
          <w:rFonts w:hint="eastAsia" w:ascii="Times New Roman" w:hAnsi="Times New Roman" w:eastAsia="仿宋_GB2312"/>
          <w:b w:val="0"/>
          <w:bCs w:val="0"/>
          <w:color w:val="auto"/>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bookmarkStart w:id="22" w:name="_GoBack"/>
      <w:bookmarkEnd w:id="22"/>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17</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36.21</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19.9</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93.11</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highlight w:val="none"/>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w:t>
      </w:r>
      <w:r>
        <w:rPr>
          <w:rFonts w:hint="eastAsia"/>
          <w:b w:val="0"/>
          <w:bCs w:val="0"/>
          <w:color w:val="auto"/>
          <w:sz w:val="32"/>
          <w:szCs w:val="32"/>
          <w:lang w:val="en-US" w:eastAsia="zh-CN"/>
        </w:rPr>
        <w:t>20</w:t>
      </w:r>
      <w:r>
        <w:rPr>
          <w:rFonts w:hint="eastAsia"/>
          <w:b w:val="0"/>
          <w:bCs w:val="0"/>
          <w:sz w:val="32"/>
          <w:szCs w:val="32"/>
          <w:lang w:val="en-US" w:eastAsia="zh-CN"/>
        </w:rPr>
        <w:t>分</w:t>
      </w:r>
      <w:r>
        <w:rPr>
          <w:rFonts w:hint="eastAsia"/>
          <w:b w:val="0"/>
          <w:bCs w:val="0"/>
          <w:sz w:val="32"/>
          <w:szCs w:val="32"/>
          <w:highlight w:val="none"/>
          <w:lang w:val="en-US" w:eastAsia="zh-CN"/>
        </w:rPr>
        <w:t>，得分率为</w:t>
      </w:r>
      <w:r>
        <w:rPr>
          <w:rFonts w:hint="eastAsia"/>
          <w:b w:val="0"/>
          <w:bCs w:val="0"/>
          <w:sz w:val="32"/>
          <w:szCs w:val="32"/>
          <w:lang w:val="en-US" w:eastAsia="zh-CN"/>
        </w:rPr>
        <w:t>100%。</w:t>
      </w:r>
    </w:p>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根据决算依据编制工作计划和经费预算，经过与部门项目分管领导沟通、筛选确定经费预算计划，确定最终预算方案。项目的审批文件、材料符合相关要求，保障了程序的规范性。</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lang w:val="en-US" w:eastAsia="zh-CN"/>
        </w:rPr>
        <w:t>三级指标构成，权重分值为</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lang w:val="en-US" w:eastAsia="zh-CN"/>
        </w:rPr>
        <w:t>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17</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85</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项目总投资2747.4616万元，财政资金及时足额到位，到位率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62.49</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%，预算资金按计划进度执行。</w:t>
      </w:r>
    </w:p>
    <w:p>
      <w:pPr>
        <w:shd w:val="clear"/>
        <w:spacing w:line="600" w:lineRule="exact"/>
        <w:ind w:firstLine="640" w:firstLineChars="200"/>
        <w:outlineLvl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（2）预算执行率</w:t>
      </w:r>
    </w:p>
    <w:p>
      <w:pPr>
        <w:shd w:val="clear"/>
        <w:spacing w:line="600" w:lineRule="exact"/>
        <w:ind w:firstLine="640" w:firstLineChars="200"/>
        <w:outlineLvl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预算编制较为详细，项目资金支出总体能够按照预算执行，预算资金支出</w:t>
      </w:r>
      <w:r>
        <w:rPr>
          <w:rFonts w:hint="eastAsia"/>
          <w:color w:val="000000" w:themeColor="text1"/>
          <w:sz w:val="32"/>
          <w:szCs w:val="32"/>
          <w:highlight w:val="none"/>
          <w:lang w:val="en-US" w:eastAsia="zh-CN"/>
          <w14:textFill>
            <w14:solidFill>
              <w14:schemeClr w14:val="tx1"/>
            </w14:solidFill>
          </w14:textFill>
        </w:rPr>
        <w:t>1716.98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万元，预算执行率为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62.49</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8</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36.21</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90.53</w:t>
      </w:r>
      <w:r>
        <w:rPr>
          <w:rFonts w:hint="eastAsia" w:ascii="仿宋_GB2312" w:hAnsi="仿宋_GB2312" w:eastAsia="仿宋_GB2312" w:cs="仿宋_GB2312"/>
          <w:sz w:val="32"/>
          <w:szCs w:val="32"/>
          <w:highlight w:val="none"/>
          <w:lang w:val="en-US" w:eastAsia="zh-CN"/>
        </w:rPr>
        <w:t>%。具体</w:t>
      </w:r>
      <w:r>
        <w:rPr>
          <w:rFonts w:hint="eastAsia" w:ascii="仿宋_GB2312" w:hAnsi="仿宋_GB2312" w:eastAsia="仿宋_GB2312" w:cs="仿宋_GB2312"/>
          <w:sz w:val="32"/>
          <w:szCs w:val="32"/>
          <w:lang w:val="en-US" w:eastAsia="zh-CN"/>
        </w:rPr>
        <w:t>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lang w:eastAsia="zh-CN"/>
        </w:rPr>
        <w:t>指标1：推动外贸稳规模优结构，指标值：</w:t>
      </w:r>
      <w:r>
        <w:rPr>
          <w:rFonts w:hint="eastAsia"/>
          <w:color w:val="auto"/>
          <w:sz w:val="32"/>
          <w:szCs w:val="32"/>
          <w:highlight w:val="none"/>
          <w:lang w:val="en-US" w:eastAsia="zh-CN"/>
        </w:rPr>
        <w:t>=10家</w:t>
      </w:r>
      <w:r>
        <w:rPr>
          <w:rFonts w:hint="eastAsia"/>
          <w:color w:val="auto"/>
          <w:sz w:val="32"/>
          <w:szCs w:val="32"/>
          <w:highlight w:val="none"/>
          <w:lang w:eastAsia="zh-CN"/>
        </w:rPr>
        <w:t>，实际完成值：</w:t>
      </w:r>
      <w:r>
        <w:rPr>
          <w:rFonts w:hint="eastAsia"/>
          <w:color w:val="auto"/>
          <w:sz w:val="32"/>
          <w:szCs w:val="32"/>
          <w:highlight w:val="none"/>
          <w:lang w:val="en-US" w:eastAsia="zh-CN"/>
        </w:rPr>
        <w:t>9家</w:t>
      </w:r>
      <w:r>
        <w:rPr>
          <w:rFonts w:hint="eastAsia"/>
          <w:color w:val="auto"/>
          <w:sz w:val="32"/>
          <w:szCs w:val="32"/>
          <w:highlight w:val="none"/>
          <w:lang w:eastAsia="zh-CN"/>
        </w:rPr>
        <w:t>，指标完成率</w:t>
      </w:r>
      <w:r>
        <w:rPr>
          <w:rFonts w:hint="eastAsia"/>
          <w:color w:val="auto"/>
          <w:sz w:val="32"/>
          <w:szCs w:val="32"/>
          <w:highlight w:val="none"/>
          <w:lang w:val="en-US" w:eastAsia="zh-CN"/>
        </w:rPr>
        <w:t>90</w:t>
      </w:r>
      <w:r>
        <w:rPr>
          <w:rFonts w:hint="eastAsia"/>
          <w:color w:val="auto"/>
          <w:sz w:val="32"/>
          <w:szCs w:val="32"/>
          <w:highlight w:val="none"/>
          <w:lang w:eastAsia="zh-CN"/>
        </w:rPr>
        <w:t>%，</w:t>
      </w:r>
      <w:r>
        <w:rPr>
          <w:rFonts w:hint="eastAsia"/>
          <w:color w:val="auto"/>
          <w:sz w:val="32"/>
          <w:szCs w:val="32"/>
          <w:highlight w:val="none"/>
          <w:lang w:val="en-US" w:eastAsia="zh-CN"/>
        </w:rPr>
        <w:t>偏差率10%，</w:t>
      </w:r>
      <w:r>
        <w:rPr>
          <w:rFonts w:hint="eastAsia"/>
          <w:color w:val="auto"/>
          <w:sz w:val="32"/>
          <w:szCs w:val="32"/>
          <w:highlight w:val="none"/>
          <w:lang w:eastAsia="zh-CN"/>
        </w:rPr>
        <w:t>偏差原因：接商务厅通知暂缓拨付霍尔果斯金亿国际贸易（集团）有限公司推动外贸稳规模优结构项目项目资金930000元。</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lang w:eastAsia="zh-CN"/>
        </w:rPr>
        <w:t>指标2：支持内外贸中小企业开拓市场，指标值：=</w:t>
      </w:r>
      <w:r>
        <w:rPr>
          <w:rFonts w:hint="eastAsia"/>
          <w:color w:val="auto"/>
          <w:sz w:val="32"/>
          <w:szCs w:val="32"/>
          <w:highlight w:val="none"/>
          <w:lang w:val="en-US" w:eastAsia="zh-CN"/>
        </w:rPr>
        <w:t>29</w:t>
      </w:r>
      <w:r>
        <w:rPr>
          <w:rFonts w:hint="eastAsia"/>
          <w:color w:val="auto"/>
          <w:sz w:val="32"/>
          <w:szCs w:val="32"/>
          <w:highlight w:val="none"/>
          <w:lang w:eastAsia="zh-CN"/>
        </w:rPr>
        <w:t>个，实际完成值：</w:t>
      </w:r>
      <w:r>
        <w:rPr>
          <w:rFonts w:hint="eastAsia"/>
          <w:color w:val="auto"/>
          <w:sz w:val="32"/>
          <w:szCs w:val="32"/>
          <w:highlight w:val="none"/>
          <w:lang w:val="en-US" w:eastAsia="zh-CN"/>
        </w:rPr>
        <w:t>27</w:t>
      </w:r>
      <w:r>
        <w:rPr>
          <w:rFonts w:hint="eastAsia"/>
          <w:color w:val="auto"/>
          <w:sz w:val="32"/>
          <w:szCs w:val="32"/>
          <w:highlight w:val="none"/>
          <w:lang w:eastAsia="zh-CN"/>
        </w:rPr>
        <w:t>个，指标完成率</w:t>
      </w:r>
      <w:r>
        <w:rPr>
          <w:rFonts w:hint="eastAsia"/>
          <w:color w:val="auto"/>
          <w:sz w:val="32"/>
          <w:szCs w:val="32"/>
          <w:highlight w:val="none"/>
          <w:lang w:val="en-US" w:eastAsia="zh-CN"/>
        </w:rPr>
        <w:t>93</w:t>
      </w:r>
      <w:r>
        <w:rPr>
          <w:rFonts w:hint="eastAsia"/>
          <w:color w:val="auto"/>
          <w:sz w:val="32"/>
          <w:szCs w:val="32"/>
          <w:highlight w:val="none"/>
          <w:lang w:eastAsia="zh-CN"/>
        </w:rPr>
        <w:t>%，</w:t>
      </w:r>
      <w:r>
        <w:rPr>
          <w:rFonts w:hint="eastAsia"/>
          <w:color w:val="auto"/>
          <w:sz w:val="32"/>
          <w:szCs w:val="32"/>
          <w:highlight w:val="none"/>
          <w:lang w:val="en-US" w:eastAsia="zh-CN"/>
        </w:rPr>
        <w:t>偏差率7%</w:t>
      </w:r>
      <w:r>
        <w:rPr>
          <w:rFonts w:hint="eastAsia"/>
          <w:color w:val="auto"/>
          <w:sz w:val="32"/>
          <w:szCs w:val="32"/>
          <w:highlight w:val="none"/>
          <w:lang w:eastAsia="zh-CN"/>
        </w:rPr>
        <w:t>，偏差原因：接商务厅通知暂缓</w:t>
      </w:r>
      <w:r>
        <w:rPr>
          <w:rFonts w:hint="eastAsia"/>
          <w:color w:val="auto"/>
          <w:sz w:val="32"/>
          <w:szCs w:val="32"/>
          <w:highlight w:val="none"/>
          <w:lang w:val="en-US" w:eastAsia="zh-CN"/>
        </w:rPr>
        <w:t>霍尔果斯金亿国际贸易（集团）有限公司支持内外贸（含服贸）中小企业开拓市场项目资金16800元；霍尔果斯兄弟连富进出口贸易有限公司支持内外贸（含服贸）中小企业开拓市场项目资金30000元。</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color w:val="auto"/>
          <w:sz w:val="32"/>
          <w:szCs w:val="32"/>
          <w:highlight w:val="none"/>
          <w:lang w:val="en-US" w:eastAsia="zh-CN"/>
        </w:rPr>
      </w:pPr>
      <w:r>
        <w:rPr>
          <w:rFonts w:hint="eastAsia"/>
          <w:color w:val="auto"/>
          <w:sz w:val="32"/>
          <w:szCs w:val="32"/>
          <w:highlight w:val="none"/>
          <w:lang w:eastAsia="zh-CN"/>
        </w:rPr>
        <w:t>指标</w:t>
      </w:r>
      <w:r>
        <w:rPr>
          <w:rFonts w:hint="eastAsia"/>
          <w:color w:val="auto"/>
          <w:sz w:val="32"/>
          <w:szCs w:val="32"/>
          <w:highlight w:val="none"/>
          <w:lang w:val="en-US" w:eastAsia="zh-CN"/>
        </w:rPr>
        <w:t>3</w:t>
      </w:r>
      <w:r>
        <w:rPr>
          <w:rFonts w:hint="eastAsia"/>
          <w:color w:val="auto"/>
          <w:sz w:val="32"/>
          <w:szCs w:val="32"/>
          <w:highlight w:val="none"/>
          <w:lang w:eastAsia="zh-CN"/>
        </w:rPr>
        <w:t>：支持边境贸易创新发展，指标值：=</w:t>
      </w:r>
      <w:r>
        <w:rPr>
          <w:rFonts w:hint="eastAsia"/>
          <w:color w:val="auto"/>
          <w:sz w:val="32"/>
          <w:szCs w:val="32"/>
          <w:highlight w:val="none"/>
          <w:lang w:val="en-US" w:eastAsia="zh-CN"/>
        </w:rPr>
        <w:t>42</w:t>
      </w:r>
      <w:r>
        <w:rPr>
          <w:rFonts w:hint="eastAsia"/>
          <w:color w:val="auto"/>
          <w:sz w:val="32"/>
          <w:szCs w:val="32"/>
          <w:highlight w:val="none"/>
          <w:lang w:eastAsia="zh-CN"/>
        </w:rPr>
        <w:t>个，实际完成值：</w:t>
      </w:r>
      <w:r>
        <w:rPr>
          <w:rFonts w:hint="eastAsia"/>
          <w:color w:val="auto"/>
          <w:sz w:val="32"/>
          <w:szCs w:val="32"/>
          <w:highlight w:val="none"/>
          <w:lang w:val="en-US" w:eastAsia="zh-CN"/>
        </w:rPr>
        <w:t>40</w:t>
      </w:r>
      <w:r>
        <w:rPr>
          <w:rFonts w:hint="eastAsia"/>
          <w:color w:val="auto"/>
          <w:sz w:val="32"/>
          <w:szCs w:val="32"/>
          <w:highlight w:val="none"/>
          <w:lang w:eastAsia="zh-CN"/>
        </w:rPr>
        <w:t>个，指标完成率</w:t>
      </w:r>
      <w:r>
        <w:rPr>
          <w:rFonts w:hint="eastAsia"/>
          <w:color w:val="auto"/>
          <w:sz w:val="32"/>
          <w:szCs w:val="32"/>
          <w:highlight w:val="none"/>
          <w:lang w:val="en-US" w:eastAsia="zh-CN"/>
        </w:rPr>
        <w:t>95.24</w:t>
      </w:r>
      <w:r>
        <w:rPr>
          <w:rFonts w:hint="eastAsia"/>
          <w:color w:val="auto"/>
          <w:sz w:val="32"/>
          <w:szCs w:val="32"/>
          <w:highlight w:val="none"/>
          <w:lang w:eastAsia="zh-CN"/>
        </w:rPr>
        <w:t>%，</w:t>
      </w:r>
      <w:r>
        <w:rPr>
          <w:rFonts w:hint="eastAsia"/>
          <w:color w:val="auto"/>
          <w:sz w:val="32"/>
          <w:szCs w:val="32"/>
          <w:highlight w:val="none"/>
          <w:lang w:val="en-US" w:eastAsia="zh-CN"/>
        </w:rPr>
        <w:t>偏差率4.76%</w:t>
      </w:r>
      <w:r>
        <w:rPr>
          <w:rFonts w:hint="eastAsia"/>
          <w:color w:val="auto"/>
          <w:sz w:val="32"/>
          <w:szCs w:val="32"/>
          <w:highlight w:val="none"/>
          <w:lang w:eastAsia="zh-CN"/>
        </w:rPr>
        <w:t>，偏差原因：接商务厅通知暂缓</w:t>
      </w:r>
      <w:r>
        <w:rPr>
          <w:rFonts w:hint="eastAsia"/>
          <w:color w:val="auto"/>
          <w:sz w:val="32"/>
          <w:szCs w:val="32"/>
          <w:highlight w:val="none"/>
          <w:lang w:val="en-US" w:eastAsia="zh-CN"/>
        </w:rPr>
        <w:t>霍尔果斯金亿国际贸易（集团）有限公司支持边境贸易创新发展项目资金3648000；霍尔果斯兄弟连富进出口贸易有限公司支持支持边境贸易创新发展项目资金100000元。</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eastAsia="zh-CN"/>
        </w:rPr>
        <w:t>指标</w:t>
      </w:r>
      <w:r>
        <w:rPr>
          <w:rFonts w:hint="eastAsia"/>
          <w:color w:val="auto"/>
          <w:sz w:val="32"/>
          <w:szCs w:val="32"/>
          <w:highlight w:val="none"/>
          <w:lang w:val="en-US" w:eastAsia="zh-CN"/>
        </w:rPr>
        <w:t>4</w:t>
      </w:r>
      <w:r>
        <w:rPr>
          <w:rFonts w:hint="eastAsia"/>
          <w:color w:val="auto"/>
          <w:sz w:val="32"/>
          <w:szCs w:val="32"/>
          <w:highlight w:val="none"/>
          <w:lang w:eastAsia="zh-CN"/>
        </w:rPr>
        <w:t>：支持国家级园区创新发展提升项目，指标值：=</w:t>
      </w:r>
      <w:r>
        <w:rPr>
          <w:rFonts w:hint="eastAsia"/>
          <w:color w:val="auto"/>
          <w:sz w:val="32"/>
          <w:szCs w:val="32"/>
          <w:highlight w:val="none"/>
          <w:lang w:val="en-US" w:eastAsia="zh-CN"/>
        </w:rPr>
        <w:t>1</w:t>
      </w:r>
      <w:r>
        <w:rPr>
          <w:rFonts w:hint="eastAsia"/>
          <w:color w:val="auto"/>
          <w:sz w:val="32"/>
          <w:szCs w:val="32"/>
          <w:highlight w:val="none"/>
          <w:lang w:eastAsia="zh-CN"/>
        </w:rPr>
        <w:t>个，实际完成值：</w:t>
      </w:r>
      <w:r>
        <w:rPr>
          <w:rFonts w:hint="eastAsia"/>
          <w:color w:val="auto"/>
          <w:sz w:val="32"/>
          <w:szCs w:val="32"/>
          <w:highlight w:val="none"/>
          <w:lang w:val="en-US" w:eastAsia="zh-CN"/>
        </w:rPr>
        <w:t>0</w:t>
      </w:r>
      <w:r>
        <w:rPr>
          <w:rFonts w:hint="eastAsia"/>
          <w:color w:val="auto"/>
          <w:sz w:val="32"/>
          <w:szCs w:val="32"/>
          <w:highlight w:val="none"/>
          <w:lang w:eastAsia="zh-CN"/>
        </w:rPr>
        <w:t>个，指标完成率</w:t>
      </w:r>
      <w:r>
        <w:rPr>
          <w:rFonts w:hint="eastAsia"/>
          <w:color w:val="auto"/>
          <w:sz w:val="32"/>
          <w:szCs w:val="32"/>
          <w:highlight w:val="none"/>
          <w:lang w:val="en-US" w:eastAsia="zh-CN"/>
        </w:rPr>
        <w:t>0</w:t>
      </w:r>
      <w:r>
        <w:rPr>
          <w:rFonts w:hint="eastAsia"/>
          <w:color w:val="auto"/>
          <w:sz w:val="32"/>
          <w:szCs w:val="32"/>
          <w:highlight w:val="none"/>
          <w:lang w:eastAsia="zh-CN"/>
        </w:rPr>
        <w:t>%，</w:t>
      </w:r>
      <w:r>
        <w:rPr>
          <w:rFonts w:hint="eastAsia"/>
          <w:color w:val="auto"/>
          <w:sz w:val="32"/>
          <w:szCs w:val="32"/>
          <w:highlight w:val="none"/>
          <w:lang w:val="en-US" w:eastAsia="zh-CN"/>
        </w:rPr>
        <w:t>偏差率100%</w:t>
      </w:r>
      <w:r>
        <w:rPr>
          <w:rFonts w:hint="eastAsia"/>
          <w:color w:val="auto"/>
          <w:sz w:val="32"/>
          <w:szCs w:val="32"/>
          <w:highlight w:val="none"/>
          <w:lang w:eastAsia="zh-CN"/>
        </w:rPr>
        <w:t>，偏差原因：合管办申办项目属于先投资后补贴项目，暂时支出资金项目，目前正在制定方案。</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lang w:eastAsia="zh-CN"/>
        </w:rPr>
        <w:t>指标</w:t>
      </w:r>
      <w:r>
        <w:rPr>
          <w:rFonts w:hint="eastAsia"/>
          <w:color w:val="auto"/>
          <w:sz w:val="32"/>
          <w:szCs w:val="32"/>
          <w:highlight w:val="none"/>
          <w:lang w:val="en-US" w:eastAsia="zh-CN"/>
        </w:rPr>
        <w:t>5</w:t>
      </w:r>
      <w:r>
        <w:rPr>
          <w:rFonts w:hint="eastAsia"/>
          <w:color w:val="auto"/>
          <w:sz w:val="32"/>
          <w:szCs w:val="32"/>
          <w:highlight w:val="none"/>
          <w:lang w:eastAsia="zh-CN"/>
        </w:rPr>
        <w:t>：支持推动服务贸易创新发展，指标值：=</w:t>
      </w:r>
      <w:r>
        <w:rPr>
          <w:rFonts w:hint="eastAsia"/>
          <w:color w:val="auto"/>
          <w:sz w:val="32"/>
          <w:szCs w:val="32"/>
          <w:highlight w:val="none"/>
          <w:lang w:val="en-US" w:eastAsia="zh-CN"/>
        </w:rPr>
        <w:t>1</w:t>
      </w:r>
      <w:r>
        <w:rPr>
          <w:rFonts w:hint="eastAsia"/>
          <w:color w:val="auto"/>
          <w:sz w:val="32"/>
          <w:szCs w:val="32"/>
          <w:highlight w:val="none"/>
          <w:lang w:eastAsia="zh-CN"/>
        </w:rPr>
        <w:t>个，实际完成值：</w:t>
      </w:r>
      <w:r>
        <w:rPr>
          <w:rFonts w:hint="eastAsia"/>
          <w:color w:val="auto"/>
          <w:sz w:val="32"/>
          <w:szCs w:val="32"/>
          <w:highlight w:val="none"/>
          <w:lang w:val="en-US" w:eastAsia="zh-CN"/>
        </w:rPr>
        <w:t>1</w:t>
      </w:r>
      <w:r>
        <w:rPr>
          <w:rFonts w:hint="eastAsia"/>
          <w:color w:val="auto"/>
          <w:sz w:val="32"/>
          <w:szCs w:val="32"/>
          <w:highlight w:val="none"/>
          <w:lang w:eastAsia="zh-CN"/>
        </w:rPr>
        <w:t>个，指标完成率</w:t>
      </w:r>
      <w:r>
        <w:rPr>
          <w:rFonts w:hint="eastAsia"/>
          <w:color w:val="auto"/>
          <w:sz w:val="32"/>
          <w:szCs w:val="32"/>
          <w:highlight w:val="none"/>
          <w:lang w:val="en-US" w:eastAsia="zh-CN"/>
        </w:rPr>
        <w:t>100</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lang w:eastAsia="zh-CN"/>
        </w:rPr>
        <w:fldChar w:fldCharType="begin"/>
      </w:r>
      <w:r>
        <w:rPr>
          <w:rFonts w:hint="eastAsia"/>
          <w:color w:val="auto"/>
          <w:sz w:val="32"/>
          <w:szCs w:val="32"/>
          <w:highlight w:val="none"/>
          <w:lang w:eastAsia="zh-CN"/>
        </w:rPr>
        <w:instrText xml:space="preserve"> = 2 \* GB3 </w:instrText>
      </w:r>
      <w:r>
        <w:rPr>
          <w:rFonts w:hint="eastAsia"/>
          <w:color w:val="auto"/>
          <w:sz w:val="32"/>
          <w:szCs w:val="32"/>
          <w:highlight w:val="none"/>
          <w:lang w:eastAsia="zh-CN"/>
        </w:rPr>
        <w:fldChar w:fldCharType="separate"/>
      </w:r>
      <w:r>
        <w:rPr>
          <w:rFonts w:hint="eastAsia"/>
          <w:color w:val="auto"/>
          <w:sz w:val="32"/>
          <w:szCs w:val="32"/>
          <w:highlight w:val="none"/>
          <w:lang w:eastAsia="zh-CN"/>
        </w:rPr>
        <w:t>②</w:t>
      </w:r>
      <w:r>
        <w:rPr>
          <w:rFonts w:hint="eastAsia"/>
          <w:color w:val="auto"/>
          <w:sz w:val="32"/>
          <w:szCs w:val="32"/>
          <w:highlight w:val="none"/>
          <w:lang w:eastAsia="zh-CN"/>
        </w:rPr>
        <w:fldChar w:fldCharType="end"/>
      </w:r>
      <w:r>
        <w:rPr>
          <w:rFonts w:hint="eastAsia"/>
          <w:color w:val="auto"/>
          <w:sz w:val="32"/>
          <w:szCs w:val="32"/>
          <w:highlight w:val="none"/>
          <w:lang w:eastAsia="zh-CN"/>
        </w:rPr>
        <w:t>质量指标：资金使用合规性，指标值：=</w:t>
      </w:r>
      <w:r>
        <w:rPr>
          <w:rFonts w:hint="eastAsia"/>
          <w:color w:val="auto"/>
          <w:sz w:val="32"/>
          <w:szCs w:val="32"/>
          <w:highlight w:val="none"/>
          <w:lang w:val="en-US" w:eastAsia="zh-CN"/>
        </w:rPr>
        <w:t>100</w:t>
      </w:r>
      <w:r>
        <w:rPr>
          <w:rFonts w:hint="eastAsia"/>
          <w:color w:val="auto"/>
          <w:sz w:val="32"/>
          <w:szCs w:val="32"/>
          <w:highlight w:val="none"/>
          <w:lang w:eastAsia="zh-CN"/>
        </w:rPr>
        <w:t>%，实际完成值：=</w:t>
      </w:r>
      <w:r>
        <w:rPr>
          <w:rFonts w:hint="eastAsia"/>
          <w:color w:val="auto"/>
          <w:sz w:val="32"/>
          <w:szCs w:val="32"/>
          <w:highlight w:val="none"/>
          <w:lang w:val="en-US" w:eastAsia="zh-CN"/>
        </w:rPr>
        <w:t>100</w:t>
      </w:r>
      <w:r>
        <w:rPr>
          <w:rFonts w:hint="eastAsia"/>
          <w:color w:val="auto"/>
          <w:sz w:val="32"/>
          <w:szCs w:val="32"/>
          <w:highlight w:val="none"/>
          <w:lang w:eastAsia="zh-CN"/>
        </w:rPr>
        <w:t>%，指标完成率</w:t>
      </w:r>
      <w:r>
        <w:rPr>
          <w:rFonts w:hint="eastAsia"/>
          <w:color w:val="auto"/>
          <w:sz w:val="32"/>
          <w:szCs w:val="32"/>
          <w:highlight w:val="none"/>
          <w:lang w:val="en-US" w:eastAsia="zh-CN"/>
        </w:rPr>
        <w:t>100</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cs="仿宋_GB2312"/>
          <w:sz w:val="32"/>
          <w:szCs w:val="32"/>
          <w:highlight w:val="none"/>
          <w:lang w:eastAsia="zh-CN"/>
        </w:rPr>
        <w:t>时效</w:t>
      </w:r>
      <w:r>
        <w:rPr>
          <w:rFonts w:hint="eastAsia" w:ascii="仿宋_GB2312" w:hAnsi="仿宋_GB2312" w:eastAsia="仿宋_GB2312" w:cs="仿宋_GB2312"/>
          <w:sz w:val="32"/>
          <w:szCs w:val="32"/>
          <w:highlight w:val="none"/>
        </w:rPr>
        <w:t>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bookmarkStart w:id="14" w:name="_Toc68703841"/>
      <w:r>
        <w:rPr>
          <w:rFonts w:hint="eastAsia"/>
          <w:color w:val="auto"/>
          <w:sz w:val="32"/>
          <w:szCs w:val="32"/>
          <w:highlight w:val="none"/>
        </w:rPr>
        <w:t>指标</w:t>
      </w:r>
      <w:r>
        <w:rPr>
          <w:rFonts w:hint="eastAsia"/>
          <w:color w:val="auto"/>
          <w:sz w:val="32"/>
          <w:szCs w:val="32"/>
          <w:highlight w:val="none"/>
          <w:lang w:val="en-US" w:eastAsia="zh-CN"/>
        </w:rPr>
        <w:t>1</w:t>
      </w:r>
      <w:r>
        <w:rPr>
          <w:rFonts w:hint="eastAsia"/>
          <w:color w:val="auto"/>
          <w:sz w:val="32"/>
          <w:szCs w:val="32"/>
          <w:highlight w:val="none"/>
        </w:rPr>
        <w:t>：</w:t>
      </w:r>
      <w:r>
        <w:rPr>
          <w:rFonts w:hint="eastAsia" w:ascii="仿宋_GB2312" w:hAnsi="仿宋_GB2312" w:eastAsia="仿宋_GB2312" w:cs="仿宋_GB2312"/>
          <w:color w:val="auto"/>
          <w:sz w:val="32"/>
          <w:szCs w:val="32"/>
          <w:highlight w:val="none"/>
        </w:rPr>
        <w:t>预算资金执行率</w:t>
      </w:r>
      <w:r>
        <w:rPr>
          <w:rFonts w:hint="eastAsia" w:ascii="仿宋_GB2312" w:hAnsi="仿宋_GB2312" w:cs="仿宋_GB2312"/>
          <w:color w:val="auto"/>
          <w:sz w:val="32"/>
          <w:szCs w:val="32"/>
          <w:highlight w:val="none"/>
          <w:lang w:eastAsia="zh-CN"/>
        </w:rPr>
        <w:t>，</w:t>
      </w:r>
      <w:r>
        <w:rPr>
          <w:rFonts w:hint="eastAsia"/>
          <w:color w:val="auto"/>
          <w:sz w:val="32"/>
          <w:szCs w:val="32"/>
          <w:highlight w:val="none"/>
        </w:rPr>
        <w:t>指标值：=</w:t>
      </w:r>
      <w:r>
        <w:rPr>
          <w:rFonts w:hint="eastAsia"/>
          <w:color w:val="auto"/>
          <w:sz w:val="32"/>
          <w:szCs w:val="32"/>
          <w:highlight w:val="none"/>
          <w:lang w:val="en-US" w:eastAsia="zh-CN"/>
        </w:rPr>
        <w:t>90</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62.49</w:t>
      </w:r>
      <w:r>
        <w:rPr>
          <w:rFonts w:hint="eastAsia"/>
          <w:color w:val="auto"/>
          <w:sz w:val="32"/>
          <w:szCs w:val="32"/>
          <w:highlight w:val="none"/>
          <w:lang w:eastAsia="zh-CN"/>
        </w:rPr>
        <w:t>%</w:t>
      </w:r>
      <w:r>
        <w:rPr>
          <w:rFonts w:hint="eastAsia"/>
          <w:color w:val="auto"/>
          <w:sz w:val="32"/>
          <w:szCs w:val="32"/>
          <w:highlight w:val="none"/>
        </w:rPr>
        <w:t>，指标完成率</w:t>
      </w:r>
      <w:r>
        <w:rPr>
          <w:rFonts w:hint="eastAsia"/>
          <w:color w:val="auto"/>
          <w:sz w:val="32"/>
          <w:szCs w:val="32"/>
          <w:highlight w:val="none"/>
          <w:lang w:val="en-US" w:eastAsia="zh-CN"/>
        </w:rPr>
        <w:t>62.49</w:t>
      </w:r>
      <w:r>
        <w:rPr>
          <w:rFonts w:hint="eastAsia"/>
          <w:color w:val="auto"/>
          <w:sz w:val="32"/>
          <w:szCs w:val="32"/>
          <w:highlight w:val="none"/>
        </w:rPr>
        <w:t>%</w:t>
      </w:r>
      <w:r>
        <w:rPr>
          <w:rFonts w:hint="eastAsia"/>
          <w:color w:val="auto"/>
          <w:sz w:val="32"/>
          <w:szCs w:val="32"/>
          <w:highlight w:val="none"/>
          <w:lang w:eastAsia="zh-CN"/>
        </w:rPr>
        <w:t>，偏差率</w:t>
      </w:r>
      <w:r>
        <w:rPr>
          <w:rFonts w:hint="eastAsia"/>
          <w:color w:val="auto"/>
          <w:sz w:val="32"/>
          <w:szCs w:val="32"/>
          <w:highlight w:val="none"/>
          <w:lang w:val="en-US" w:eastAsia="zh-CN"/>
        </w:rPr>
        <w:t>:27.51%,</w:t>
      </w:r>
      <w:r>
        <w:rPr>
          <w:rFonts w:hint="eastAsia"/>
          <w:color w:val="auto"/>
          <w:sz w:val="32"/>
          <w:szCs w:val="32"/>
          <w:highlight w:val="none"/>
        </w:rPr>
        <w:t>偏差原因：</w:t>
      </w:r>
      <w:r>
        <w:rPr>
          <w:rFonts w:hint="eastAsia"/>
          <w:color w:val="auto"/>
          <w:sz w:val="32"/>
          <w:szCs w:val="32"/>
          <w:highlight w:val="none"/>
          <w:lang w:eastAsia="zh-CN"/>
        </w:rPr>
        <w:t>接商务厅通知暂缓拨付霍尔果斯金亿国际贸易（集团）有限公司、</w:t>
      </w:r>
      <w:r>
        <w:rPr>
          <w:rFonts w:hint="eastAsia"/>
          <w:color w:val="auto"/>
          <w:sz w:val="32"/>
          <w:szCs w:val="32"/>
          <w:highlight w:val="none"/>
          <w:lang w:val="en-US" w:eastAsia="zh-CN"/>
        </w:rPr>
        <w:t>霍尔果斯兄弟连富进出口贸易有限公司项目资金、</w:t>
      </w:r>
      <w:r>
        <w:rPr>
          <w:rFonts w:hint="eastAsia"/>
          <w:color w:val="auto"/>
          <w:sz w:val="32"/>
          <w:szCs w:val="32"/>
          <w:highlight w:val="none"/>
          <w:lang w:eastAsia="zh-CN"/>
        </w:rPr>
        <w:t>合管办申办项目属于先投资后补贴项目，暂时支出资金项目，目前正在制定方案。</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cs="仿宋_GB2312"/>
          <w:color w:val="auto"/>
          <w:sz w:val="32"/>
          <w:szCs w:val="32"/>
          <w:highlight w:val="none"/>
          <w:lang w:eastAsia="zh-CN"/>
        </w:rPr>
        <w:t>指标</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资金拨付及时性</w:t>
      </w:r>
      <w:r>
        <w:rPr>
          <w:rFonts w:hint="eastAsia" w:ascii="仿宋_GB2312" w:hAnsi="仿宋_GB2312" w:cs="仿宋_GB2312"/>
          <w:color w:val="auto"/>
          <w:sz w:val="32"/>
          <w:szCs w:val="32"/>
          <w:highlight w:val="none"/>
          <w:lang w:eastAsia="zh-CN"/>
        </w:rPr>
        <w:t>，</w:t>
      </w:r>
      <w:r>
        <w:rPr>
          <w:rFonts w:hint="eastAsia"/>
          <w:color w:val="auto"/>
          <w:sz w:val="32"/>
          <w:szCs w:val="32"/>
          <w:highlight w:val="none"/>
        </w:rPr>
        <w:t>指标值：=</w:t>
      </w:r>
      <w:r>
        <w:rPr>
          <w:rFonts w:hint="eastAsia"/>
          <w:color w:val="auto"/>
          <w:sz w:val="32"/>
          <w:szCs w:val="32"/>
          <w:highlight w:val="none"/>
          <w:lang w:val="en-US" w:eastAsia="zh-CN"/>
        </w:rPr>
        <w:t>90</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62.49</w:t>
      </w:r>
      <w:r>
        <w:rPr>
          <w:rFonts w:hint="eastAsia"/>
          <w:color w:val="auto"/>
          <w:sz w:val="32"/>
          <w:szCs w:val="32"/>
          <w:highlight w:val="none"/>
          <w:lang w:eastAsia="zh-CN"/>
        </w:rPr>
        <w:t>%</w:t>
      </w:r>
      <w:r>
        <w:rPr>
          <w:rFonts w:hint="eastAsia"/>
          <w:color w:val="auto"/>
          <w:sz w:val="32"/>
          <w:szCs w:val="32"/>
          <w:highlight w:val="none"/>
        </w:rPr>
        <w:t>，指标完成率</w:t>
      </w:r>
      <w:r>
        <w:rPr>
          <w:rFonts w:hint="eastAsia"/>
          <w:color w:val="auto"/>
          <w:sz w:val="32"/>
          <w:szCs w:val="32"/>
          <w:highlight w:val="none"/>
          <w:lang w:val="en-US" w:eastAsia="zh-CN"/>
        </w:rPr>
        <w:t>62.49</w:t>
      </w:r>
      <w:r>
        <w:rPr>
          <w:rFonts w:hint="eastAsia"/>
          <w:color w:val="auto"/>
          <w:sz w:val="32"/>
          <w:szCs w:val="32"/>
          <w:highlight w:val="none"/>
        </w:rPr>
        <w:t>%</w:t>
      </w:r>
      <w:r>
        <w:rPr>
          <w:rFonts w:hint="eastAsia"/>
          <w:color w:val="auto"/>
          <w:sz w:val="32"/>
          <w:szCs w:val="32"/>
          <w:highlight w:val="none"/>
          <w:lang w:eastAsia="zh-CN"/>
        </w:rPr>
        <w:t>，偏差率</w:t>
      </w:r>
      <w:r>
        <w:rPr>
          <w:rFonts w:hint="eastAsia"/>
          <w:color w:val="auto"/>
          <w:sz w:val="32"/>
          <w:szCs w:val="32"/>
          <w:highlight w:val="none"/>
          <w:lang w:val="en-US" w:eastAsia="zh-CN"/>
        </w:rPr>
        <w:t>:27.51,</w:t>
      </w:r>
      <w:r>
        <w:rPr>
          <w:rFonts w:hint="eastAsia"/>
          <w:color w:val="auto"/>
          <w:sz w:val="32"/>
          <w:szCs w:val="32"/>
          <w:highlight w:val="none"/>
          <w:lang w:eastAsia="zh-CN"/>
        </w:rPr>
        <w:t>偏差原因：接商务厅通知暂缓拨付霍尔果斯金亿国际贸易（集团）有限公司、</w:t>
      </w:r>
      <w:r>
        <w:rPr>
          <w:rFonts w:hint="eastAsia"/>
          <w:color w:val="auto"/>
          <w:sz w:val="32"/>
          <w:szCs w:val="32"/>
          <w:highlight w:val="none"/>
          <w:lang w:val="en-US" w:eastAsia="zh-CN"/>
        </w:rPr>
        <w:t>霍尔果斯兄弟连富进出口贸易有限公司项目资金、</w:t>
      </w:r>
      <w:r>
        <w:rPr>
          <w:rFonts w:hint="eastAsia"/>
          <w:color w:val="auto"/>
          <w:sz w:val="32"/>
          <w:szCs w:val="32"/>
          <w:highlight w:val="none"/>
          <w:lang w:eastAsia="zh-CN"/>
        </w:rPr>
        <w:t>合管办申办项目属于先投资后补贴项目，暂时支出资金项目，目前正在制定方案。</w:t>
      </w:r>
    </w:p>
    <w:bookmarkEnd w:id="14"/>
    <w:p>
      <w:pPr>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p>
    <w:p>
      <w:pPr>
        <w:shd w:val="clear"/>
        <w:spacing w:line="600" w:lineRule="exact"/>
        <w:ind w:firstLine="640" w:firstLineChars="200"/>
        <w:outlineLvl w:val="0"/>
        <w:rPr>
          <w:rFonts w:hint="eastAsia"/>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19.9</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99.5</w:t>
      </w:r>
      <w:r>
        <w:rPr>
          <w:rFonts w:hint="eastAsia" w:ascii="仿宋_GB2312" w:hAnsi="仿宋_GB2312" w:eastAsia="仿宋_GB2312" w:cs="仿宋_GB2312"/>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r>
        <w:rPr>
          <w:rFonts w:hint="eastAsia" w:ascii="仿宋_GB2312" w:hAnsi="仿宋_GB2312" w:cs="仿宋_GB2312"/>
          <w:sz w:val="32"/>
          <w:szCs w:val="32"/>
          <w:highlight w:val="none"/>
          <w:lang w:val="en-US" w:eastAsia="zh-CN"/>
        </w:rPr>
        <w:t>外贸流通企业进出口贸易额，指标值：&gt;=100亿美元，实际完成值：101亿美元，指标完成率：101%，偏差率:1%,偏差原因：完成贸易情况较好。</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color w:val="auto"/>
          <w:sz w:val="32"/>
          <w:szCs w:val="32"/>
          <w:highlight w:val="none"/>
        </w:rPr>
        <w:t>指标</w:t>
      </w:r>
      <w:r>
        <w:rPr>
          <w:rFonts w:hint="eastAsia"/>
          <w:color w:val="auto"/>
          <w:sz w:val="32"/>
          <w:szCs w:val="32"/>
          <w:highlight w:val="none"/>
          <w:lang w:val="en-US" w:eastAsia="zh-CN"/>
        </w:rPr>
        <w:t>1</w:t>
      </w:r>
      <w:r>
        <w:rPr>
          <w:rFonts w:hint="eastAsia"/>
          <w:color w:val="auto"/>
          <w:sz w:val="32"/>
          <w:szCs w:val="32"/>
          <w:highlight w:val="none"/>
        </w:rPr>
        <w:t>：</w:t>
      </w:r>
      <w:r>
        <w:rPr>
          <w:rFonts w:hint="eastAsia" w:ascii="仿宋_GB2312" w:hAnsi="仿宋_GB2312" w:cs="仿宋_GB2312"/>
          <w:color w:val="auto"/>
          <w:sz w:val="32"/>
          <w:szCs w:val="32"/>
          <w:highlight w:val="none"/>
          <w:lang w:eastAsia="zh-CN"/>
        </w:rPr>
        <w:t>外经贸企业营商环境，</w:t>
      </w:r>
      <w:r>
        <w:rPr>
          <w:rFonts w:hint="eastAsia"/>
          <w:color w:val="auto"/>
          <w:sz w:val="32"/>
          <w:szCs w:val="32"/>
          <w:highlight w:val="none"/>
        </w:rPr>
        <w:t>指标值：</w:t>
      </w:r>
      <w:r>
        <w:rPr>
          <w:rFonts w:hint="eastAsia"/>
          <w:color w:val="auto"/>
          <w:sz w:val="32"/>
          <w:szCs w:val="32"/>
          <w:highlight w:val="none"/>
          <w:lang w:eastAsia="zh-CN"/>
        </w:rPr>
        <w:t>有效改善</w:t>
      </w:r>
      <w:r>
        <w:rPr>
          <w:rFonts w:hint="eastAsia"/>
          <w:color w:val="auto"/>
          <w:sz w:val="32"/>
          <w:szCs w:val="32"/>
          <w:highlight w:val="none"/>
        </w:rPr>
        <w:t>，实际完成值</w:t>
      </w:r>
      <w:r>
        <w:rPr>
          <w:rFonts w:hint="eastAsia"/>
          <w:color w:val="auto"/>
          <w:sz w:val="32"/>
          <w:szCs w:val="32"/>
          <w:highlight w:val="none"/>
          <w:lang w:eastAsia="zh-CN"/>
        </w:rPr>
        <w:t>：有效改善</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cs="仿宋_GB2312"/>
          <w:color w:val="auto"/>
          <w:sz w:val="32"/>
          <w:szCs w:val="32"/>
          <w:highlight w:val="none"/>
          <w:lang w:eastAsia="zh-CN"/>
        </w:rPr>
        <w:t>指标</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CN"/>
        </w:rPr>
        <w:t>提高外贸企业发展水平，</w:t>
      </w:r>
      <w:r>
        <w:rPr>
          <w:rFonts w:hint="eastAsia"/>
          <w:color w:val="auto"/>
          <w:sz w:val="32"/>
          <w:szCs w:val="32"/>
          <w:highlight w:val="none"/>
        </w:rPr>
        <w:t>指标值：</w:t>
      </w:r>
      <w:r>
        <w:rPr>
          <w:rFonts w:hint="eastAsia"/>
          <w:color w:val="auto"/>
          <w:sz w:val="32"/>
          <w:szCs w:val="32"/>
          <w:highlight w:val="none"/>
          <w:lang w:val="en-US" w:eastAsia="zh-CN"/>
        </w:rPr>
        <w:t>持续提高</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持续提高</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r>
        <w:rPr>
          <w:rFonts w:hint="eastAsia" w:ascii="仿宋_GB2312" w:hAnsi="仿宋_GB2312" w:eastAsia="仿宋_GB2312" w:cs="仿宋_GB2312"/>
          <w:color w:val="auto"/>
          <w:sz w:val="32"/>
          <w:szCs w:val="32"/>
          <w:highlight w:val="none"/>
          <w:lang w:val="en-US" w:eastAsia="zh-CN"/>
        </w:rPr>
        <w:t>获得支持的</w:t>
      </w:r>
      <w:r>
        <w:rPr>
          <w:rFonts w:hint="eastAsia" w:ascii="仿宋_GB2312" w:hAnsi="仿宋_GB2312" w:cs="仿宋_GB2312"/>
          <w:color w:val="auto"/>
          <w:sz w:val="32"/>
          <w:szCs w:val="32"/>
          <w:highlight w:val="none"/>
          <w:lang w:val="en-US" w:eastAsia="zh-CN"/>
        </w:rPr>
        <w:t>外贸</w:t>
      </w:r>
      <w:r>
        <w:rPr>
          <w:rFonts w:hint="eastAsia" w:ascii="仿宋_GB2312" w:hAnsi="仿宋_GB2312" w:eastAsia="仿宋_GB2312" w:cs="仿宋_GB2312"/>
          <w:color w:val="auto"/>
          <w:sz w:val="32"/>
          <w:szCs w:val="32"/>
          <w:highlight w:val="none"/>
          <w:lang w:val="en-US" w:eastAsia="zh-CN"/>
        </w:rPr>
        <w:t>企业满意度</w:t>
      </w:r>
      <w:r>
        <w:rPr>
          <w:rFonts w:hint="eastAsia" w:ascii="仿宋_GB2312" w:hAnsi="仿宋_GB2312" w:cs="仿宋_GB2312"/>
          <w:color w:val="auto"/>
          <w:sz w:val="32"/>
          <w:szCs w:val="32"/>
          <w:highlight w:val="none"/>
          <w:lang w:val="en-US" w:eastAsia="zh-CN"/>
        </w:rPr>
        <w:t>，</w:t>
      </w:r>
      <w:r>
        <w:rPr>
          <w:rFonts w:hint="eastAsia"/>
          <w:color w:val="auto"/>
          <w:sz w:val="32"/>
          <w:szCs w:val="32"/>
          <w:highlight w:val="none"/>
        </w:rPr>
        <w:t>指标值：&gt;=</w:t>
      </w:r>
      <w:r>
        <w:rPr>
          <w:rFonts w:hint="eastAsia"/>
          <w:color w:val="auto"/>
          <w:sz w:val="32"/>
          <w:szCs w:val="32"/>
          <w:highlight w:val="none"/>
          <w:lang w:val="en-US" w:eastAsia="zh-CN"/>
        </w:rPr>
        <w:t>9</w:t>
      </w:r>
      <w:r>
        <w:rPr>
          <w:rFonts w:hint="eastAsia"/>
          <w:color w:val="auto"/>
          <w:sz w:val="32"/>
          <w:szCs w:val="32"/>
          <w:highlight w:val="none"/>
        </w:rPr>
        <w:t>5%，实际完成值</w:t>
      </w:r>
      <w:r>
        <w:rPr>
          <w:rFonts w:hint="eastAsia"/>
          <w:color w:val="auto"/>
          <w:sz w:val="32"/>
          <w:szCs w:val="32"/>
          <w:highlight w:val="none"/>
          <w:lang w:eastAsia="zh-CN"/>
        </w:rPr>
        <w:t>：</w:t>
      </w:r>
      <w:r>
        <w:rPr>
          <w:rFonts w:hint="eastAsia"/>
          <w:color w:val="auto"/>
          <w:sz w:val="32"/>
          <w:szCs w:val="32"/>
          <w:highlight w:val="none"/>
          <w:lang w:val="en-US" w:eastAsia="zh-CN"/>
        </w:rPr>
        <w:t>93</w:t>
      </w:r>
      <w:r>
        <w:rPr>
          <w:rFonts w:hint="eastAsia"/>
          <w:color w:val="auto"/>
          <w:sz w:val="32"/>
          <w:szCs w:val="32"/>
          <w:highlight w:val="none"/>
          <w:lang w:eastAsia="zh-CN"/>
        </w:rPr>
        <w:t>%</w:t>
      </w:r>
      <w:r>
        <w:rPr>
          <w:rFonts w:hint="eastAsia"/>
          <w:color w:val="auto"/>
          <w:sz w:val="32"/>
          <w:szCs w:val="32"/>
          <w:highlight w:val="none"/>
        </w:rPr>
        <w:t>，指标完成率</w:t>
      </w:r>
      <w:r>
        <w:rPr>
          <w:rFonts w:hint="eastAsia"/>
          <w:color w:val="auto"/>
          <w:sz w:val="32"/>
          <w:szCs w:val="32"/>
          <w:highlight w:val="none"/>
          <w:lang w:val="en-US" w:eastAsia="zh-CN"/>
        </w:rPr>
        <w:t>99</w:t>
      </w:r>
      <w:r>
        <w:rPr>
          <w:rFonts w:hint="eastAsia"/>
          <w:color w:val="auto"/>
          <w:sz w:val="32"/>
          <w:szCs w:val="32"/>
          <w:highlight w:val="none"/>
        </w:rPr>
        <w:t>%</w:t>
      </w:r>
      <w:r>
        <w:rPr>
          <w:rFonts w:hint="eastAsia"/>
          <w:color w:val="auto"/>
          <w:sz w:val="32"/>
          <w:szCs w:val="32"/>
          <w:highlight w:val="none"/>
          <w:lang w:eastAsia="zh-CN"/>
        </w:rPr>
        <w:t>，偏差率</w:t>
      </w:r>
      <w:r>
        <w:rPr>
          <w:rFonts w:hint="eastAsia"/>
          <w:color w:val="auto"/>
          <w:sz w:val="32"/>
          <w:szCs w:val="32"/>
          <w:highlight w:val="none"/>
          <w:lang w:val="en-US" w:eastAsia="zh-CN"/>
        </w:rPr>
        <w:t>:1%,</w:t>
      </w:r>
      <w:r>
        <w:rPr>
          <w:rFonts w:hint="eastAsia"/>
          <w:color w:val="auto"/>
          <w:sz w:val="32"/>
          <w:szCs w:val="32"/>
          <w:highlight w:val="none"/>
        </w:rPr>
        <w:t>偏差原因：</w:t>
      </w:r>
      <w:r>
        <w:rPr>
          <w:rFonts w:hint="eastAsia"/>
          <w:color w:val="auto"/>
          <w:sz w:val="32"/>
          <w:szCs w:val="32"/>
          <w:highlight w:val="none"/>
          <w:lang w:eastAsia="zh-CN"/>
        </w:rPr>
        <w:t>部分未</w:t>
      </w:r>
      <w:r>
        <w:rPr>
          <w:rFonts w:hint="eastAsia"/>
          <w:color w:val="auto"/>
          <w:sz w:val="32"/>
          <w:szCs w:val="32"/>
          <w:highlight w:val="none"/>
          <w:lang w:val="en-US" w:eastAsia="zh-CN"/>
        </w:rPr>
        <w:t>支持的</w:t>
      </w:r>
      <w:r>
        <w:rPr>
          <w:rFonts w:hint="eastAsia"/>
          <w:color w:val="auto"/>
          <w:sz w:val="32"/>
          <w:szCs w:val="32"/>
          <w:highlight w:val="none"/>
          <w:lang w:eastAsia="zh-CN"/>
        </w:rPr>
        <w:t>企业满意度较低。</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kern w:val="2"/>
          <w:sz w:val="32"/>
          <w:szCs w:val="32"/>
          <w:lang w:val="en-US" w:eastAsia="zh-CN" w:bidi="ar-SA"/>
        </w:rPr>
        <w:t>2023年外经贸发展专项资金项目年初预算2747.46万元，全年预算2747.46万元，实际支出1716.98万元，预算执行率为62.49%，项目绩效指标总体完成率为84.76%，</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偏差率为22.27</w:t>
      </w:r>
      <w:r>
        <w:rPr>
          <w:rFonts w:hint="eastAsia" w:ascii="仿宋_GB2312" w:hAnsi="仿宋_GB2312" w:eastAsia="仿宋_GB2312" w:cs="仿宋_GB2312"/>
          <w:color w:val="auto"/>
          <w:kern w:val="2"/>
          <w:sz w:val="32"/>
          <w:szCs w:val="32"/>
          <w:lang w:val="en-US" w:eastAsia="zh-CN" w:bidi="ar-SA"/>
        </w:rPr>
        <w:t>%</w:t>
      </w:r>
      <w:r>
        <w:rPr>
          <w:rFonts w:hint="eastAsia"/>
          <w:color w:val="auto"/>
          <w:sz w:val="32"/>
          <w:szCs w:val="32"/>
          <w:highlight w:val="none"/>
          <w:lang w:val="en-US" w:eastAsia="zh-CN"/>
        </w:rPr>
        <w:t>,</w:t>
      </w:r>
      <w:r>
        <w:rPr>
          <w:rFonts w:hint="eastAsia"/>
          <w:color w:val="auto"/>
          <w:sz w:val="32"/>
          <w:szCs w:val="32"/>
          <w:highlight w:val="none"/>
          <w:lang w:val="en-US" w:eastAsia="zh-Hans"/>
        </w:rPr>
        <w:t>偏差</w:t>
      </w:r>
      <w:r>
        <w:rPr>
          <w:rFonts w:hint="eastAsia"/>
          <w:color w:val="auto"/>
          <w:sz w:val="32"/>
          <w:szCs w:val="32"/>
          <w:highlight w:val="none"/>
          <w:lang w:val="en-US" w:eastAsia="zh-CN"/>
        </w:rPr>
        <w:t>原因：</w:t>
      </w:r>
      <w:r>
        <w:rPr>
          <w:rFonts w:hint="eastAsia"/>
          <w:color w:val="auto"/>
          <w:sz w:val="32"/>
          <w:szCs w:val="32"/>
          <w:highlight w:val="none"/>
          <w:lang w:eastAsia="zh-CN"/>
        </w:rPr>
        <w:t>接商务厅通知暂缓拨付霍尔果斯金亿国际贸易（集团）有限公司、</w:t>
      </w:r>
      <w:r>
        <w:rPr>
          <w:rFonts w:hint="eastAsia"/>
          <w:color w:val="auto"/>
          <w:sz w:val="32"/>
          <w:szCs w:val="32"/>
          <w:highlight w:val="none"/>
          <w:lang w:val="en-US" w:eastAsia="zh-CN"/>
        </w:rPr>
        <w:t>霍尔果斯兄弟连富进出口贸易有限公司项目资金、</w:t>
      </w:r>
      <w:r>
        <w:rPr>
          <w:rFonts w:hint="eastAsia"/>
          <w:color w:val="auto"/>
          <w:sz w:val="32"/>
          <w:szCs w:val="32"/>
          <w:highlight w:val="none"/>
          <w:lang w:eastAsia="zh-CN"/>
        </w:rPr>
        <w:t>合管办申办项目属于先投资后补贴项目，暂时支出资金项目，目前正在制定方案。</w:t>
      </w:r>
      <w:r>
        <w:rPr>
          <w:rFonts w:hint="eastAsia" w:ascii="Times New Roman" w:hAnsi="Times New Roman" w:eastAsia="仿宋_GB2312" w:cs="Times New Roman"/>
          <w:color w:val="auto"/>
          <w:kern w:val="2"/>
          <w:sz w:val="32"/>
          <w:szCs w:val="32"/>
          <w:highlight w:val="none"/>
          <w:lang w:val="en-US" w:eastAsia="zh-Hans" w:bidi="ar-SA"/>
        </w:rPr>
        <w:t>改进</w:t>
      </w:r>
      <w:r>
        <w:rPr>
          <w:rFonts w:hint="eastAsia" w:ascii="Times New Roman" w:hAnsi="Times New Roman" w:eastAsia="仿宋_GB2312" w:cs="Times New Roman"/>
          <w:color w:val="auto"/>
          <w:kern w:val="2"/>
          <w:sz w:val="32"/>
          <w:szCs w:val="32"/>
          <w:highlight w:val="none"/>
          <w:lang w:val="en-US" w:eastAsia="zh-CN" w:bidi="ar-SA"/>
        </w:rPr>
        <w:t>措施</w:t>
      </w:r>
      <w:r>
        <w:rPr>
          <w:rFonts w:hint="eastAsia" w:cs="Times New Roman"/>
          <w:color w:val="auto"/>
          <w:kern w:val="2"/>
          <w:sz w:val="32"/>
          <w:szCs w:val="32"/>
          <w:highlight w:val="none"/>
          <w:lang w:val="en-US" w:eastAsia="zh-CN" w:bidi="ar-SA"/>
        </w:rPr>
        <w:t>：待商务厅通知及资料齐全及时拨付</w:t>
      </w:r>
      <w:r>
        <w:rPr>
          <w:rFonts w:hint="eastAsia" w:ascii="Times New Roman" w:hAnsi="Times New Roman"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eastAsia"/>
          <w:color w:val="FF0000"/>
          <w:sz w:val="32"/>
          <w:szCs w:val="32"/>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shd w:val="clear"/>
        <w:spacing w:line="600" w:lineRule="exact"/>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　　</w:t>
      </w: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3.接商务厅通知暂缓霍尔果斯金亿国际贸易（集团）有限公司推动外贸稳规模优结构项目项目资金930000元；支持内外贸（含服贸）中小企业开拓市场项目资金16800元；支持边境贸易创新发展项目资金3648000</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霍尔果斯兄弟连富进出口贸易有限公司支持内外贸（含服贸）中小企业开拓市场项目资金30000元；支持边境贸易创新发展项目资金100000元。</w:t>
      </w:r>
    </w:p>
    <w:p>
      <w:pPr>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sz w:val="32"/>
          <w:szCs w:val="32"/>
        </w:rPr>
      </w:pPr>
      <w:bookmarkStart w:id="19" w:name="_Toc68703846"/>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rFonts w:hint="eastAsia" w:eastAsia="仿宋_GB2312"/>
          <w:color w:val="FF0000"/>
          <w:sz w:val="32"/>
          <w:szCs w:val="32"/>
          <w:lang w:val="en-US" w:eastAsia="zh-CN"/>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r>
        <w:rPr>
          <w:rFonts w:hint="eastAsia"/>
          <w:color w:val="FF0000"/>
          <w:sz w:val="32"/>
          <w:szCs w:val="32"/>
          <w:lang w:val="en-US" w:eastAsia="zh-CN"/>
        </w:rPr>
        <w:t xml:space="preserve"> </w:t>
      </w:r>
    </w:p>
    <w:p/>
    <w:p>
      <w:pPr>
        <w:pStyle w:val="12"/>
      </w:pPr>
    </w:p>
    <w:p/>
    <w:p/>
    <w:p>
      <w:pPr>
        <w:pStyle w:val="12"/>
        <w:jc w:val="both"/>
      </w:pPr>
    </w:p>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r>
        <w:rPr>
          <w:rFonts w:hint="eastAsia" w:ascii="黑体" w:hAnsi="黑体" w:eastAsia="黑体" w:cs="黑体"/>
          <w:bCs/>
          <w:sz w:val="32"/>
          <w:szCs w:val="32"/>
        </w:rPr>
        <w:pict>
          <v:shape id="_x0000_s1026" o:spid="_x0000_s1026" o:spt="75" type="#_x0000_t75" style="position:absolute;left:0pt;margin-left:7.5pt;margin-top:-19.2pt;height:440.8pt;width:441.9pt;mso-wrap-distance-bottom:0pt;mso-wrap-distance-left:9pt;mso-wrap-distance-right:9pt;mso-wrap-distance-top:0pt;z-index:251659264;mso-width-relative:page;mso-height-relative:page;" o:ole="t" filled="f" o:preferrelative="t" stroked="f" coordsize="21600,21600">
            <v:path/>
            <v:fill on="f" focussize="0,0"/>
            <v:stroke on="f"/>
            <v:imagedata r:id="rId6" o:title=""/>
            <o:lock v:ext="edit" aspectratio="f"/>
            <w10:wrap type="square"/>
          </v:shape>
          <o:OLEObject Type="Embed" ProgID="Excel.Sheet.12" ShapeID="_x0000_s1026" DrawAspect="Content" ObjectID="_1468075725" r:id="rId5">
            <o:LockedField>false</o:LockedField>
          </o:OLEObject>
        </w:pict>
      </w:r>
    </w:p>
    <w:p>
      <w:pPr>
        <w:pStyle w:val="22"/>
        <w:ind w:firstLine="562"/>
        <w:jc w:val="center"/>
        <w:rPr>
          <w:sz w:val="28"/>
          <w:szCs w:val="40"/>
        </w:rPr>
      </w:pPr>
      <w:bookmarkStart w:id="20" w:name="_Toc30064_WPSOffice_Level1"/>
      <w:bookmarkStart w:id="21" w:name="_Toc26499_WPSOffice_Level2"/>
      <w:r>
        <w:rPr>
          <w:rFonts w:hint="eastAsia"/>
          <w:b/>
          <w:bCs/>
          <w:sz w:val="28"/>
          <w:szCs w:val="40"/>
          <w:highlight w:val="none"/>
          <w:lang w:val="en-US" w:eastAsia="zh-CN"/>
        </w:rPr>
        <w:t>外经贸发展专项资金项目</w:t>
      </w:r>
      <w:r>
        <w:rPr>
          <w:rFonts w:hint="eastAsia"/>
          <w:b/>
          <w:bCs/>
          <w:sz w:val="28"/>
          <w:szCs w:val="40"/>
          <w:highlight w:val="none"/>
        </w:rPr>
        <w:t>绩</w:t>
      </w:r>
      <w:r>
        <w:rPr>
          <w:rFonts w:hint="eastAsia"/>
          <w:b/>
          <w:bCs/>
          <w:sz w:val="28"/>
          <w:szCs w:val="40"/>
        </w:rPr>
        <w:t>效评价指标体系及综合评分表</w:t>
      </w:r>
      <w:bookmarkEnd w:id="20"/>
      <w:bookmarkEnd w:id="21"/>
    </w:p>
    <w:tbl>
      <w:tblPr>
        <w:tblStyle w:val="1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auto"/>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auto"/>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auto"/>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auto"/>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auto"/>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auto"/>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auto"/>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auto"/>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auto"/>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auto"/>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auto"/>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auto"/>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9.27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auto"/>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auto"/>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6.94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auto"/>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auto"/>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auto"/>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9.9</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B02E2CB-EB77-4AEB-B98C-320F63DE87B2}"/>
  </w:font>
  <w:font w:name="黑体">
    <w:panose1 w:val="02010609060101010101"/>
    <w:charset w:val="86"/>
    <w:family w:val="auto"/>
    <w:pitch w:val="default"/>
    <w:sig w:usb0="800002BF" w:usb1="38CF7CFA" w:usb2="00000016" w:usb3="00000000" w:csb0="00040001" w:csb1="00000000"/>
    <w:embedRegular r:id="rId2" w:fontKey="{92A29DE2-0E39-412E-917B-29F9A8E4C9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296C56D5-1830-4AE6-A20A-0995A3C56B0B}"/>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embedRegular r:id="rId4" w:fontKey="{96122CE0-F6E0-4452-8249-5A9D4B852C83}"/>
  </w:font>
  <w:font w:name="方正仿宋简体">
    <w:panose1 w:val="02010601030101010101"/>
    <w:charset w:val="86"/>
    <w:family w:val="auto"/>
    <w:pitch w:val="default"/>
    <w:sig w:usb0="00000001" w:usb1="080E0000" w:usb2="00000000" w:usb3="00000000" w:csb0="00040000" w:csb1="00000000"/>
    <w:embedRegular r:id="rId5" w:fontKey="{5650F7B3-C99A-4503-88BB-775E890AB5F4}"/>
  </w:font>
  <w:font w:name="楷体_GB2312">
    <w:panose1 w:val="02010609030101010101"/>
    <w:charset w:val="86"/>
    <w:family w:val="auto"/>
    <w:pitch w:val="default"/>
    <w:sig w:usb0="00000001" w:usb1="080E0000" w:usb2="00000000" w:usb3="00000000" w:csb0="00040000" w:csb1="00000000"/>
    <w:embedRegular r:id="rId6" w:fontKey="{7B26DB16-29AB-4A17-A736-AB365D2DC230}"/>
  </w:font>
  <w:font w:name="方正仿宋_GBK">
    <w:altName w:val="微软雅黑"/>
    <w:panose1 w:val="03000509000000000000"/>
    <w:charset w:val="86"/>
    <w:family w:val="auto"/>
    <w:pitch w:val="default"/>
    <w:sig w:usb0="00000000" w:usb1="00000000" w:usb2="00000000" w:usb3="00000000" w:csb0="00040000" w:csb1="00000000"/>
    <w:embedRegular r:id="rId7" w:fontKey="{39DEEE91-DAFF-4DF4-84C3-4EB3BCA32A1C}"/>
  </w:font>
  <w:font w:name="楷体">
    <w:panose1 w:val="02010609060101010101"/>
    <w:charset w:val="86"/>
    <w:family w:val="auto"/>
    <w:pitch w:val="default"/>
    <w:sig w:usb0="800002BF" w:usb1="38CF7CFA" w:usb2="00000016" w:usb3="00000000" w:csb0="00040001" w:csb1="00000000"/>
    <w:embedRegular r:id="rId8" w:fontKey="{0243AF15-C6D4-4DFF-B1FA-7463AC6CB9AB}"/>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17433"/>
    <w:multiLevelType w:val="singleLevel"/>
    <w:tmpl w:val="42717433"/>
    <w:lvl w:ilvl="0" w:tentative="0">
      <w:start w:val="1"/>
      <w:numFmt w:val="chineseCounting"/>
      <w:suff w:val="nothing"/>
      <w:lvlText w:val="%1、"/>
      <w:lvlJc w:val="left"/>
      <w:rPr>
        <w:rFonts w:hint="eastAsia"/>
      </w:rPr>
    </w:lvl>
  </w:abstractNum>
  <w:abstractNum w:abstractNumId="1">
    <w:nsid w:val="54DC3422"/>
    <w:multiLevelType w:val="singleLevel"/>
    <w:tmpl w:val="54DC3422"/>
    <w:lvl w:ilvl="0" w:tentative="0">
      <w:start w:val="2"/>
      <w:numFmt w:val="decimal"/>
      <w:lvlText w:val="%1."/>
      <w:lvlJc w:val="left"/>
      <w:pPr>
        <w:tabs>
          <w:tab w:val="left" w:pos="312"/>
        </w:tabs>
        <w:ind w:left="32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DZlYmI5MDk0MTg0NGQ5YjU3MzZhZWMwZGE3NjIifQ=="/>
  </w:docVars>
  <w:rsids>
    <w:rsidRoot w:val="007D49C5"/>
    <w:rsid w:val="000D63FA"/>
    <w:rsid w:val="005B64E8"/>
    <w:rsid w:val="00614288"/>
    <w:rsid w:val="00670592"/>
    <w:rsid w:val="00792CFE"/>
    <w:rsid w:val="007D49C5"/>
    <w:rsid w:val="008175E0"/>
    <w:rsid w:val="008C631D"/>
    <w:rsid w:val="00A114ED"/>
    <w:rsid w:val="00B24331"/>
    <w:rsid w:val="01583141"/>
    <w:rsid w:val="03AE3AF3"/>
    <w:rsid w:val="05253FFE"/>
    <w:rsid w:val="07C95AF2"/>
    <w:rsid w:val="088558BA"/>
    <w:rsid w:val="0BFC4773"/>
    <w:rsid w:val="0F2A6BF7"/>
    <w:rsid w:val="109627EE"/>
    <w:rsid w:val="13CF2803"/>
    <w:rsid w:val="13D87263"/>
    <w:rsid w:val="17136327"/>
    <w:rsid w:val="181871E2"/>
    <w:rsid w:val="19166846"/>
    <w:rsid w:val="1DBE1777"/>
    <w:rsid w:val="205745E5"/>
    <w:rsid w:val="20E92B23"/>
    <w:rsid w:val="22AC2218"/>
    <w:rsid w:val="2729052F"/>
    <w:rsid w:val="28C14634"/>
    <w:rsid w:val="2C081775"/>
    <w:rsid w:val="2CF02349"/>
    <w:rsid w:val="2E2F0FA5"/>
    <w:rsid w:val="2EC724D4"/>
    <w:rsid w:val="2EE30257"/>
    <w:rsid w:val="31A81405"/>
    <w:rsid w:val="33EA433A"/>
    <w:rsid w:val="34DA27CE"/>
    <w:rsid w:val="36411DC5"/>
    <w:rsid w:val="36B72533"/>
    <w:rsid w:val="36F162B2"/>
    <w:rsid w:val="3A905371"/>
    <w:rsid w:val="3DF36129"/>
    <w:rsid w:val="3EC51821"/>
    <w:rsid w:val="3ED61711"/>
    <w:rsid w:val="4057649F"/>
    <w:rsid w:val="43C36D6F"/>
    <w:rsid w:val="450B6AE4"/>
    <w:rsid w:val="460C39D1"/>
    <w:rsid w:val="4BD57255"/>
    <w:rsid w:val="50FD4F7F"/>
    <w:rsid w:val="54873A1A"/>
    <w:rsid w:val="552F43A7"/>
    <w:rsid w:val="55FD6A16"/>
    <w:rsid w:val="56796849"/>
    <w:rsid w:val="568F383B"/>
    <w:rsid w:val="5AD84982"/>
    <w:rsid w:val="5D555EEF"/>
    <w:rsid w:val="5DA95371"/>
    <w:rsid w:val="5DC750B7"/>
    <w:rsid w:val="60F623D5"/>
    <w:rsid w:val="64B05737"/>
    <w:rsid w:val="67E349CF"/>
    <w:rsid w:val="680E6083"/>
    <w:rsid w:val="686F7714"/>
    <w:rsid w:val="6A862BA8"/>
    <w:rsid w:val="6DFC1C65"/>
    <w:rsid w:val="75FA041F"/>
    <w:rsid w:val="760F49BD"/>
    <w:rsid w:val="76E870A0"/>
    <w:rsid w:val="7AE40DD7"/>
    <w:rsid w:val="7BB12DED"/>
    <w:rsid w:val="7C3015A2"/>
    <w:rsid w:val="7C4B4301"/>
    <w:rsid w:val="7D8E0949"/>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qFormat/>
    <w:uiPriority w:val="9"/>
    <w:pPr>
      <w:keepNext/>
      <w:keepLines/>
      <w:spacing w:before="260" w:after="260" w:line="413" w:lineRule="auto"/>
      <w:outlineLvl w:val="2"/>
    </w:pPr>
    <w:rPr>
      <w:b/>
      <w:sz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next w:val="1"/>
    <w:qFormat/>
    <w:uiPriority w:val="0"/>
    <w:pPr>
      <w:spacing w:line="560" w:lineRule="exact"/>
      <w:ind w:firstLine="880" w:firstLineChars="200"/>
    </w:pPr>
    <w:rPr>
      <w:rFonts w:ascii="Times New Roman" w:hAnsi="Times New Roman" w:eastAsia="仿宋_GB2312"/>
      <w:sz w:val="32"/>
      <w:szCs w:val="32"/>
    </w:rPr>
  </w:style>
  <w:style w:type="paragraph" w:styleId="8">
    <w:name w:val="footer"/>
    <w:basedOn w:val="1"/>
    <w:link w:val="21"/>
    <w:semiHidden/>
    <w:unhideWhenUsed/>
    <w:qFormat/>
    <w:uiPriority w:val="99"/>
    <w:pPr>
      <w:tabs>
        <w:tab w:val="center" w:pos="4153"/>
        <w:tab w:val="right" w:pos="8306"/>
      </w:tabs>
      <w:snapToGrid w:val="0"/>
      <w:jc w:val="left"/>
    </w:pPr>
    <w:rPr>
      <w:sz w:val="18"/>
      <w:szCs w:val="18"/>
    </w:rPr>
  </w:style>
  <w:style w:type="paragraph" w:styleId="9">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5">
    <w:name w:val="Strong"/>
    <w:qFormat/>
    <w:uiPriority w:val="0"/>
    <w:rPr>
      <w:b/>
      <w:b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eastAsia="仿宋_GB2312" w:cs="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sz w:val="32"/>
      <w:szCs w:val="32"/>
    </w:rPr>
  </w:style>
  <w:style w:type="paragraph" w:customStyle="1" w:styleId="19">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页眉 Char"/>
    <w:basedOn w:val="14"/>
    <w:link w:val="9"/>
    <w:semiHidden/>
    <w:qFormat/>
    <w:uiPriority w:val="99"/>
    <w:rPr>
      <w:rFonts w:ascii="Times New Roman" w:hAnsi="Times New Roman" w:eastAsia="仿宋_GB2312" w:cs="Times New Roman"/>
      <w:sz w:val="18"/>
      <w:szCs w:val="18"/>
    </w:rPr>
  </w:style>
  <w:style w:type="character" w:customStyle="1" w:styleId="21">
    <w:name w:val="页脚 Char"/>
    <w:basedOn w:val="14"/>
    <w:link w:val="8"/>
    <w:semiHidden/>
    <w:qFormat/>
    <w:uiPriority w:val="99"/>
    <w:rPr>
      <w:rFonts w:ascii="Times New Roman" w:hAnsi="Times New Roman" w:eastAsia="仿宋_GB2312" w:cs="Times New Roman"/>
      <w:sz w:val="18"/>
      <w:szCs w:val="18"/>
    </w:rPr>
  </w:style>
  <w:style w:type="paragraph" w:customStyle="1" w:styleId="22">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10180</Words>
  <Characters>10693</Characters>
  <Lines>37</Lines>
  <Paragraphs>10</Paragraphs>
  <TotalTime>20</TotalTime>
  <ScaleCrop>false</ScaleCrop>
  <LinksUpToDate>false</LinksUpToDate>
  <CharactersWithSpaces>10769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2024-06-07T05:26:41Z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E9A199FC559447C09859E6CEEC4280ED_13</vt:lpwstr>
  </property>
</Properties>
</file>