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highlight w:val="none"/>
        </w:rPr>
      </w:pPr>
    </w:p>
    <w:p>
      <w:pPr>
        <w:jc w:val="center"/>
        <w:rPr>
          <w:rFonts w:ascii="宋体" w:hAnsi="宋体" w:eastAsia="宋体" w:cs="Arial"/>
          <w:b/>
          <w:bCs/>
          <w:sz w:val="48"/>
          <w:szCs w:val="48"/>
          <w:highlight w:val="none"/>
        </w:rPr>
      </w:pPr>
    </w:p>
    <w:p>
      <w:pPr>
        <w:jc w:val="center"/>
        <w:rPr>
          <w:rFonts w:ascii="宋体" w:hAnsi="宋体" w:eastAsia="宋体" w:cs="Arial"/>
          <w:b/>
          <w:bCs/>
          <w:sz w:val="48"/>
          <w:szCs w:val="48"/>
          <w:highlight w:val="none"/>
        </w:rPr>
      </w:pPr>
    </w:p>
    <w:p>
      <w:pPr>
        <w:spacing w:line="540" w:lineRule="exact"/>
        <w:jc w:val="center"/>
        <w:rPr>
          <w:rFonts w:hint="eastAsia" w:ascii="黑体" w:hAnsi="黑体" w:eastAsia="黑体" w:cs="黑体"/>
          <w:kern w:val="0"/>
          <w:sz w:val="48"/>
          <w:szCs w:val="48"/>
          <w:highlight w:val="none"/>
        </w:rPr>
      </w:pPr>
      <w:r>
        <w:rPr>
          <w:rFonts w:hint="eastAsia" w:ascii="黑体" w:hAnsi="黑体" w:eastAsia="黑体" w:cs="黑体"/>
          <w:kern w:val="0"/>
          <w:sz w:val="48"/>
          <w:szCs w:val="48"/>
          <w:highlight w:val="none"/>
        </w:rPr>
        <w:t>应急产品粮油代储费资金项目支出绩效</w:t>
      </w:r>
    </w:p>
    <w:p>
      <w:pPr>
        <w:spacing w:line="540" w:lineRule="exact"/>
        <w:jc w:val="center"/>
        <w:rPr>
          <w:rFonts w:hint="eastAsia" w:ascii="黑体" w:hAnsi="黑体" w:eastAsia="黑体" w:cs="黑体"/>
          <w:kern w:val="0"/>
          <w:sz w:val="48"/>
          <w:szCs w:val="48"/>
          <w:highlight w:val="none"/>
        </w:rPr>
      </w:pPr>
      <w:r>
        <w:rPr>
          <w:rFonts w:hint="eastAsia" w:ascii="黑体" w:hAnsi="黑体" w:eastAsia="黑体" w:cs="黑体"/>
          <w:kern w:val="0"/>
          <w:sz w:val="48"/>
          <w:szCs w:val="48"/>
          <w:highlight w:val="none"/>
        </w:rPr>
        <w:t>评价报告</w:t>
      </w:r>
    </w:p>
    <w:p>
      <w:pPr>
        <w:jc w:val="center"/>
        <w:rPr>
          <w:rFonts w:ascii="宋体" w:hAnsi="宋体" w:eastAsia="宋体" w:cs="Arial"/>
          <w:b/>
          <w:bCs/>
          <w:sz w:val="48"/>
          <w:szCs w:val="48"/>
          <w:highlight w:val="none"/>
        </w:rPr>
      </w:pPr>
    </w:p>
    <w:p>
      <w:pPr>
        <w:widowControl/>
        <w:spacing w:line="560" w:lineRule="exact"/>
        <w:jc w:val="center"/>
        <w:rPr>
          <w:rFonts w:ascii="仿宋_GB2312" w:hAnsi="仿宋_GB2312" w:cs="仿宋_GB2312"/>
          <w:b/>
          <w:kern w:val="0"/>
          <w:sz w:val="50"/>
          <w:szCs w:val="50"/>
          <w:highlight w:val="none"/>
          <w:lang w:bidi="en-US"/>
        </w:rPr>
      </w:pPr>
      <w:r>
        <w:rPr>
          <w:rFonts w:hint="eastAsia" w:ascii="红豆小标宋简体" w:hAnsi="红豆小标宋简体" w:eastAsia="红豆小标宋简体" w:cs="红豆小标宋简体"/>
          <w:color w:val="000000"/>
          <w:kern w:val="0"/>
          <w:sz w:val="36"/>
          <w:szCs w:val="36"/>
          <w:highlight w:val="none"/>
        </w:rPr>
        <w:t>（2</w:t>
      </w:r>
      <w:r>
        <w:rPr>
          <w:rFonts w:ascii="红豆小标宋简体" w:hAnsi="红豆小标宋简体" w:eastAsia="红豆小标宋简体" w:cs="红豆小标宋简体"/>
          <w:color w:val="000000"/>
          <w:kern w:val="0"/>
          <w:sz w:val="36"/>
          <w:szCs w:val="36"/>
          <w:highlight w:val="none"/>
        </w:rPr>
        <w:t>02</w:t>
      </w:r>
      <w:r>
        <w:rPr>
          <w:rFonts w:hint="eastAsia" w:ascii="红豆小标宋简体" w:hAnsi="红豆小标宋简体" w:eastAsia="红豆小标宋简体" w:cs="红豆小标宋简体"/>
          <w:color w:val="000000"/>
          <w:kern w:val="0"/>
          <w:sz w:val="36"/>
          <w:szCs w:val="36"/>
          <w:highlight w:val="none"/>
          <w:lang w:val="en-US" w:eastAsia="zh-CN"/>
        </w:rPr>
        <w:t>3</w:t>
      </w:r>
      <w:r>
        <w:rPr>
          <w:rFonts w:hint="eastAsia" w:ascii="红豆小标宋简体" w:hAnsi="红豆小标宋简体" w:eastAsia="红豆小标宋简体" w:cs="红豆小标宋简体"/>
          <w:color w:val="000000"/>
          <w:kern w:val="0"/>
          <w:sz w:val="36"/>
          <w:szCs w:val="36"/>
          <w:highlight w:val="none"/>
        </w:rPr>
        <w:t>年度）</w:t>
      </w:r>
    </w:p>
    <w:p>
      <w:pPr>
        <w:spacing w:line="480" w:lineRule="auto"/>
        <w:jc w:val="center"/>
        <w:rPr>
          <w:rFonts w:ascii="仿宋_GB2312" w:hAnsi="仿宋_GB2312" w:cs="仿宋_GB2312"/>
          <w:b/>
          <w:kern w:val="0"/>
          <w:sz w:val="50"/>
          <w:szCs w:val="50"/>
          <w:highlight w:val="none"/>
          <w:lang w:bidi="en-US"/>
        </w:rPr>
      </w:pPr>
    </w:p>
    <w:p>
      <w:pPr>
        <w:spacing w:line="480" w:lineRule="auto"/>
        <w:jc w:val="center"/>
        <w:rPr>
          <w:rFonts w:ascii="仿宋_GB2312" w:hAnsi="仿宋_GB2312" w:cs="仿宋_GB2312"/>
          <w:b/>
          <w:kern w:val="0"/>
          <w:sz w:val="50"/>
          <w:szCs w:val="50"/>
          <w:highlight w:val="none"/>
          <w:lang w:bidi="en-US"/>
        </w:rPr>
      </w:pPr>
    </w:p>
    <w:p>
      <w:pPr>
        <w:spacing w:line="480" w:lineRule="auto"/>
        <w:jc w:val="both"/>
        <w:rPr>
          <w:rFonts w:ascii="仿宋_GB2312" w:hAnsi="仿宋_GB2312" w:cs="仿宋_GB2312"/>
          <w:b/>
          <w:kern w:val="0"/>
          <w:sz w:val="50"/>
          <w:szCs w:val="50"/>
          <w:highlight w:val="none"/>
          <w:lang w:bidi="en-US"/>
        </w:rPr>
      </w:pPr>
    </w:p>
    <w:p>
      <w:pPr>
        <w:spacing w:line="560" w:lineRule="exact"/>
        <w:ind w:firstLine="321" w:firstLineChars="100"/>
        <w:jc w:val="both"/>
        <w:rPr>
          <w:rFonts w:ascii="宋体" w:hAnsi="宋体" w:eastAsia="宋体" w:cs="宋体"/>
          <w:kern w:val="0"/>
          <w:sz w:val="32"/>
          <w:szCs w:val="32"/>
          <w:highlight w:val="none"/>
        </w:rPr>
      </w:pPr>
      <w:r>
        <w:rPr>
          <w:rFonts w:hint="eastAsia" w:ascii="宋体" w:hAnsi="宋体" w:eastAsia="宋体" w:cs="仿宋_GB2312"/>
          <w:b/>
          <w:bCs/>
          <w:color w:val="000000"/>
          <w:kern w:val="0"/>
          <w:sz w:val="32"/>
          <w:szCs w:val="32"/>
          <w:highlight w:val="none"/>
          <w:lang w:eastAsia="zh-CN"/>
        </w:rPr>
        <w:t>　　　　</w:t>
      </w:r>
      <w:r>
        <w:rPr>
          <w:rFonts w:hint="eastAsia" w:ascii="宋体" w:hAnsi="宋体" w:eastAsia="宋体" w:cs="仿宋_GB2312"/>
          <w:b/>
          <w:bCs/>
          <w:color w:val="000000"/>
          <w:kern w:val="0"/>
          <w:sz w:val="32"/>
          <w:szCs w:val="32"/>
          <w:highlight w:val="none"/>
        </w:rPr>
        <w:t>项目名称：应急产品粮油代储费</w:t>
      </w:r>
    </w:p>
    <w:p>
      <w:pPr>
        <w:spacing w:line="560" w:lineRule="exact"/>
        <w:jc w:val="both"/>
        <w:rPr>
          <w:rFonts w:hint="default" w:ascii="宋体" w:hAnsi="宋体" w:eastAsia="宋体" w:cs="宋体"/>
          <w:kern w:val="0"/>
          <w:sz w:val="32"/>
          <w:szCs w:val="32"/>
          <w:highlight w:val="none"/>
          <w:lang w:val="en-US" w:eastAsia="zh-CN"/>
        </w:rPr>
      </w:pPr>
      <w:r>
        <w:rPr>
          <w:rFonts w:hint="eastAsia" w:ascii="宋体" w:hAnsi="宋体" w:eastAsia="宋体" w:cs="仿宋_GB2312"/>
          <w:b/>
          <w:bCs/>
          <w:color w:val="000000"/>
          <w:kern w:val="0"/>
          <w:sz w:val="32"/>
          <w:szCs w:val="32"/>
          <w:highlight w:val="none"/>
          <w:lang w:eastAsia="zh-CN"/>
        </w:rPr>
        <w:t>　　　　　</w:t>
      </w:r>
      <w:r>
        <w:rPr>
          <w:rFonts w:hint="eastAsia" w:ascii="宋体" w:hAnsi="宋体" w:eastAsia="宋体" w:cs="仿宋_GB2312"/>
          <w:b/>
          <w:bCs/>
          <w:color w:val="000000"/>
          <w:kern w:val="0"/>
          <w:sz w:val="32"/>
          <w:szCs w:val="32"/>
          <w:highlight w:val="none"/>
        </w:rPr>
        <w:t>实施单位（公章）：</w:t>
      </w:r>
      <w:r>
        <w:rPr>
          <w:rFonts w:hint="eastAsia" w:ascii="宋体" w:hAnsi="宋体" w:eastAsia="宋体" w:cs="仿宋_GB2312"/>
          <w:b/>
          <w:bCs/>
          <w:color w:val="000000"/>
          <w:kern w:val="0"/>
          <w:sz w:val="32"/>
          <w:szCs w:val="32"/>
          <w:highlight w:val="none"/>
          <w:lang w:val="en-US" w:eastAsia="zh-CN"/>
        </w:rPr>
        <w:t>霍尔果斯经济开发区发展和改革委员会</w:t>
      </w:r>
    </w:p>
    <w:p>
      <w:pPr>
        <w:spacing w:line="560" w:lineRule="exact"/>
        <w:jc w:val="both"/>
        <w:rPr>
          <w:rFonts w:hint="default" w:ascii="宋体" w:hAnsi="宋体" w:eastAsia="宋体" w:cs="宋体"/>
          <w:kern w:val="0"/>
          <w:sz w:val="32"/>
          <w:szCs w:val="32"/>
          <w:highlight w:val="none"/>
          <w:lang w:val="en-US" w:eastAsia="zh-CN"/>
        </w:rPr>
      </w:pPr>
      <w:r>
        <w:rPr>
          <w:rFonts w:hint="eastAsia" w:ascii="宋体" w:hAnsi="宋体" w:eastAsia="宋体" w:cs="仿宋_GB2312"/>
          <w:b/>
          <w:bCs/>
          <w:color w:val="000000"/>
          <w:kern w:val="0"/>
          <w:sz w:val="32"/>
          <w:szCs w:val="32"/>
          <w:highlight w:val="none"/>
          <w:lang w:eastAsia="zh-CN"/>
        </w:rPr>
        <w:t>　　　　　</w:t>
      </w:r>
      <w:r>
        <w:rPr>
          <w:rFonts w:hint="eastAsia" w:ascii="宋体" w:hAnsi="宋体" w:eastAsia="宋体" w:cs="仿宋_GB2312"/>
          <w:b/>
          <w:bCs/>
          <w:color w:val="000000"/>
          <w:kern w:val="0"/>
          <w:sz w:val="32"/>
          <w:szCs w:val="32"/>
          <w:highlight w:val="none"/>
        </w:rPr>
        <w:t>主管部门（公章）：</w:t>
      </w:r>
      <w:r>
        <w:rPr>
          <w:rFonts w:hint="eastAsia" w:ascii="宋体" w:hAnsi="宋体" w:eastAsia="宋体" w:cs="仿宋_GB2312"/>
          <w:b/>
          <w:bCs/>
          <w:color w:val="000000"/>
          <w:kern w:val="0"/>
          <w:sz w:val="32"/>
          <w:szCs w:val="32"/>
          <w:highlight w:val="none"/>
          <w:lang w:val="en-US" w:eastAsia="zh-CN"/>
        </w:rPr>
        <w:t>霍尔果斯经济开发区发展和改革委员会</w:t>
      </w:r>
    </w:p>
    <w:p>
      <w:pPr>
        <w:spacing w:line="560" w:lineRule="exact"/>
        <w:jc w:val="both"/>
        <w:rPr>
          <w:rFonts w:ascii="宋体" w:hAnsi="宋体" w:eastAsia="宋体" w:cs="宋体"/>
          <w:kern w:val="0"/>
          <w:sz w:val="32"/>
          <w:szCs w:val="32"/>
          <w:highlight w:val="none"/>
        </w:rPr>
      </w:pPr>
    </w:p>
    <w:p>
      <w:pPr>
        <w:spacing w:line="560" w:lineRule="exact"/>
        <w:ind w:firstLine="321" w:firstLineChars="100"/>
        <w:jc w:val="both"/>
        <w:rPr>
          <w:rFonts w:hint="default" w:ascii="宋体" w:hAnsi="宋体" w:eastAsia="宋体" w:cs="宋体"/>
          <w:kern w:val="0"/>
          <w:sz w:val="32"/>
          <w:szCs w:val="32"/>
          <w:highlight w:val="none"/>
          <w:lang w:val="en-US" w:eastAsia="zh-CN"/>
        </w:rPr>
      </w:pPr>
      <w:r>
        <w:rPr>
          <w:rFonts w:hint="eastAsia" w:ascii="宋体" w:hAnsi="宋体" w:eastAsia="宋体" w:cs="仿宋_GB2312"/>
          <w:b/>
          <w:bCs/>
          <w:color w:val="000000"/>
          <w:kern w:val="0"/>
          <w:sz w:val="32"/>
          <w:szCs w:val="32"/>
          <w:highlight w:val="none"/>
          <w:lang w:eastAsia="zh-CN"/>
        </w:rPr>
        <w:t>　　　　</w:t>
      </w:r>
      <w:r>
        <w:rPr>
          <w:rFonts w:hint="eastAsia" w:ascii="宋体" w:hAnsi="宋体" w:eastAsia="宋体" w:cs="仿宋_GB2312"/>
          <w:b/>
          <w:bCs/>
          <w:color w:val="000000"/>
          <w:kern w:val="0"/>
          <w:sz w:val="32"/>
          <w:szCs w:val="32"/>
          <w:highlight w:val="none"/>
        </w:rPr>
        <w:t>项目负责人（签章）：</w:t>
      </w:r>
      <w:r>
        <w:rPr>
          <w:rFonts w:hint="eastAsia" w:ascii="宋体" w:hAnsi="宋体" w:eastAsia="宋体" w:cs="仿宋_GB2312"/>
          <w:b/>
          <w:bCs/>
          <w:color w:val="000000"/>
          <w:kern w:val="0"/>
          <w:sz w:val="32"/>
          <w:szCs w:val="32"/>
          <w:highlight w:val="none"/>
          <w:lang w:val="en-US" w:eastAsia="zh-CN"/>
        </w:rPr>
        <w:t>杜石磊</w:t>
      </w:r>
    </w:p>
    <w:p>
      <w:pPr>
        <w:spacing w:line="560" w:lineRule="exact"/>
        <w:ind w:firstLine="321" w:firstLineChars="100"/>
        <w:jc w:val="both"/>
        <w:rPr>
          <w:rFonts w:ascii="宋体" w:hAnsi="宋体" w:eastAsia="宋体" w:cs="仿宋_GB2312"/>
          <w:color w:val="000000"/>
          <w:kern w:val="0"/>
          <w:sz w:val="32"/>
          <w:szCs w:val="32"/>
          <w:highlight w:val="none"/>
        </w:rPr>
      </w:pPr>
      <w:r>
        <w:rPr>
          <w:rFonts w:hint="eastAsia" w:ascii="宋体" w:hAnsi="宋体" w:eastAsia="宋体" w:cs="仿宋_GB2312"/>
          <w:b/>
          <w:bCs/>
          <w:color w:val="000000"/>
          <w:kern w:val="0"/>
          <w:sz w:val="32"/>
          <w:szCs w:val="32"/>
          <w:highlight w:val="none"/>
          <w:lang w:eastAsia="zh-CN"/>
        </w:rPr>
        <w:t>　　　　</w:t>
      </w:r>
      <w:r>
        <w:rPr>
          <w:rFonts w:hint="eastAsia" w:ascii="宋体" w:hAnsi="宋体" w:eastAsia="宋体" w:cs="仿宋_GB2312"/>
          <w:b/>
          <w:bCs/>
          <w:color w:val="000000"/>
          <w:kern w:val="0"/>
          <w:sz w:val="32"/>
          <w:szCs w:val="32"/>
          <w:highlight w:val="none"/>
        </w:rPr>
        <w:t>填报时间：</w:t>
      </w:r>
      <w:r>
        <w:rPr>
          <w:rFonts w:hint="eastAsia" w:ascii="宋体" w:hAnsi="宋体" w:eastAsia="宋体" w:cs="仿宋_GB2312"/>
          <w:color w:val="000000"/>
          <w:kern w:val="0"/>
          <w:sz w:val="32"/>
          <w:szCs w:val="32"/>
          <w:highlight w:val="none"/>
        </w:rPr>
        <w:t>202</w:t>
      </w:r>
      <w:r>
        <w:rPr>
          <w:rFonts w:hint="eastAsia" w:ascii="宋体" w:hAnsi="宋体" w:eastAsia="宋体" w:cs="仿宋_GB2312"/>
          <w:color w:val="000000"/>
          <w:kern w:val="0"/>
          <w:sz w:val="32"/>
          <w:szCs w:val="32"/>
          <w:highlight w:val="none"/>
          <w:lang w:val="en-US" w:eastAsia="zh-CN"/>
        </w:rPr>
        <w:t>4</w:t>
      </w:r>
      <w:r>
        <w:rPr>
          <w:rFonts w:hint="eastAsia" w:ascii="宋体" w:hAnsi="宋体" w:eastAsia="宋体" w:cs="仿宋_GB2312"/>
          <w:color w:val="000000"/>
          <w:kern w:val="0"/>
          <w:sz w:val="32"/>
          <w:szCs w:val="32"/>
          <w:highlight w:val="none"/>
        </w:rPr>
        <w:t>年</w:t>
      </w:r>
      <w:r>
        <w:rPr>
          <w:rFonts w:hint="eastAsia" w:ascii="宋体" w:hAnsi="宋体" w:eastAsia="宋体" w:cs="仿宋_GB2312"/>
          <w:color w:val="000000"/>
          <w:kern w:val="0"/>
          <w:sz w:val="32"/>
          <w:szCs w:val="32"/>
          <w:highlight w:val="none"/>
          <w:lang w:val="en-US" w:eastAsia="zh-CN"/>
        </w:rPr>
        <w:t>04月28</w:t>
      </w:r>
      <w:r>
        <w:rPr>
          <w:rFonts w:hint="eastAsia" w:ascii="宋体" w:hAnsi="宋体" w:eastAsia="宋体" w:cs="仿宋_GB2312"/>
          <w:color w:val="000000"/>
          <w:kern w:val="0"/>
          <w:sz w:val="32"/>
          <w:szCs w:val="32"/>
          <w:highlight w:val="none"/>
        </w:rPr>
        <w:t>日</w:t>
      </w:r>
    </w:p>
    <w:p>
      <w:pPr>
        <w:widowControl/>
        <w:jc w:val="left"/>
        <w:rPr>
          <w:rFonts w:ascii="宋体" w:hAnsi="宋体" w:eastAsia="宋体" w:cs="Arial"/>
          <w:b/>
          <w:bCs/>
          <w:sz w:val="36"/>
          <w:szCs w:val="36"/>
          <w:highlight w:val="none"/>
        </w:rPr>
      </w:pPr>
      <w:r>
        <w:rPr>
          <w:rFonts w:ascii="宋体" w:hAnsi="宋体" w:eastAsia="宋体" w:cs="Arial"/>
          <w:b/>
          <w:bCs/>
          <w:sz w:val="36"/>
          <w:szCs w:val="36"/>
          <w:highlight w:val="none"/>
        </w:rPr>
        <w:br w:type="page"/>
      </w:r>
    </w:p>
    <w:p>
      <w:pPr>
        <w:numPr>
          <w:ilvl w:val="0"/>
          <w:numId w:val="1"/>
        </w:numPr>
        <w:spacing w:line="560" w:lineRule="exact"/>
        <w:rPr>
          <w:rFonts w:hint="eastAsia" w:ascii="Times New Roman" w:hAnsi="Times New Roman" w:eastAsia="黑体" w:cs="Times New Roman"/>
          <w:bCs/>
          <w:sz w:val="32"/>
          <w:szCs w:val="32"/>
          <w:highlight w:val="none"/>
        </w:rPr>
      </w:pPr>
      <w:bookmarkStart w:id="0" w:name="_Toc68703827"/>
      <w:r>
        <w:rPr>
          <w:rFonts w:hint="eastAsia" w:ascii="Times New Roman" w:hAnsi="Times New Roman" w:eastAsia="黑体" w:cs="Times New Roman"/>
          <w:bCs/>
          <w:sz w:val="32"/>
          <w:szCs w:val="32"/>
          <w:highlight w:val="none"/>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highlight w:val="none"/>
          <w:lang w:eastAsia="zh-CN"/>
        </w:rPr>
      </w:pPr>
      <w:r>
        <w:rPr>
          <w:rFonts w:hint="eastAsia" w:ascii="Times New Roman" w:hAnsi="Times New Roman" w:eastAsia="楷体_GB2312" w:cs="Times New Roman"/>
          <w:b/>
          <w:bCs/>
          <w:sz w:val="32"/>
          <w:szCs w:val="32"/>
          <w:highlight w:val="none"/>
          <w:lang w:eastAsia="zh-CN"/>
        </w:rPr>
        <w:t>（一）</w:t>
      </w:r>
      <w:r>
        <w:rPr>
          <w:rFonts w:hint="eastAsia" w:ascii="Times New Roman" w:hAnsi="Times New Roman" w:eastAsia="楷体_GB2312" w:cs="Times New Roman"/>
          <w:b/>
          <w:bCs/>
          <w:sz w:val="32"/>
          <w:szCs w:val="32"/>
          <w:highlight w:val="none"/>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highlight w:val="none"/>
          <w:lang w:eastAsia="zh-CN"/>
        </w:rPr>
      </w:pPr>
      <w:r>
        <w:rPr>
          <w:rFonts w:hint="eastAsia" w:ascii="Times New Roman" w:hAnsi="Times New Roman" w:cs="Times New Roman"/>
          <w:b w:val="0"/>
          <w:bCs w:val="0"/>
          <w:sz w:val="32"/>
          <w:szCs w:val="32"/>
          <w:highlight w:val="none"/>
          <w:lang w:val="en-US" w:eastAsia="zh-CN"/>
        </w:rPr>
        <w:t>　</w:t>
      </w:r>
      <w:r>
        <w:rPr>
          <w:rFonts w:hint="eastAsia" w:ascii="Times New Roman" w:hAnsi="Times New Roman" w:eastAsia="仿宋_GB2312" w:cs="Times New Roman"/>
          <w:b w:val="0"/>
          <w:bCs w:val="0"/>
          <w:sz w:val="32"/>
          <w:szCs w:val="32"/>
          <w:highlight w:val="none"/>
          <w:lang w:val="en-US" w:eastAsia="zh-CN"/>
        </w:rPr>
        <w:t>1.项目背景：</w:t>
      </w:r>
    </w:p>
    <w:p>
      <w:pPr>
        <w:spacing w:line="560" w:lineRule="exact"/>
        <w:ind w:firstLine="640" w:firstLineChars="200"/>
        <w:rPr>
          <w:rFonts w:hint="eastAsia" w:eastAsia="仿宋_GB2312"/>
          <w:sz w:val="32"/>
          <w:szCs w:val="32"/>
          <w:highlight w:val="none"/>
          <w:lang w:eastAsia="zh-CN"/>
        </w:rPr>
      </w:pPr>
      <w:r>
        <w:rPr>
          <w:rFonts w:hint="eastAsia" w:eastAsia="仿宋_GB2312"/>
          <w:sz w:val="32"/>
          <w:szCs w:val="32"/>
          <w:highlight w:val="none"/>
        </w:rPr>
        <w:t>应急物资保障是国家应急管理体系和能力建设的重要内容。为加强应急物资保障体系建设，提高应对灾害事故的能力和水平，切实保障人民群众生命财产安全，依据《中华人民共和国突发事件应对法》《中华人民共和国国民经济和社会发展第十四个五年规划和2035年远景目标纲要》《“十四五”国家应急体系规划》等法律法规和政策文件，应急物资，是指为有效应对自然灾害和事故灾难等突发事件，所必需的抢险救援保障物资、应急救援力量保障物资和受灾人员基本生活保障物资。其中，抢险救援保障物资包括森林草原防灭火物资、防汛抗旱物资、大震应急救灾物资、安全生产应急救援物资、综合性消防救援应急物资；应急救援力量保障物资是指国家综合性消防救援队伍和专业救援队伍参与抢险救援所需的应急保障物资；受灾人员基本生活保障物资是指用于受灾群众救助安置的生活类救灾物资。根据我单位三定方案职责，研究提出地方储备粮油行政管理工作，指导和协调地方备粮油管理，研究提出地方储备粮油总体布局和收购、销售、轮换计划建议。承担粮食监测预警和应急责任，承担粮食安全责任制监测预警和应急责任，承担粮食和物资储备系统工作</w:t>
      </w:r>
      <w:r>
        <w:rPr>
          <w:rFonts w:hint="eastAsia"/>
          <w:sz w:val="32"/>
          <w:szCs w:val="32"/>
          <w:highlight w:val="none"/>
          <w:lang w:eastAsia="zh-CN"/>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highlight w:val="none"/>
          <w:lang w:eastAsia="zh-CN"/>
        </w:rPr>
      </w:pPr>
      <w:r>
        <w:rPr>
          <w:rFonts w:hint="eastAsia" w:ascii="Times New Roman" w:hAnsi="Times New Roman" w:cs="Times New Roman"/>
          <w:b w:val="0"/>
          <w:bCs w:val="0"/>
          <w:sz w:val="32"/>
          <w:szCs w:val="32"/>
          <w:highlight w:val="none"/>
          <w:lang w:eastAsia="zh-CN"/>
        </w:rPr>
        <w:t>　</w:t>
      </w:r>
      <w:r>
        <w:rPr>
          <w:rFonts w:hint="eastAsia" w:ascii="Times New Roman" w:hAnsi="Times New Roman" w:eastAsia="仿宋_GB2312" w:cs="Times New Roman"/>
          <w:b w:val="0"/>
          <w:bCs w:val="0"/>
          <w:sz w:val="32"/>
          <w:szCs w:val="32"/>
          <w:highlight w:val="none"/>
          <w:lang w:eastAsia="zh-CN"/>
        </w:rPr>
        <w:t>2</w:t>
      </w:r>
      <w:r>
        <w:rPr>
          <w:rFonts w:hint="eastAsia" w:ascii="Times New Roman" w:hAnsi="Times New Roman" w:eastAsia="仿宋_GB2312" w:cs="Times New Roman"/>
          <w:b w:val="0"/>
          <w:bCs w:val="0"/>
          <w:sz w:val="32"/>
          <w:szCs w:val="32"/>
          <w:highlight w:val="none"/>
          <w:lang w:val="en-US" w:eastAsia="zh-CN"/>
        </w:rPr>
        <w:t>.</w:t>
      </w:r>
      <w:r>
        <w:rPr>
          <w:rFonts w:hint="eastAsia" w:ascii="Times New Roman" w:hAnsi="Times New Roman" w:eastAsia="仿宋_GB2312" w:cs="Times New Roman"/>
          <w:b w:val="0"/>
          <w:bCs w:val="0"/>
          <w:sz w:val="32"/>
          <w:szCs w:val="32"/>
          <w:highlight w:val="none"/>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color w:val="FF0000"/>
          <w:sz w:val="32"/>
          <w:szCs w:val="32"/>
          <w:highlight w:val="none"/>
        </w:rPr>
      </w:pPr>
      <w:r>
        <w:rPr>
          <w:rFonts w:hint="eastAsia" w:ascii="仿宋_GB2312"/>
          <w:sz w:val="32"/>
          <w:szCs w:val="32"/>
          <w:highlight w:val="none"/>
        </w:rPr>
        <w:t>主要内容：</w:t>
      </w:r>
      <w:r>
        <w:rPr>
          <w:rFonts w:hint="eastAsia" w:eastAsia="仿宋_GB2312"/>
          <w:sz w:val="32"/>
          <w:szCs w:val="32"/>
          <w:highlight w:val="none"/>
        </w:rPr>
        <w:t>根据《关于同意建立霍尔果斯市应急成品粮油储备的批复》（霍市政发函〔2021〕47号）中，2023年已完成霍尔果斯成品应急粮油数量、质量安全；成品面粉全年完成160吨，大米70吨，食用油20吨的存储量。</w:t>
      </w:r>
    </w:p>
    <w:p>
      <w:pPr>
        <w:spacing w:line="560" w:lineRule="exact"/>
        <w:ind w:firstLine="640" w:firstLineChars="200"/>
        <w:rPr>
          <w:highlight w:val="none"/>
        </w:rPr>
      </w:pPr>
      <w:r>
        <w:rPr>
          <w:rFonts w:hint="eastAsia" w:ascii="仿宋_GB2312"/>
          <w:sz w:val="32"/>
          <w:szCs w:val="32"/>
          <w:highlight w:val="none"/>
        </w:rPr>
        <w:t>实施情况：</w:t>
      </w:r>
      <w:r>
        <w:rPr>
          <w:rFonts w:eastAsia="仿宋_GB2312"/>
          <w:sz w:val="32"/>
          <w:szCs w:val="32"/>
          <w:highlight w:val="none"/>
        </w:rPr>
        <w:t>项目目前已经完成实际设立的目标，项目在实施过程中严格按照目标设立的各阶段任务进行开展工作，在前期立项过程中严格把质量关，建立安全防护机制，保证项目实施各阶段安全顺利进行。</w:t>
      </w:r>
      <w:r>
        <w:rPr>
          <w:rFonts w:hint="eastAsia" w:eastAsia="仿宋_GB2312"/>
          <w:sz w:val="32"/>
          <w:szCs w:val="32"/>
          <w:highlight w:val="none"/>
        </w:rPr>
        <w:t>在霍尔果斯市突发自然灾害等情况下保障我市所有居民15日口粮供应。</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highlight w:val="none"/>
          <w:lang w:eastAsia="zh-CN"/>
        </w:rPr>
      </w:pPr>
      <w:r>
        <w:rPr>
          <w:rFonts w:hint="eastAsia" w:ascii="Times New Roman" w:hAnsi="Times New Roman" w:cs="Times New Roman"/>
          <w:b w:val="0"/>
          <w:bCs w:val="0"/>
          <w:sz w:val="32"/>
          <w:szCs w:val="32"/>
          <w:highlight w:val="none"/>
          <w:lang w:eastAsia="zh-CN"/>
        </w:rPr>
        <w:t>　3</w:t>
      </w:r>
      <w:r>
        <w:rPr>
          <w:rFonts w:hint="eastAsia" w:ascii="Times New Roman" w:hAnsi="Times New Roman" w:cs="Times New Roman"/>
          <w:b w:val="0"/>
          <w:bCs w:val="0"/>
          <w:sz w:val="32"/>
          <w:szCs w:val="32"/>
          <w:highlight w:val="none"/>
          <w:lang w:val="en-US" w:eastAsia="zh-CN"/>
        </w:rPr>
        <w:t>.</w:t>
      </w:r>
      <w:r>
        <w:rPr>
          <w:rFonts w:hint="eastAsia" w:ascii="Times New Roman" w:hAnsi="Times New Roman" w:cs="Times New Roman"/>
          <w:b w:val="0"/>
          <w:bCs w:val="0"/>
          <w:sz w:val="32"/>
          <w:szCs w:val="32"/>
          <w:highlight w:val="none"/>
          <w:lang w:eastAsia="zh-CN"/>
        </w:rPr>
        <w:t>资金投入和使用情况</w:t>
      </w:r>
    </w:p>
    <w:p>
      <w:pPr>
        <w:spacing w:line="560" w:lineRule="exact"/>
        <w:ind w:firstLine="640" w:firstLineChars="200"/>
        <w:rPr>
          <w:rFonts w:eastAsia="仿宋_GB2312"/>
          <w:sz w:val="32"/>
          <w:szCs w:val="32"/>
          <w:highlight w:val="none"/>
        </w:rPr>
      </w:pPr>
      <w:r>
        <w:rPr>
          <w:rFonts w:hint="eastAsia"/>
          <w:sz w:val="32"/>
          <w:szCs w:val="32"/>
          <w:highlight w:val="none"/>
        </w:rPr>
        <w:t>资金投入情况</w:t>
      </w:r>
      <w:r>
        <w:rPr>
          <w:rFonts w:hint="eastAsia" w:eastAsia="仿宋_GB2312"/>
          <w:sz w:val="32"/>
          <w:szCs w:val="32"/>
          <w:highlight w:val="none"/>
        </w:rPr>
        <w:t>：该项目年初预算数</w:t>
      </w:r>
      <w:r>
        <w:rPr>
          <w:rFonts w:hint="eastAsia" w:eastAsia="仿宋_GB2312"/>
          <w:sz w:val="32"/>
          <w:szCs w:val="32"/>
          <w:highlight w:val="none"/>
          <w:lang w:val="en-US" w:eastAsia="zh-CN"/>
        </w:rPr>
        <w:t>10</w:t>
      </w:r>
      <w:r>
        <w:rPr>
          <w:rFonts w:hint="eastAsia" w:eastAsia="仿宋_GB2312"/>
          <w:sz w:val="32"/>
          <w:szCs w:val="32"/>
          <w:highlight w:val="none"/>
        </w:rPr>
        <w:t>万元，全年预算数</w:t>
      </w:r>
      <w:r>
        <w:rPr>
          <w:rFonts w:hint="eastAsia" w:eastAsia="仿宋_GB2312"/>
          <w:sz w:val="32"/>
          <w:szCs w:val="32"/>
          <w:highlight w:val="none"/>
          <w:lang w:val="en-US" w:eastAsia="zh-CN"/>
        </w:rPr>
        <w:t>10</w:t>
      </w:r>
      <w:r>
        <w:rPr>
          <w:rFonts w:hint="eastAsia" w:eastAsia="仿宋_GB2312"/>
          <w:sz w:val="32"/>
          <w:szCs w:val="32"/>
          <w:highlight w:val="none"/>
        </w:rPr>
        <w:t>万元</w:t>
      </w:r>
      <w:r>
        <w:rPr>
          <w:rFonts w:hint="eastAsia" w:eastAsia="仿宋_GB2312"/>
          <w:sz w:val="32"/>
          <w:szCs w:val="32"/>
          <w:highlight w:val="none"/>
          <w:lang w:eastAsia="zh-CN"/>
        </w:rPr>
        <w:t>，</w:t>
      </w:r>
      <w:r>
        <w:rPr>
          <w:rFonts w:hint="eastAsia" w:eastAsia="仿宋_GB2312"/>
          <w:sz w:val="32"/>
          <w:szCs w:val="32"/>
          <w:highlight w:val="none"/>
        </w:rPr>
        <w:t>实际总投入</w:t>
      </w:r>
      <w:r>
        <w:rPr>
          <w:rFonts w:hint="eastAsia" w:eastAsia="仿宋_GB2312"/>
          <w:sz w:val="32"/>
          <w:szCs w:val="32"/>
          <w:highlight w:val="none"/>
          <w:lang w:val="en-US" w:eastAsia="zh-CN"/>
        </w:rPr>
        <w:t>10</w:t>
      </w:r>
      <w:r>
        <w:rPr>
          <w:rFonts w:hint="eastAsia" w:eastAsia="仿宋_GB2312"/>
          <w:sz w:val="32"/>
          <w:szCs w:val="32"/>
          <w:highlight w:val="none"/>
        </w:rPr>
        <w:t>万元，该项目资金已全部落实到位，资金来源为</w:t>
      </w:r>
      <w:r>
        <w:rPr>
          <w:rFonts w:hint="eastAsia" w:eastAsia="仿宋_GB2312"/>
          <w:sz w:val="32"/>
          <w:szCs w:val="32"/>
          <w:highlight w:val="none"/>
          <w:lang w:val="en-US" w:eastAsia="zh-CN"/>
        </w:rPr>
        <w:t>财政补贴</w:t>
      </w:r>
      <w:r>
        <w:rPr>
          <w:rFonts w:hint="eastAsia" w:eastAsia="仿宋_GB2312"/>
          <w:sz w:val="32"/>
          <w:szCs w:val="32"/>
          <w:highlight w:val="none"/>
        </w:rPr>
        <w:t>。</w:t>
      </w:r>
    </w:p>
    <w:p>
      <w:pPr>
        <w:spacing w:line="560" w:lineRule="exact"/>
        <w:ind w:firstLine="640" w:firstLineChars="200"/>
        <w:rPr>
          <w:rFonts w:hint="eastAsia"/>
          <w:color w:val="FF0000"/>
          <w:sz w:val="32"/>
          <w:szCs w:val="32"/>
          <w:highlight w:val="none"/>
        </w:rPr>
      </w:pPr>
      <w:r>
        <w:rPr>
          <w:rFonts w:hint="eastAsia" w:eastAsia="仿宋_GB2312"/>
          <w:sz w:val="32"/>
          <w:szCs w:val="32"/>
          <w:highlight w:val="none"/>
        </w:rPr>
        <w:t>资金使用情况：该项目年初预算数</w:t>
      </w:r>
      <w:r>
        <w:rPr>
          <w:rFonts w:hint="eastAsia" w:eastAsia="仿宋_GB2312"/>
          <w:sz w:val="32"/>
          <w:szCs w:val="32"/>
          <w:highlight w:val="none"/>
          <w:lang w:val="en-US" w:eastAsia="zh-CN"/>
        </w:rPr>
        <w:t>10</w:t>
      </w:r>
      <w:r>
        <w:rPr>
          <w:rFonts w:hint="eastAsia" w:eastAsia="仿宋_GB2312"/>
          <w:sz w:val="32"/>
          <w:szCs w:val="32"/>
          <w:highlight w:val="none"/>
        </w:rPr>
        <w:t>万元，全年预算数</w:t>
      </w:r>
      <w:r>
        <w:rPr>
          <w:rFonts w:hint="eastAsia" w:eastAsia="仿宋_GB2312"/>
          <w:sz w:val="32"/>
          <w:szCs w:val="32"/>
          <w:highlight w:val="none"/>
          <w:lang w:val="en-US" w:eastAsia="zh-CN"/>
        </w:rPr>
        <w:t>10</w:t>
      </w:r>
      <w:r>
        <w:rPr>
          <w:rFonts w:hint="eastAsia" w:eastAsia="仿宋_GB2312"/>
          <w:sz w:val="32"/>
          <w:szCs w:val="32"/>
          <w:highlight w:val="none"/>
        </w:rPr>
        <w:t>万元</w:t>
      </w:r>
      <w:r>
        <w:rPr>
          <w:rFonts w:hint="eastAsia" w:eastAsia="仿宋_GB2312"/>
          <w:sz w:val="32"/>
          <w:szCs w:val="32"/>
          <w:highlight w:val="none"/>
          <w:lang w:eastAsia="zh-CN"/>
        </w:rPr>
        <w:t>，</w:t>
      </w:r>
      <w:r>
        <w:rPr>
          <w:rFonts w:hint="eastAsia" w:eastAsia="仿宋_GB2312"/>
          <w:sz w:val="32"/>
          <w:szCs w:val="32"/>
          <w:highlight w:val="none"/>
        </w:rPr>
        <w:t>全年执行数</w:t>
      </w:r>
      <w:r>
        <w:rPr>
          <w:rFonts w:hint="eastAsia" w:eastAsia="仿宋_GB2312"/>
          <w:sz w:val="32"/>
          <w:szCs w:val="32"/>
          <w:highlight w:val="none"/>
          <w:lang w:val="en-US" w:eastAsia="zh-CN"/>
        </w:rPr>
        <w:t>10</w:t>
      </w:r>
      <w:r>
        <w:rPr>
          <w:rFonts w:hint="eastAsia" w:eastAsia="仿宋_GB2312"/>
          <w:sz w:val="32"/>
          <w:szCs w:val="32"/>
          <w:highlight w:val="none"/>
        </w:rPr>
        <w:t>万元</w:t>
      </w:r>
      <w:r>
        <w:rPr>
          <w:rFonts w:hint="eastAsia"/>
          <w:color w:val="FF0000"/>
          <w:sz w:val="32"/>
          <w:szCs w:val="32"/>
          <w:highlight w:val="none"/>
        </w:rPr>
        <w:t>，</w:t>
      </w:r>
      <w:r>
        <w:rPr>
          <w:rFonts w:hint="eastAsia"/>
          <w:color w:val="auto"/>
          <w:sz w:val="32"/>
          <w:szCs w:val="32"/>
          <w:highlight w:val="none"/>
        </w:rPr>
        <w:t>预算执行率为</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r>
        <w:rPr>
          <w:rFonts w:hint="eastAsia"/>
          <w:color w:val="auto"/>
          <w:sz w:val="32"/>
          <w:szCs w:val="32"/>
          <w:highlight w:val="none"/>
        </w:rPr>
        <w:t>用于：代储面粉成本</w:t>
      </w:r>
      <w:r>
        <w:rPr>
          <w:rFonts w:hint="eastAsia"/>
          <w:color w:val="auto"/>
          <w:sz w:val="32"/>
          <w:szCs w:val="32"/>
          <w:highlight w:val="none"/>
          <w:lang w:val="en-US" w:eastAsia="zh-CN"/>
        </w:rPr>
        <w:t>6</w:t>
      </w:r>
      <w:r>
        <w:rPr>
          <w:rFonts w:hint="eastAsia"/>
          <w:color w:val="auto"/>
          <w:sz w:val="32"/>
          <w:szCs w:val="32"/>
          <w:highlight w:val="none"/>
        </w:rPr>
        <w:t>万元</w:t>
      </w:r>
      <w:r>
        <w:rPr>
          <w:rFonts w:hint="eastAsia"/>
          <w:color w:val="auto"/>
          <w:sz w:val="32"/>
          <w:szCs w:val="32"/>
          <w:highlight w:val="none"/>
          <w:lang w:eastAsia="zh-CN"/>
        </w:rPr>
        <w:t>，</w:t>
      </w:r>
      <w:r>
        <w:rPr>
          <w:rFonts w:hint="eastAsia"/>
          <w:color w:val="auto"/>
          <w:sz w:val="32"/>
          <w:szCs w:val="32"/>
          <w:highlight w:val="none"/>
        </w:rPr>
        <w:t>代储大米成本</w:t>
      </w:r>
      <w:r>
        <w:rPr>
          <w:rFonts w:hint="eastAsia"/>
          <w:color w:val="auto"/>
          <w:sz w:val="32"/>
          <w:szCs w:val="32"/>
          <w:highlight w:val="none"/>
          <w:lang w:val="en-US" w:eastAsia="zh-CN"/>
        </w:rPr>
        <w:t>3万元</w:t>
      </w:r>
      <w:r>
        <w:rPr>
          <w:rFonts w:hint="eastAsia"/>
          <w:color w:val="auto"/>
          <w:sz w:val="32"/>
          <w:szCs w:val="32"/>
          <w:highlight w:val="none"/>
          <w:lang w:eastAsia="zh-CN"/>
        </w:rPr>
        <w:t>，</w:t>
      </w:r>
      <w:r>
        <w:rPr>
          <w:rFonts w:hint="eastAsia"/>
          <w:color w:val="auto"/>
          <w:sz w:val="32"/>
          <w:szCs w:val="32"/>
          <w:highlight w:val="none"/>
        </w:rPr>
        <w:t>代储食用油成本</w:t>
      </w:r>
      <w:r>
        <w:rPr>
          <w:rFonts w:hint="eastAsia"/>
          <w:color w:val="auto"/>
          <w:sz w:val="32"/>
          <w:szCs w:val="32"/>
          <w:highlight w:val="none"/>
          <w:lang w:val="en-US" w:eastAsia="zh-CN"/>
        </w:rPr>
        <w:t>1万元。</w:t>
      </w:r>
      <w:bookmarkStart w:id="2" w:name="_Toc68703829"/>
    </w:p>
    <w:p>
      <w:pPr>
        <w:spacing w:line="560" w:lineRule="exact"/>
        <w:rPr>
          <w:rFonts w:hint="eastAsia" w:ascii="Times New Roman" w:hAnsi="Times New Roman" w:eastAsia="楷体_GB2312" w:cs="Times New Roman"/>
          <w:b/>
          <w:bCs/>
          <w:sz w:val="32"/>
          <w:szCs w:val="32"/>
          <w:highlight w:val="none"/>
          <w:lang w:eastAsia="zh-CN"/>
        </w:rPr>
      </w:pPr>
      <w:r>
        <w:rPr>
          <w:rFonts w:hint="eastAsia" w:ascii="Times New Roman" w:hAnsi="Times New Roman" w:eastAsia="楷体_GB2312" w:cs="Times New Roman"/>
          <w:b/>
          <w:bCs/>
          <w:sz w:val="32"/>
          <w:szCs w:val="32"/>
          <w:highlight w:val="none"/>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sz w:val="32"/>
          <w:szCs w:val="32"/>
          <w:highlight w:val="none"/>
        </w:rPr>
      </w:pPr>
      <w:r>
        <w:rPr>
          <w:rFonts w:hint="eastAsia"/>
          <w:b w:val="0"/>
          <w:bCs w:val="0"/>
          <w:sz w:val="32"/>
          <w:szCs w:val="32"/>
          <w:highlight w:val="none"/>
          <w:lang w:eastAsia="zh-CN"/>
        </w:rPr>
        <w:t>　</w:t>
      </w:r>
      <w:r>
        <w:rPr>
          <w:rFonts w:hint="eastAsia" w:eastAsia="仿宋_GB2312"/>
          <w:sz w:val="32"/>
          <w:szCs w:val="32"/>
          <w:highlight w:val="none"/>
          <w:lang w:val="en-US" w:eastAsia="zh-CN"/>
        </w:rPr>
        <w:t>1.</w:t>
      </w:r>
      <w:r>
        <w:rPr>
          <w:rFonts w:hint="eastAsia" w:eastAsia="仿宋_GB2312"/>
          <w:sz w:val="32"/>
          <w:szCs w:val="32"/>
          <w:highlight w:val="none"/>
        </w:rPr>
        <w:t>根据《关于同意建立霍尔果斯市应急成品粮油储备的批复》（霍市政发函〔2021〕47号）中，为进一步构筑霍尔果斯粮食安全体系，确保完成2023年霍尔果斯成品应急粮油数量、质量安全；确保成品面粉每季度至少160吨，大米70吨，食用油20吨的存储量；小麦粉质量达到国家标准≥1级，大米质量达到国家标准≥3级，成品食用油的质量达到国家标准≥4级，保障全市遇突发情况时，15天内米面油不断供，粮油价格总体平稳</w:t>
      </w:r>
      <w:r>
        <w:rPr>
          <w:rFonts w:hint="eastAsia" w:eastAsia="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sz w:val="32"/>
          <w:szCs w:val="32"/>
          <w:highlight w:val="none"/>
        </w:rPr>
      </w:pPr>
      <w:r>
        <w:rPr>
          <w:rFonts w:hint="eastAsia"/>
          <w:b w:val="0"/>
          <w:bCs w:val="0"/>
          <w:sz w:val="32"/>
          <w:szCs w:val="32"/>
          <w:highlight w:val="none"/>
          <w:lang w:eastAsia="zh-CN"/>
        </w:rPr>
        <w:t>　</w:t>
      </w:r>
      <w:r>
        <w:rPr>
          <w:rFonts w:hint="eastAsia" w:ascii="Times New Roman" w:hAnsi="Times New Roman" w:eastAsia="仿宋_GB2312" w:cs="Times New Roman"/>
          <w:b w:val="0"/>
          <w:bCs w:val="0"/>
          <w:sz w:val="32"/>
          <w:szCs w:val="32"/>
          <w:highlight w:val="none"/>
          <w:lang w:val="en-US" w:eastAsia="zh-CN"/>
        </w:rPr>
        <w:t>2.阶段性目标：</w:t>
      </w:r>
      <w:bookmarkStart w:id="3" w:name="_Toc68703830"/>
      <w:r>
        <w:rPr>
          <w:rFonts w:hint="eastAsia" w:eastAsia="仿宋_GB2312"/>
          <w:sz w:val="32"/>
          <w:szCs w:val="32"/>
          <w:highlight w:val="none"/>
        </w:rPr>
        <w:t>根据《关于同意建立霍尔果斯市应急成品粮油储备的批复》（霍市政发函〔2021〕47号）中，为进一步构筑霍尔果斯粮食安全体系，确保完成2023年霍尔果斯成品应急粮油数量、质量安全；确保成品面粉每季度至少160吨，大米70吨，食用油20吨的存储量；小麦粉质量达到国家标准≥1级，大米质量达到国家标准≥3级，成品食用油的质量达到国家标准≥4级，保障全市遇突发情况时，15天内米面油不断供，粮油价格总体平稳</w:t>
      </w:r>
      <w:r>
        <w:rPr>
          <w:rFonts w:hint="eastAsia" w:eastAsia="仿宋_GB2312"/>
          <w:sz w:val="32"/>
          <w:szCs w:val="32"/>
          <w:highlight w:val="none"/>
          <w:lang w:val="en-US" w:eastAsia="zh-CN"/>
        </w:rPr>
        <w:t>。</w:t>
      </w:r>
    </w:p>
    <w:p>
      <w:pPr>
        <w:spacing w:line="560" w:lineRule="exact"/>
        <w:rPr>
          <w:rFonts w:hint="eastAsia" w:ascii="Times New Roman" w:hAnsi="Times New Roman" w:eastAsia="黑体" w:cs="Times New Roman"/>
          <w:bCs/>
          <w:sz w:val="32"/>
          <w:szCs w:val="32"/>
          <w:highlight w:val="none"/>
          <w:lang w:val="en-US" w:eastAsia="zh-CN"/>
        </w:rPr>
      </w:pPr>
      <w:r>
        <w:rPr>
          <w:rFonts w:hint="eastAsia" w:ascii="Times New Roman" w:hAnsi="Times New Roman" w:eastAsia="黑体" w:cs="Times New Roman"/>
          <w:bCs/>
          <w:sz w:val="32"/>
          <w:szCs w:val="32"/>
          <w:highlight w:val="none"/>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highlight w:val="none"/>
          <w:lang w:eastAsia="zh-CN"/>
        </w:rPr>
      </w:pPr>
      <w:bookmarkStart w:id="4" w:name="_Toc68703831"/>
      <w:r>
        <w:rPr>
          <w:rFonts w:hint="eastAsia" w:ascii="Times New Roman" w:hAnsi="Times New Roman" w:eastAsia="楷体_GB2312" w:cs="Times New Roman"/>
          <w:b/>
          <w:bCs/>
          <w:sz w:val="32"/>
          <w:szCs w:val="32"/>
          <w:highlight w:val="none"/>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highlight w:val="none"/>
          <w:lang w:val="en-US" w:eastAsia="zh-CN"/>
        </w:rPr>
      </w:pPr>
      <w:r>
        <w:rPr>
          <w:rFonts w:hint="eastAsia" w:ascii="Times New Roman" w:hAnsi="Times New Roman" w:eastAsia="仿宋_GB2312" w:cs="Times New Roman"/>
          <w:b w:val="0"/>
          <w:bCs w:val="0"/>
          <w:sz w:val="32"/>
          <w:szCs w:val="32"/>
          <w:highlight w:val="none"/>
          <w:lang w:val="en-US" w:eastAsia="zh-CN"/>
        </w:rPr>
        <w:t>　1.绩效评价目的</w:t>
      </w:r>
    </w:p>
    <w:p>
      <w:pPr>
        <w:spacing w:line="560" w:lineRule="exact"/>
        <w:ind w:firstLine="640" w:firstLineChars="200"/>
        <w:rPr>
          <w:rFonts w:eastAsia="仿宋_GB2312"/>
          <w:sz w:val="32"/>
          <w:szCs w:val="32"/>
          <w:highlight w:val="none"/>
        </w:rPr>
      </w:pPr>
      <w:r>
        <w:rPr>
          <w:rFonts w:eastAsia="仿宋_GB2312"/>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highlight w:val="none"/>
        </w:rPr>
      </w:pPr>
      <w:r>
        <w:rPr>
          <w:rFonts w:eastAsia="仿宋_GB2312"/>
          <w:sz w:val="32"/>
          <w:szCs w:val="32"/>
          <w:highlight w:val="none"/>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highlight w:val="none"/>
        </w:rPr>
      </w:pPr>
      <w:r>
        <w:rPr>
          <w:rFonts w:eastAsia="仿宋_GB2312"/>
          <w:sz w:val="32"/>
          <w:szCs w:val="32"/>
          <w:highlight w:val="none"/>
        </w:rPr>
        <w:t>（2）项目绩效管理财政支出运行提供及时、有效的信息。</w:t>
      </w:r>
    </w:p>
    <w:p>
      <w:pPr>
        <w:pStyle w:val="20"/>
        <w:spacing w:line="560" w:lineRule="exact"/>
        <w:ind w:firstLine="640" w:firstLineChars="200"/>
        <w:rPr>
          <w:rFonts w:eastAsia="方正仿宋_GBK" w:cs="方正仿宋_GBK"/>
          <w:sz w:val="32"/>
          <w:szCs w:val="32"/>
          <w:highlight w:val="none"/>
        </w:rPr>
      </w:pPr>
      <w:r>
        <w:rPr>
          <w:rFonts w:eastAsia="仿宋_GB2312"/>
          <w:sz w:val="32"/>
          <w:szCs w:val="32"/>
          <w:highlight w:val="none"/>
        </w:rPr>
        <w:t>综合来看，通过开展有效的财政支出绩效评价管理，</w:t>
      </w:r>
      <w:r>
        <w:rPr>
          <w:rFonts w:hint="eastAsia" w:eastAsia="仿宋_GB2312"/>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highlight w:val="none"/>
          <w:lang w:val="en-US" w:eastAsia="zh-CN"/>
        </w:rPr>
      </w:pPr>
      <w:r>
        <w:rPr>
          <w:rFonts w:hint="eastAsia" w:ascii="Times New Roman" w:hAnsi="Times New Roman" w:cs="Times New Roman"/>
          <w:b/>
          <w:bCs/>
          <w:sz w:val="30"/>
          <w:szCs w:val="30"/>
          <w:highlight w:val="none"/>
          <w:lang w:val="en-US" w:eastAsia="zh-CN"/>
        </w:rPr>
        <w:t>　</w:t>
      </w:r>
      <w:r>
        <w:rPr>
          <w:rFonts w:hint="eastAsia" w:ascii="Times New Roman" w:hAnsi="Times New Roman" w:eastAsia="仿宋_GB2312" w:cs="Times New Roman"/>
          <w:b w:val="0"/>
          <w:bCs w:val="0"/>
          <w:sz w:val="32"/>
          <w:szCs w:val="32"/>
          <w:highlight w:val="none"/>
          <w:lang w:val="en-US" w:eastAsia="zh-CN"/>
        </w:rPr>
        <w:t>2.绩效评价对象：</w:t>
      </w:r>
    </w:p>
    <w:p>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应急产品粮油代储费项目所包含的全部项目内容。</w:t>
      </w:r>
    </w:p>
    <w:p>
      <w:pPr>
        <w:spacing w:line="560" w:lineRule="exact"/>
        <w:rPr>
          <w:rFonts w:hint="eastAsia" w:ascii="Times New Roman" w:hAnsi="Times New Roman" w:eastAsia="仿宋_GB2312" w:cs="Times New Roman"/>
          <w:b w:val="0"/>
          <w:bCs w:val="0"/>
          <w:sz w:val="32"/>
          <w:szCs w:val="32"/>
          <w:highlight w:val="none"/>
          <w:lang w:val="en-US" w:eastAsia="zh-CN"/>
        </w:rPr>
      </w:pPr>
      <w:r>
        <w:rPr>
          <w:rFonts w:hint="eastAsia" w:ascii="Times New Roman" w:hAnsi="Times New Roman" w:eastAsia="仿宋_GB2312" w:cs="Times New Roman"/>
          <w:b w:val="0"/>
          <w:bCs w:val="0"/>
          <w:sz w:val="32"/>
          <w:szCs w:val="32"/>
          <w:highlight w:val="none"/>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color w:val="auto"/>
          <w:sz w:val="32"/>
          <w:szCs w:val="32"/>
          <w:highlight w:val="none"/>
        </w:rPr>
        <w:t>本次评价从项目决策（包括绩效目标、决策过程）、项目管理（包括项目资金、项目实施）、项目产出（包括项目产出数量、产出质量、产出时效和产出成本）项目效益四个维度进行</w:t>
      </w:r>
      <w:r>
        <w:rPr>
          <w:rFonts w:hint="eastAsia" w:ascii="仿宋_GB2312" w:hAnsi="仿宋_GB2312" w:eastAsia="仿宋_GB2312" w:cs="仿宋_GB2312"/>
          <w:sz w:val="32"/>
          <w:szCs w:val="32"/>
          <w:highlight w:val="none"/>
        </w:rPr>
        <w:t>应急产品粮油代储费项目</w:t>
      </w:r>
      <w:r>
        <w:rPr>
          <w:rFonts w:hint="eastAsia"/>
          <w:color w:val="auto"/>
          <w:sz w:val="32"/>
          <w:szCs w:val="32"/>
          <w:highlight w:val="none"/>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highlight w:val="none"/>
          <w:lang w:val="en-US" w:eastAsia="zh-CN" w:bidi="ar-SA"/>
        </w:rPr>
      </w:pPr>
      <w:bookmarkStart w:id="5" w:name="_Toc68703832"/>
      <w:r>
        <w:rPr>
          <w:rFonts w:hint="eastAsia" w:ascii="Times New Roman" w:hAnsi="Times New Roman" w:eastAsia="楷体_GB2312" w:cs="Times New Roman"/>
          <w:b/>
          <w:bCs/>
          <w:kern w:val="2"/>
          <w:sz w:val="32"/>
          <w:szCs w:val="32"/>
          <w:highlight w:val="none"/>
          <w:lang w:val="en-US" w:eastAsia="zh-CN" w:bidi="ar-SA"/>
        </w:rPr>
        <w:t>（二）绩效评价原则、评价指标体系</w:t>
      </w:r>
      <w:r>
        <w:rPr>
          <w:rFonts w:eastAsia="楷体_GB2312"/>
          <w:b/>
          <w:bCs/>
          <w:sz w:val="32"/>
          <w:szCs w:val="32"/>
          <w:highlight w:val="none"/>
        </w:rPr>
        <w:t>（详情见表1）</w:t>
      </w:r>
      <w:r>
        <w:rPr>
          <w:rFonts w:hint="eastAsia" w:ascii="Times New Roman" w:hAnsi="Times New Roman" w:eastAsia="楷体_GB2312" w:cs="Times New Roman"/>
          <w:b/>
          <w:bCs/>
          <w:kern w:val="2"/>
          <w:sz w:val="32"/>
          <w:szCs w:val="32"/>
          <w:highlight w:val="none"/>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highlight w:val="none"/>
        </w:rPr>
      </w:pPr>
      <w:r>
        <w:rPr>
          <w:rFonts w:hint="eastAsia"/>
          <w:sz w:val="32"/>
          <w:szCs w:val="32"/>
          <w:highlight w:val="none"/>
        </w:rPr>
        <w:t>1</w:t>
      </w:r>
      <w:r>
        <w:rPr>
          <w:rFonts w:hint="eastAsia"/>
          <w:sz w:val="32"/>
          <w:szCs w:val="32"/>
          <w:highlight w:val="none"/>
          <w:lang w:val="en-US" w:eastAsia="zh-CN"/>
        </w:rPr>
        <w:t>.</w:t>
      </w:r>
      <w:r>
        <w:rPr>
          <w:rFonts w:hint="eastAsia"/>
          <w:sz w:val="32"/>
          <w:szCs w:val="32"/>
          <w:highlight w:val="none"/>
        </w:rPr>
        <w:t>绩效评价原则</w:t>
      </w:r>
    </w:p>
    <w:p>
      <w:pPr>
        <w:spacing w:line="560" w:lineRule="exact"/>
        <w:ind w:firstLine="640" w:firstLineChars="200"/>
        <w:rPr>
          <w:rFonts w:eastAsia="仿宋_GB2312"/>
          <w:color w:val="000000"/>
          <w:sz w:val="32"/>
          <w:szCs w:val="32"/>
          <w:highlight w:val="none"/>
        </w:rPr>
      </w:pPr>
      <w:r>
        <w:rPr>
          <w:rFonts w:eastAsia="仿宋_GB2312"/>
          <w:color w:val="000000"/>
          <w:sz w:val="32"/>
          <w:szCs w:val="32"/>
          <w:highlight w:val="none"/>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rPr>
          <w:highlight w:val="none"/>
        </w:rPr>
      </w:pPr>
      <w:r>
        <w:rPr>
          <w:rFonts w:ascii="Times New Roman" w:hAnsi="Times New Roman" w:eastAsia="仿宋_GB2312"/>
          <w:b w:val="0"/>
          <w:bCs w:val="0"/>
          <w:highlight w:val="none"/>
        </w:rPr>
        <w:t>（4）公开透明。绩效评价结果应依法依规公开，并自觉接受社会监督。</w:t>
      </w:r>
    </w:p>
    <w:p>
      <w:pPr>
        <w:spacing w:line="360" w:lineRule="auto"/>
        <w:ind w:firstLine="600" w:firstLineChars="200"/>
        <w:jc w:val="left"/>
        <w:rPr>
          <w:rFonts w:hint="eastAsia"/>
          <w:sz w:val="32"/>
          <w:szCs w:val="32"/>
          <w:highlight w:val="none"/>
        </w:rPr>
      </w:pPr>
      <w:r>
        <w:rPr>
          <w:rFonts w:hint="eastAsia"/>
          <w:highlight w:val="none"/>
        </w:rPr>
        <w:t>2、</w:t>
      </w:r>
      <w:r>
        <w:rPr>
          <w:rFonts w:hint="eastAsia"/>
          <w:sz w:val="32"/>
          <w:szCs w:val="32"/>
          <w:highlight w:val="none"/>
        </w:rPr>
        <w:t>评价指标体系</w:t>
      </w:r>
    </w:p>
    <w:p>
      <w:pPr>
        <w:spacing w:line="560" w:lineRule="exact"/>
        <w:ind w:firstLine="708" w:firstLineChars="200"/>
        <w:rPr>
          <w:color w:val="000000"/>
          <w:spacing w:val="17"/>
          <w:sz w:val="32"/>
          <w:szCs w:val="32"/>
          <w:highlight w:val="none"/>
        </w:rPr>
      </w:pPr>
      <w:r>
        <w:rPr>
          <w:rFonts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（1）确定评价指标</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（2）确定权重</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确定各个指标相对于项目总体绩效的权重分值。在绩效评价指标体系中，项目决策权重为20分，项目过程权重为</w:t>
      </w:r>
      <w:r>
        <w:rPr>
          <w:rFonts w:hint="eastAsia"/>
          <w:color w:val="000000"/>
          <w:spacing w:val="17"/>
          <w:sz w:val="32"/>
          <w:szCs w:val="32"/>
          <w:highlight w:val="none"/>
          <w:lang w:val="en-US" w:eastAsia="zh-CN"/>
        </w:rPr>
        <w:t>20</w:t>
      </w:r>
      <w:r>
        <w:rPr>
          <w:rFonts w:eastAsia="仿宋_GB2312"/>
          <w:color w:val="000000"/>
          <w:spacing w:val="17"/>
          <w:sz w:val="32"/>
          <w:szCs w:val="32"/>
          <w:highlight w:val="none"/>
        </w:rPr>
        <w:t>分，项目产出权重为</w:t>
      </w:r>
      <w:r>
        <w:rPr>
          <w:rFonts w:hint="eastAsia"/>
          <w:color w:val="000000"/>
          <w:spacing w:val="17"/>
          <w:sz w:val="32"/>
          <w:szCs w:val="32"/>
          <w:highlight w:val="none"/>
          <w:lang w:val="en-US" w:eastAsia="zh-CN"/>
        </w:rPr>
        <w:t>40</w:t>
      </w:r>
      <w:r>
        <w:rPr>
          <w:rFonts w:eastAsia="仿宋_GB2312"/>
          <w:color w:val="000000"/>
          <w:spacing w:val="17"/>
          <w:sz w:val="32"/>
          <w:szCs w:val="32"/>
          <w:highlight w:val="none"/>
        </w:rPr>
        <w:t>分，项目效益权重为20分。</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（3）确定指标标准值</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highlight w:val="none"/>
        </w:rPr>
      </w:pPr>
      <w:r>
        <w:rPr>
          <w:rFonts w:ascii="Times New Roman" w:hAnsi="Times New Roman" w:eastAsia="仿宋_GB2312"/>
          <w:b w:val="0"/>
          <w:bCs w:val="0"/>
          <w:color w:val="000000"/>
          <w:spacing w:val="17"/>
          <w:highlight w:val="none"/>
        </w:rPr>
        <w:t>具体评价指标体系详情见附件1</w:t>
      </w:r>
    </w:p>
    <w:p>
      <w:pPr>
        <w:pStyle w:val="6"/>
        <w:rPr>
          <w:rFonts w:hint="eastAsia"/>
          <w:sz w:val="32"/>
          <w:szCs w:val="32"/>
          <w:highlight w:val="none"/>
        </w:rPr>
      </w:pPr>
      <w:r>
        <w:rPr>
          <w:rFonts w:hint="eastAsia"/>
          <w:sz w:val="32"/>
          <w:szCs w:val="32"/>
          <w:highlight w:val="none"/>
        </w:rPr>
        <w:t>3、评价方法</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highlight w:val="none"/>
          <w:lang w:eastAsia="zh-CN"/>
        </w:rPr>
      </w:pPr>
      <w:r>
        <w:rPr>
          <w:rFonts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highlight w:val="none"/>
          <w14:textFill>
            <w14:solidFill>
              <w14:schemeClr w14:val="tx1"/>
            </w14:solidFill>
          </w14:textFill>
        </w:rPr>
      </w:pPr>
      <w:r>
        <w:rPr>
          <w:rFonts w:eastAsia="仿宋_GB2312"/>
          <w:color w:val="000000" w:themeColor="text1"/>
          <w:spacing w:val="17"/>
          <w:sz w:val="32"/>
          <w:szCs w:val="32"/>
          <w:highlight w:val="none"/>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highlight w:val="none"/>
          <w14:textFill>
            <w14:solidFill>
              <w14:schemeClr w14:val="tx1"/>
            </w14:solidFill>
          </w14:textFill>
        </w:rPr>
      </w:pPr>
      <w:r>
        <w:rPr>
          <w:rFonts w:eastAsia="仿宋_GB2312"/>
          <w:color w:val="000000" w:themeColor="text1"/>
          <w:spacing w:val="17"/>
          <w:sz w:val="32"/>
          <w:szCs w:val="32"/>
          <w:highlight w:val="none"/>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highlight w:val="none"/>
          <w14:textFill>
            <w14:solidFill>
              <w14:schemeClr w14:val="tx1"/>
            </w14:solidFill>
          </w14:textFill>
        </w:rPr>
        <w:t>项目</w:t>
      </w:r>
      <w:r>
        <w:rPr>
          <w:rFonts w:eastAsia="仿宋_GB2312"/>
          <w:color w:val="000000" w:themeColor="text1"/>
          <w:spacing w:val="17"/>
          <w:sz w:val="32"/>
          <w:szCs w:val="32"/>
          <w:highlight w:val="none"/>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highlight w:val="none"/>
          <w14:textFill>
            <w14:solidFill>
              <w14:schemeClr w14:val="tx1"/>
            </w14:solidFill>
          </w14:textFill>
        </w:rPr>
      </w:pPr>
      <w:r>
        <w:rPr>
          <w:rFonts w:eastAsia="仿宋_GB2312"/>
          <w:color w:val="000000" w:themeColor="text1"/>
          <w:spacing w:val="17"/>
          <w:sz w:val="32"/>
          <w:szCs w:val="32"/>
          <w:highlight w:val="none"/>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highlight w:val="none"/>
          <w:lang w:eastAsia="zh-CN"/>
          <w14:textFill>
            <w14:solidFill>
              <w14:schemeClr w14:val="tx1"/>
            </w14:solidFill>
          </w14:textFill>
        </w:rPr>
      </w:pPr>
      <w:r>
        <w:rPr>
          <w:rFonts w:eastAsia="仿宋_GB2312"/>
          <w:color w:val="000000" w:themeColor="text1"/>
          <w:spacing w:val="17"/>
          <w:sz w:val="32"/>
          <w:szCs w:val="32"/>
          <w:highlight w:val="none"/>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highlight w:val="none"/>
          <w14:textFill>
            <w14:solidFill>
              <w14:schemeClr w14:val="tx1"/>
            </w14:solidFill>
          </w14:textFill>
        </w:rPr>
        <w:t>项目</w:t>
      </w:r>
      <w:r>
        <w:rPr>
          <w:rFonts w:eastAsia="仿宋_GB2312"/>
          <w:color w:val="000000" w:themeColor="text1"/>
          <w:spacing w:val="17"/>
          <w:sz w:val="32"/>
          <w:szCs w:val="32"/>
          <w:highlight w:val="none"/>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highlight w:val="none"/>
        </w:rPr>
      </w:pPr>
      <w:r>
        <w:rPr>
          <w:rFonts w:hint="eastAsia"/>
          <w:highlight w:val="none"/>
          <w:lang w:eastAsia="zh-CN"/>
        </w:rPr>
        <w:t>　　</w:t>
      </w:r>
      <w:r>
        <w:rPr>
          <w:rFonts w:hint="eastAsia"/>
          <w:sz w:val="32"/>
          <w:szCs w:val="32"/>
          <w:highlight w:val="none"/>
        </w:rPr>
        <w:t>4</w:t>
      </w:r>
      <w:r>
        <w:rPr>
          <w:rFonts w:hint="eastAsia"/>
          <w:sz w:val="32"/>
          <w:szCs w:val="32"/>
          <w:highlight w:val="none"/>
          <w:lang w:val="en-US" w:eastAsia="zh-CN"/>
        </w:rPr>
        <w:t>.</w:t>
      </w:r>
      <w:r>
        <w:rPr>
          <w:rFonts w:hint="eastAsia"/>
          <w:sz w:val="32"/>
          <w:szCs w:val="32"/>
          <w:highlight w:val="none"/>
        </w:rPr>
        <w:t>评价标准</w:t>
      </w:r>
    </w:p>
    <w:p>
      <w:pPr>
        <w:spacing w:line="560" w:lineRule="exact"/>
        <w:ind w:firstLine="640"/>
        <w:rPr>
          <w:rFonts w:hint="eastAsia"/>
          <w:bCs/>
          <w:color w:val="000000" w:themeColor="text1"/>
          <w:sz w:val="32"/>
          <w:szCs w:val="32"/>
          <w:highlight w:val="none"/>
          <w14:textFill>
            <w14:solidFill>
              <w14:schemeClr w14:val="tx1"/>
            </w14:solidFill>
          </w14:textFill>
        </w:rPr>
      </w:pPr>
      <w:r>
        <w:rPr>
          <w:rFonts w:hint="eastAsia"/>
          <w:bCs/>
          <w:color w:val="000000" w:themeColor="text1"/>
          <w:sz w:val="32"/>
          <w:szCs w:val="32"/>
          <w:highlight w:val="none"/>
          <w14:textFill>
            <w14:solidFill>
              <w14:schemeClr w14:val="tx1"/>
            </w14:solidFill>
          </w14:textFill>
        </w:rPr>
        <w:t>绩效评价标准通常包括计划标准、行业标准、历史标准等，用于对绩效指标完成情况进行比较、分析、评价。本次评价主要采用了历史标准。</w:t>
      </w:r>
    </w:p>
    <w:p>
      <w:pPr>
        <w:spacing w:line="560" w:lineRule="exact"/>
        <w:ind w:firstLine="640"/>
        <w:rPr>
          <w:rFonts w:hint="eastAsia"/>
          <w:bCs/>
          <w:color w:val="000000" w:themeColor="text1"/>
          <w:sz w:val="32"/>
          <w:szCs w:val="32"/>
          <w:highlight w:val="none"/>
          <w14:textFill>
            <w14:solidFill>
              <w14:schemeClr w14:val="tx1"/>
            </w14:solidFill>
          </w14:textFill>
        </w:rPr>
      </w:pPr>
      <w:r>
        <w:rPr>
          <w:rFonts w:hint="eastAsia"/>
          <w:bCs/>
          <w:color w:val="000000" w:themeColor="text1"/>
          <w:sz w:val="32"/>
          <w:szCs w:val="32"/>
          <w:highlight w:val="none"/>
          <w14:textFill>
            <w14:solidFill>
              <w14:schemeClr w14:val="tx1"/>
            </w14:solidFill>
          </w14:textFill>
        </w:rPr>
        <w:t>历史标准。指参照历史数据制定的评价标准，为体现绩效改进的原则，在可实现的条件下应当确定相对较高的评价标准。</w:t>
      </w:r>
      <w:bookmarkStart w:id="6" w:name="_Toc68703833"/>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highlight w:val="none"/>
          <w:lang w:val="en-US" w:eastAsia="zh-CN" w:bidi="ar-SA"/>
        </w:rPr>
      </w:pPr>
      <w:r>
        <w:rPr>
          <w:rFonts w:hint="eastAsia" w:ascii="Times New Roman" w:hAnsi="Times New Roman" w:eastAsia="楷体_GB2312" w:cs="Times New Roman"/>
          <w:b/>
          <w:bCs/>
          <w:kern w:val="2"/>
          <w:sz w:val="32"/>
          <w:szCs w:val="32"/>
          <w:highlight w:val="none"/>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highlight w:val="none"/>
        </w:rPr>
      </w:pPr>
      <w:r>
        <w:rPr>
          <w:rFonts w:hint="eastAsia"/>
          <w:sz w:val="32"/>
          <w:szCs w:val="32"/>
          <w:highlight w:val="none"/>
        </w:rPr>
        <w:t>1</w:t>
      </w:r>
      <w:r>
        <w:rPr>
          <w:rFonts w:hint="eastAsia"/>
          <w:sz w:val="32"/>
          <w:szCs w:val="32"/>
          <w:highlight w:val="none"/>
          <w:lang w:val="en-US" w:eastAsia="zh-CN"/>
        </w:rPr>
        <w:t>.</w:t>
      </w:r>
      <w:r>
        <w:rPr>
          <w:rFonts w:hint="eastAsia"/>
          <w:sz w:val="32"/>
          <w:szCs w:val="32"/>
          <w:highlight w:val="none"/>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highlight w:val="none"/>
        </w:rPr>
      </w:pPr>
      <w:r>
        <w:rPr>
          <w:rFonts w:hint="eastAsia" w:eastAsia="仿宋_GB2312"/>
          <w:bCs/>
          <w:sz w:val="32"/>
          <w:szCs w:val="32"/>
          <w:highlight w:val="none"/>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highlight w:val="none"/>
        </w:rPr>
      </w:pPr>
      <w:r>
        <w:rPr>
          <w:rFonts w:hint="eastAsia"/>
          <w:sz w:val="32"/>
          <w:szCs w:val="32"/>
          <w:highlight w:val="none"/>
        </w:rPr>
        <w:t>2</w:t>
      </w:r>
      <w:r>
        <w:rPr>
          <w:rFonts w:hint="eastAsia"/>
          <w:sz w:val="32"/>
          <w:szCs w:val="32"/>
          <w:highlight w:val="none"/>
          <w:lang w:val="en-US" w:eastAsia="zh-CN"/>
        </w:rPr>
        <w:t>.</w:t>
      </w:r>
      <w:r>
        <w:rPr>
          <w:rFonts w:hint="eastAsia"/>
          <w:sz w:val="32"/>
          <w:szCs w:val="32"/>
          <w:highlight w:val="none"/>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highlight w:val="none"/>
        </w:rPr>
      </w:pPr>
      <w:r>
        <w:rPr>
          <w:rFonts w:hint="eastAsia" w:eastAsia="仿宋_GB2312"/>
          <w:bCs/>
          <w:sz w:val="32"/>
          <w:szCs w:val="32"/>
          <w:highlight w:val="none"/>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highlight w:val="none"/>
        </w:rPr>
      </w:pPr>
      <w:r>
        <w:rPr>
          <w:rFonts w:hint="eastAsia"/>
          <w:sz w:val="32"/>
          <w:szCs w:val="32"/>
          <w:highlight w:val="none"/>
        </w:rPr>
        <w:t>3</w:t>
      </w:r>
      <w:r>
        <w:rPr>
          <w:rFonts w:hint="eastAsia"/>
          <w:sz w:val="32"/>
          <w:szCs w:val="32"/>
          <w:highlight w:val="none"/>
          <w:lang w:val="en-US" w:eastAsia="zh-CN"/>
        </w:rPr>
        <w:t>.</w:t>
      </w:r>
      <w:r>
        <w:rPr>
          <w:rFonts w:hint="eastAsia"/>
          <w:sz w:val="32"/>
          <w:szCs w:val="32"/>
          <w:highlight w:val="none"/>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highlight w:val="none"/>
        </w:rPr>
      </w:pPr>
      <w:bookmarkStart w:id="7" w:name="_Toc68703834"/>
      <w:r>
        <w:rPr>
          <w:rFonts w:hint="eastAsia" w:eastAsia="仿宋_GB2312"/>
          <w:bCs/>
          <w:sz w:val="32"/>
          <w:szCs w:val="32"/>
          <w:highlight w:val="none"/>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highlight w:val="none"/>
          <w:lang w:val="en-US" w:eastAsia="zh-CN"/>
        </w:rPr>
      </w:pPr>
      <w:r>
        <w:rPr>
          <w:rFonts w:hint="eastAsia" w:eastAsia="黑体" w:cs="Times New Roman"/>
          <w:bCs/>
          <w:sz w:val="32"/>
          <w:szCs w:val="32"/>
          <w:highlight w:val="none"/>
          <w:lang w:val="en-US" w:eastAsia="zh-CN"/>
        </w:rPr>
        <w:t>三、</w:t>
      </w:r>
      <w:r>
        <w:rPr>
          <w:rFonts w:hint="eastAsia" w:ascii="Times New Roman" w:hAnsi="Times New Roman" w:eastAsia="黑体" w:cs="Times New Roman"/>
          <w:bCs/>
          <w:sz w:val="32"/>
          <w:szCs w:val="32"/>
          <w:highlight w:val="none"/>
          <w:lang w:val="en-US" w:eastAsia="zh-CN"/>
        </w:rPr>
        <w:t>综合评价情况及评价结论</w:t>
      </w:r>
      <w:bookmarkEnd w:id="7"/>
      <w:r>
        <w:rPr>
          <w:rFonts w:eastAsia="黑体"/>
          <w:sz w:val="32"/>
          <w:szCs w:val="32"/>
          <w:highlight w:val="none"/>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highlight w:val="none"/>
          <w:lang w:val="en-US" w:eastAsia="zh-CN" w:bidi="ar-SA"/>
        </w:rPr>
      </w:pPr>
      <w:bookmarkStart w:id="8" w:name="_Toc68703835"/>
      <w:r>
        <w:rPr>
          <w:rFonts w:hint="eastAsia" w:ascii="Times New Roman" w:hAnsi="Times New Roman" w:eastAsia="楷体_GB2312" w:cs="Times New Roman"/>
          <w:b/>
          <w:bCs/>
          <w:kern w:val="2"/>
          <w:sz w:val="32"/>
          <w:szCs w:val="32"/>
          <w:highlight w:val="none"/>
          <w:lang w:val="en-US" w:eastAsia="zh-CN" w:bidi="ar-SA"/>
        </w:rPr>
        <w:t>（一）综合评价情况</w:t>
      </w:r>
      <w:bookmarkEnd w:id="8"/>
    </w:p>
    <w:p>
      <w:pPr>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highlight w:val="none"/>
        </w:rPr>
      </w:pPr>
      <w:r>
        <w:rPr>
          <w:rFonts w:hint="eastAsia" w:ascii="Times New Roman" w:hAnsi="Times New Roman" w:eastAsia="仿宋_GB2312" w:cs="Times New Roman"/>
          <w:b w:val="0"/>
          <w:bCs w:val="0"/>
          <w:kern w:val="28"/>
          <w:sz w:val="32"/>
          <w:szCs w:val="32"/>
          <w:highlight w:val="none"/>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keepNext/>
        <w:keepLines w:val="0"/>
        <w:pageBreakBefore w:val="0"/>
        <w:widowControl w:val="0"/>
        <w:kinsoku w:val="0"/>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highlight w:val="none"/>
          <w:lang w:val="en-US" w:eastAsia="zh-CN" w:bidi="ar-SA"/>
        </w:rPr>
      </w:pPr>
      <w:bookmarkStart w:id="9" w:name="_Toc68703836"/>
      <w:r>
        <w:rPr>
          <w:rFonts w:hint="eastAsia" w:ascii="Times New Roman" w:hAnsi="Times New Roman" w:eastAsia="楷体_GB2312" w:cs="Times New Roman"/>
          <w:b/>
          <w:bCs/>
          <w:kern w:val="2"/>
          <w:sz w:val="32"/>
          <w:szCs w:val="32"/>
          <w:highlight w:val="none"/>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Times New Roman"/>
          <w:b w:val="0"/>
          <w:bCs w:val="0"/>
          <w:kern w:val="28"/>
          <w:sz w:val="32"/>
          <w:szCs w:val="32"/>
          <w:highlight w:val="none"/>
          <w:lang w:val="en-US" w:eastAsia="zh-CN" w:bidi="ar-SA"/>
        </w:rPr>
      </w:pPr>
      <w:r>
        <w:rPr>
          <w:rFonts w:hint="eastAsia" w:ascii="Times New Roman" w:hAnsi="Times New Roman" w:eastAsia="仿宋_GB2312"/>
          <w:b w:val="0"/>
          <w:bCs w:val="0"/>
          <w:highlight w:val="none"/>
          <w:lang w:eastAsia="zh-CN"/>
        </w:rPr>
        <w:t>　　</w:t>
      </w:r>
      <w:r>
        <w:rPr>
          <w:rFonts w:hint="eastAsia" w:ascii="Times New Roman" w:hAnsi="Times New Roman" w:eastAsia="仿宋_GB2312" w:cs="Times New Roman"/>
          <w:b w:val="0"/>
          <w:bCs w:val="0"/>
          <w:kern w:val="28"/>
          <w:sz w:val="32"/>
          <w:szCs w:val="32"/>
          <w:highlight w:val="none"/>
          <w:lang w:val="en-US" w:eastAsia="zh-CN" w:bidi="ar-SA"/>
        </w:rPr>
        <w:t>运用绩效评价组制定的评价指标体系以及财政部《项目支出绩效评价管理办法》（财预〔2020〕10号）文件的评分标准，通过数据采集、问卷调查及访谈等方式，对本项目进行客观评价，最终评分结果：总得分为99.5分，属于“优”。其中，项目决策类指标权重为20分，得分为 20分，得分率为100%。项目过程类指标权重为20分，得分为19.5分，得分率为 100%。项目产出类指标权重为40分，得分为40分，得分率为100%。项目效益类指标权重为20分，得分为20分，得分率为100%。具体打分情况详见：附件1综合评分表。</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highlight w:val="none"/>
          <w:lang w:val="en-US" w:eastAsia="zh-CN" w:bidi="ar-SA"/>
        </w:rPr>
      </w:pPr>
      <w:r>
        <w:rPr>
          <w:rFonts w:hint="eastAsia"/>
          <w:sz w:val="30"/>
          <w:szCs w:val="30"/>
          <w:highlight w:val="none"/>
          <w:lang w:eastAsia="zh-CN"/>
        </w:rPr>
        <w:t>　　　　　　　　</w:t>
      </w:r>
      <w:r>
        <w:rPr>
          <w:rFonts w:hint="eastAsia" w:ascii="Times New Roman" w:hAnsi="Times New Roman" w:eastAsia="仿宋_GB2312" w:cs="Times New Roman"/>
          <w:b w:val="0"/>
          <w:bCs w:val="0"/>
          <w:kern w:val="28"/>
          <w:sz w:val="32"/>
          <w:szCs w:val="32"/>
          <w:highlight w:val="none"/>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highlight w:val="none"/>
              </w:rPr>
            </w:pPr>
            <w:r>
              <w:rPr>
                <w:rFonts w:hint="eastAsia"/>
                <w:b/>
                <w:bCs/>
                <w:color w:val="000000"/>
                <w:sz w:val="2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highlight w:val="none"/>
              </w:rPr>
            </w:pPr>
            <w:r>
              <w:rPr>
                <w:rFonts w:hint="eastAsia"/>
                <w:b/>
                <w:bCs/>
                <w:color w:val="000000"/>
                <w:sz w:val="2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highlight w:val="none"/>
              </w:rPr>
            </w:pPr>
            <w:r>
              <w:rPr>
                <w:rFonts w:hint="eastAsia"/>
                <w:b/>
                <w:bCs/>
                <w:color w:val="000000"/>
                <w:sz w:val="22"/>
                <w:highlight w:val="none"/>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highlight w:val="none"/>
              </w:rPr>
            </w:pPr>
            <w:r>
              <w:rPr>
                <w:rFonts w:hint="eastAsia" w:eastAsia="宋体"/>
                <w:color w:val="000000"/>
                <w:sz w:val="2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highlight w:val="none"/>
              </w:rPr>
            </w:pPr>
            <w:r>
              <w:rPr>
                <w:rFonts w:hint="eastAsia" w:eastAsia="宋体"/>
                <w:color w:val="000000"/>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19.5</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highlight w:val="none"/>
              </w:rPr>
            </w:pPr>
            <w:r>
              <w:rPr>
                <w:rFonts w:hint="eastAsia" w:eastAsia="宋体"/>
                <w:color w:val="000000"/>
                <w:sz w:val="2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highlight w:val="none"/>
              </w:rPr>
            </w:pPr>
            <w:r>
              <w:rPr>
                <w:rFonts w:hint="eastAsia" w:eastAsia="宋体"/>
                <w:color w:val="000000"/>
                <w:sz w:val="2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highlight w:val="none"/>
              </w:rPr>
            </w:pPr>
            <w:r>
              <w:rPr>
                <w:rFonts w:hint="eastAsia" w:cs="宋体"/>
                <w:b/>
                <w:bCs/>
                <w:color w:val="000000"/>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highlight w:val="none"/>
                <w:lang w:val="en-US" w:eastAsia="zh-CN"/>
              </w:rPr>
            </w:pPr>
            <w:r>
              <w:rPr>
                <w:rFonts w:hint="eastAsia"/>
                <w:b/>
                <w:bCs/>
                <w:color w:val="000000"/>
                <w:sz w:val="2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highlight w:val="none"/>
                <w:lang w:val="en-US" w:eastAsia="zh-CN"/>
              </w:rPr>
            </w:pPr>
            <w:r>
              <w:rPr>
                <w:rFonts w:hint="eastAsia"/>
                <w:b/>
                <w:bCs/>
                <w:color w:val="000000"/>
                <w:sz w:val="22"/>
                <w:highlight w:val="none"/>
                <w:lang w:val="en-US" w:eastAsia="zh-CN"/>
              </w:rPr>
              <w:t>99.5</w:t>
            </w:r>
          </w:p>
        </w:tc>
      </w:tr>
    </w:tbl>
    <w:p>
      <w:pPr>
        <w:spacing w:line="560" w:lineRule="exact"/>
        <w:rPr>
          <w:rFonts w:hint="eastAsia" w:ascii="Times New Roman" w:hAnsi="Times New Roman" w:eastAsia="黑体" w:cs="Times New Roman"/>
          <w:bCs/>
          <w:sz w:val="32"/>
          <w:szCs w:val="32"/>
          <w:highlight w:val="none"/>
          <w:lang w:val="en-US" w:eastAsia="zh-CN"/>
        </w:rPr>
      </w:pPr>
      <w:bookmarkStart w:id="10" w:name="_Toc68703837"/>
      <w:r>
        <w:rPr>
          <w:rFonts w:hint="eastAsia" w:ascii="Times New Roman" w:hAnsi="Times New Roman" w:eastAsia="黑体" w:cs="Times New Roman"/>
          <w:bCs/>
          <w:sz w:val="32"/>
          <w:szCs w:val="32"/>
          <w:highlight w:val="none"/>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highlight w:val="none"/>
          <w:lang w:val="en-US" w:eastAsia="zh-CN" w:bidi="ar-SA"/>
        </w:rPr>
      </w:pPr>
      <w:bookmarkStart w:id="11" w:name="_Toc68703838"/>
      <w:r>
        <w:rPr>
          <w:rFonts w:hint="eastAsia" w:ascii="Times New Roman" w:hAnsi="Times New Roman" w:eastAsia="楷体_GB2312" w:cs="Times New Roman"/>
          <w:b/>
          <w:bCs/>
          <w:kern w:val="2"/>
          <w:sz w:val="32"/>
          <w:szCs w:val="32"/>
          <w:highlight w:val="none"/>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highlight w:val="none"/>
          <w:lang w:val="en-US" w:eastAsia="zh-CN"/>
        </w:rPr>
      </w:pPr>
      <w:r>
        <w:rPr>
          <w:rFonts w:hint="eastAsia"/>
          <w:b w:val="0"/>
          <w:bCs w:val="0"/>
          <w:sz w:val="32"/>
          <w:szCs w:val="32"/>
          <w:highlight w:val="none"/>
          <w:lang w:val="en-US" w:eastAsia="zh-CN"/>
        </w:rPr>
        <w:t>　　项目决策类指标包括项目立项、绩效目标和资金投入三方面的内容，由6个三级指标构成，权重分值为20分，实际得分20分，得分率为100%。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cs="仿宋_GB2312"/>
          <w:b/>
          <w:bCs/>
          <w:sz w:val="32"/>
          <w:szCs w:val="32"/>
          <w:highlight w:val="none"/>
          <w:lang w:val="en-US" w:eastAsia="zh-CN"/>
        </w:rPr>
        <w:t>1.</w:t>
      </w:r>
      <w:r>
        <w:rPr>
          <w:rFonts w:hint="eastAsia" w:ascii="仿宋_GB2312" w:hAnsi="仿宋_GB2312" w:eastAsia="仿宋_GB2312" w:cs="仿宋_GB2312"/>
          <w:b/>
          <w:bCs/>
          <w:sz w:val="32"/>
          <w:szCs w:val="32"/>
          <w:highlight w:val="none"/>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（1）立项依据充分性</w:t>
      </w:r>
    </w:p>
    <w:p>
      <w:pPr>
        <w:shd w:val="clear"/>
        <w:spacing w:line="600" w:lineRule="exact"/>
        <w:ind w:firstLine="640" w:firstLineChars="200"/>
        <w:outlineLvl w:val="0"/>
        <w:rPr>
          <w:color w:val="FF0000"/>
          <w:sz w:val="32"/>
          <w:szCs w:val="32"/>
          <w:highlight w:val="none"/>
        </w:rPr>
      </w:pPr>
      <w:r>
        <w:rPr>
          <w:rFonts w:hint="eastAsia" w:ascii="仿宋_GB2312" w:hAnsi="仿宋_GB2312" w:eastAsia="仿宋_GB2312" w:cs="仿宋_GB2312"/>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highlight w:val="none"/>
        </w:rPr>
      </w:pPr>
      <w:r>
        <w:rPr>
          <w:rFonts w:hint="eastAsia"/>
          <w:b w:val="0"/>
          <w:bCs w:val="0"/>
          <w:sz w:val="32"/>
          <w:szCs w:val="32"/>
          <w:highlight w:val="none"/>
        </w:rPr>
        <w:t>2</w:t>
      </w:r>
      <w:r>
        <w:rPr>
          <w:rFonts w:hint="eastAsia"/>
          <w:b w:val="0"/>
          <w:bCs w:val="0"/>
          <w:sz w:val="32"/>
          <w:szCs w:val="32"/>
          <w:highlight w:val="none"/>
          <w:lang w:val="en-US" w:eastAsia="zh-CN"/>
        </w:rPr>
        <w:t>.</w:t>
      </w:r>
      <w:r>
        <w:rPr>
          <w:rFonts w:hint="eastAsia"/>
          <w:b w:val="0"/>
          <w:bCs w:val="0"/>
          <w:sz w:val="32"/>
          <w:szCs w:val="32"/>
          <w:highlight w:val="none"/>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项目申请、设立过程符合相关要求，</w:t>
      </w:r>
      <w:r>
        <w:rPr>
          <w:rFonts w:hint="eastAsia" w:ascii="仿宋_GB2312" w:hAnsi="仿宋_GB2312" w:eastAsia="仿宋_GB2312" w:cs="仿宋_GB2312"/>
          <w:sz w:val="32"/>
          <w:szCs w:val="32"/>
          <w:highlight w:val="none"/>
          <w:lang w:eastAsia="zh-Hans"/>
        </w:rPr>
        <w:t>严格按照审批流程准备符合要求的文件、材料；</w:t>
      </w:r>
      <w:r>
        <w:rPr>
          <w:rFonts w:hint="eastAsia" w:ascii="仿宋_GB2312" w:hAnsi="仿宋_GB2312" w:eastAsia="仿宋_GB2312" w:cs="仿宋_GB2312"/>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highlight w:val="none"/>
        </w:rPr>
      </w:pPr>
      <w:r>
        <w:rPr>
          <w:rFonts w:hint="eastAsia" w:ascii="仿宋_GB2312" w:hAnsi="仿宋_GB2312" w:eastAsia="仿宋_GB2312" w:cs="仿宋_GB2312"/>
          <w:b/>
          <w:bCs/>
          <w:sz w:val="32"/>
          <w:szCs w:val="32"/>
          <w:highlight w:val="none"/>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Hans"/>
        </w:rPr>
        <w:t>年初结合实际工作内容</w:t>
      </w:r>
      <w:r>
        <w:rPr>
          <w:rFonts w:hint="eastAsia" w:ascii="仿宋_GB2312" w:hAnsi="仿宋_GB2312" w:eastAsia="仿宋_GB2312" w:cs="仿宋_GB2312"/>
          <w:sz w:val="32"/>
          <w:szCs w:val="32"/>
          <w:highlight w:val="none"/>
          <w:lang w:val="en-US" w:eastAsia="zh-CN"/>
        </w:rPr>
        <w:t>设定绩效目标</w:t>
      </w:r>
      <w:r>
        <w:rPr>
          <w:rFonts w:hint="eastAsia" w:ascii="仿宋_GB2312" w:hAnsi="仿宋_GB2312" w:eastAsia="仿宋_GB2312" w:cs="仿宋_GB2312"/>
          <w:sz w:val="32"/>
          <w:szCs w:val="32"/>
          <w:highlight w:val="none"/>
          <w:lang w:val="en-US" w:eastAsia="zh-Hans"/>
        </w:rPr>
        <w:t>，绩效目标</w:t>
      </w:r>
      <w:r>
        <w:rPr>
          <w:rFonts w:hint="eastAsia" w:ascii="仿宋_GB2312" w:hAnsi="仿宋_GB2312" w:eastAsia="仿宋_GB2312" w:cs="仿宋_GB2312"/>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bookmarkStart w:id="12" w:name="_Hlk68699917"/>
      <w:r>
        <w:rPr>
          <w:rFonts w:hint="eastAsia" w:ascii="仿宋_GB2312" w:hAnsi="仿宋_GB2312" w:eastAsia="仿宋_GB2312" w:cs="仿宋_GB2312"/>
          <w:sz w:val="32"/>
          <w:szCs w:val="32"/>
          <w:highlight w:val="none"/>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cs="仿宋_GB2312"/>
          <w:b/>
          <w:bCs/>
          <w:sz w:val="32"/>
          <w:szCs w:val="32"/>
          <w:highlight w:val="none"/>
          <w:lang w:val="en-US" w:eastAsia="zh-CN"/>
        </w:rPr>
        <w:t>3.</w:t>
      </w:r>
      <w:r>
        <w:rPr>
          <w:rFonts w:hint="eastAsia" w:ascii="仿宋_GB2312" w:hAnsi="仿宋_GB2312" w:eastAsia="仿宋_GB2312" w:cs="仿宋_GB2312"/>
          <w:b/>
          <w:bCs/>
          <w:sz w:val="32"/>
          <w:szCs w:val="32"/>
          <w:highlight w:val="none"/>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highlight w:val="none"/>
        </w:rPr>
      </w:pPr>
      <w:r>
        <w:rPr>
          <w:rFonts w:hint="eastAsia" w:ascii="楷体" w:hAnsi="楷体" w:eastAsia="楷体" w:cs="楷体"/>
          <w:highlight w:val="none"/>
          <w:lang w:eastAsia="zh-CN"/>
        </w:rPr>
        <w:t>（二）</w:t>
      </w:r>
      <w:r>
        <w:rPr>
          <w:rFonts w:hint="eastAsia" w:ascii="楷体" w:hAnsi="楷体" w:eastAsia="楷体" w:cs="楷体"/>
          <w:highlight w:val="none"/>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项目过程类指标包括资金管理和组织实施两方面的内容，由5个三级指标构成，权重分值为20分，实际得分</w:t>
      </w:r>
      <w:r>
        <w:rPr>
          <w:rFonts w:hint="eastAsia" w:ascii="仿宋_GB2312" w:hAnsi="仿宋_GB2312" w:cs="仿宋_GB2312"/>
          <w:sz w:val="32"/>
          <w:szCs w:val="32"/>
          <w:highlight w:val="none"/>
          <w:lang w:val="en-US" w:eastAsia="zh-CN"/>
        </w:rPr>
        <w:t>19.5</w:t>
      </w:r>
      <w:bookmarkStart w:id="22" w:name="_GoBack"/>
      <w:bookmarkEnd w:id="22"/>
      <w:r>
        <w:rPr>
          <w:rFonts w:hint="eastAsia" w:ascii="仿宋_GB2312" w:hAnsi="仿宋_GB2312" w:eastAsia="仿宋_GB2312" w:cs="仿宋_GB2312"/>
          <w:sz w:val="32"/>
          <w:szCs w:val="32"/>
          <w:highlight w:val="none"/>
          <w:lang w:val="en-US" w:eastAsia="zh-CN"/>
        </w:rPr>
        <w:t>分，得分率为100%。</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本项目总投资10万元，财政资金及时足额到位，到位率100%，预算资金按计划进度执行。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预算编制较为详细，项目资金支出总体能够按照预算执行，预算资金支出10万元，预算执行率为10%。</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keepNext w:val="0"/>
        <w:keepLines w:val="0"/>
        <w:pageBreakBefore w:val="0"/>
        <w:widowControl w:val="0"/>
        <w:numPr>
          <w:numId w:val="0"/>
        </w:numPr>
        <w:kinsoku/>
        <w:wordWrap/>
        <w:overflowPunct/>
        <w:topLinePunct w:val="0"/>
        <w:autoSpaceDE/>
        <w:autoSpaceDN/>
        <w:bidi w:val="0"/>
        <w:adjustRightInd/>
        <w:snapToGrid/>
        <w:textAlignment w:val="auto"/>
        <w:outlineLvl w:val="9"/>
        <w:rPr>
          <w:rFonts w:hint="eastAsia" w:ascii="Times New Roman" w:hAnsi="Times New Roman" w:eastAsia="楷体_GB2312" w:cs="Times New Roman"/>
          <w:b/>
          <w:bCs/>
          <w:kern w:val="2"/>
          <w:sz w:val="32"/>
          <w:szCs w:val="32"/>
          <w:highlight w:val="none"/>
          <w:lang w:val="en-US" w:eastAsia="zh-CN" w:bidi="ar-SA"/>
        </w:rPr>
      </w:pPr>
      <w:bookmarkStart w:id="13" w:name="_Toc68703840"/>
      <w:r>
        <w:rPr>
          <w:rFonts w:hint="eastAsia" w:ascii="Times New Roman" w:hAnsi="Times New Roman" w:eastAsia="楷体_GB2312" w:cs="Times New Roman"/>
          <w:b/>
          <w:bCs/>
          <w:kern w:val="2"/>
          <w:sz w:val="32"/>
          <w:szCs w:val="32"/>
          <w:highlight w:val="none"/>
          <w:lang w:val="en-US" w:eastAsia="zh-CN" w:bidi="ar-SA"/>
        </w:rPr>
        <w:t>（三）项目产出情况</w:t>
      </w:r>
      <w:bookmarkEnd w:id="13"/>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项目产出类指标包括产出数量、产出质量、产出时效、产出成本四方面的内容，由4个三级指标构成，权重分为</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lang w:val="en-US" w:eastAsia="zh-CN"/>
        </w:rPr>
        <w:t>0分，实际得分</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lang w:val="en-US" w:eastAsia="zh-CN"/>
        </w:rPr>
        <w:t>0分，得分率为100%。具体产出指标完成情况如下：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highlight w:val="none"/>
          <w:lang w:eastAsia="zh-CN"/>
        </w:rPr>
      </w:pPr>
      <w:r>
        <w:rPr>
          <w:rFonts w:hint="eastAsia"/>
          <w:color w:val="auto"/>
          <w:sz w:val="32"/>
          <w:szCs w:val="32"/>
          <w:highlight w:val="none"/>
        </w:rPr>
        <w:t>指标1：</w:t>
      </w:r>
      <w:r>
        <w:rPr>
          <w:rFonts w:hint="eastAsia" w:ascii="仿宋_GB2312" w:hAnsi="仿宋_GB2312" w:eastAsia="仿宋_GB2312" w:cs="仿宋_GB2312"/>
          <w:sz w:val="32"/>
          <w:szCs w:val="32"/>
          <w:highlight w:val="none"/>
        </w:rPr>
        <w:t>代储成品小麦粉</w:t>
      </w:r>
      <w:r>
        <w:rPr>
          <w:rFonts w:hint="eastAsia"/>
          <w:color w:val="auto"/>
          <w:sz w:val="32"/>
          <w:szCs w:val="32"/>
          <w:highlight w:val="none"/>
        </w:rPr>
        <w:t>，指标值：</w:t>
      </w:r>
      <w:r>
        <w:rPr>
          <w:rFonts w:hint="eastAsia"/>
          <w:color w:val="auto"/>
          <w:sz w:val="32"/>
          <w:szCs w:val="32"/>
          <w:highlight w:val="none"/>
          <w:lang w:val="en-US" w:eastAsia="zh-CN"/>
        </w:rPr>
        <w:t>≥160吨</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160吨</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highlight w:val="none"/>
          <w:lang w:eastAsia="zh-CN"/>
        </w:rPr>
      </w:pPr>
      <w:r>
        <w:rPr>
          <w:rFonts w:hint="eastAsia"/>
          <w:color w:val="auto"/>
          <w:sz w:val="32"/>
          <w:szCs w:val="32"/>
          <w:highlight w:val="none"/>
        </w:rPr>
        <w:t>指标2</w:t>
      </w:r>
      <w:r>
        <w:rPr>
          <w:rFonts w:hint="eastAsia" w:ascii="仿宋_GB2312" w:hAnsi="仿宋_GB2312" w:eastAsia="仿宋_GB2312" w:cs="仿宋_GB2312"/>
          <w:sz w:val="32"/>
          <w:szCs w:val="32"/>
          <w:highlight w:val="none"/>
        </w:rPr>
        <w:t>：代储大米</w:t>
      </w:r>
      <w:r>
        <w:rPr>
          <w:rFonts w:hint="eastAsia"/>
          <w:color w:val="auto"/>
          <w:sz w:val="32"/>
          <w:szCs w:val="32"/>
          <w:highlight w:val="none"/>
        </w:rPr>
        <w:t>，指标值</w:t>
      </w:r>
      <w:r>
        <w:rPr>
          <w:rFonts w:hint="eastAsia"/>
          <w:color w:val="auto"/>
          <w:sz w:val="32"/>
          <w:szCs w:val="32"/>
          <w:highlight w:val="none"/>
          <w:lang w:eastAsia="zh-CN"/>
        </w:rPr>
        <w:t>：</w:t>
      </w:r>
      <w:r>
        <w:rPr>
          <w:rFonts w:hint="eastAsia"/>
          <w:color w:val="auto"/>
          <w:sz w:val="32"/>
          <w:szCs w:val="32"/>
          <w:highlight w:val="none"/>
          <w:lang w:val="en-US" w:eastAsia="zh-CN"/>
        </w:rPr>
        <w:t>≥70吨</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70吨</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highlight w:val="none"/>
          <w:lang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：代储食用油</w:t>
      </w:r>
      <w:r>
        <w:rPr>
          <w:rFonts w:hint="eastAsia" w:ascii="仿宋_GB2312" w:hAnsi="仿宋_GB2312" w:cs="仿宋_GB2312"/>
          <w:sz w:val="32"/>
          <w:szCs w:val="32"/>
          <w:highlight w:val="none"/>
          <w:lang w:eastAsia="zh-CN"/>
        </w:rPr>
        <w:t>，</w:t>
      </w:r>
      <w:r>
        <w:rPr>
          <w:rFonts w:hint="eastAsia"/>
          <w:color w:val="auto"/>
          <w:sz w:val="32"/>
          <w:szCs w:val="32"/>
          <w:highlight w:val="none"/>
        </w:rPr>
        <w:t>指标值</w:t>
      </w:r>
      <w:r>
        <w:rPr>
          <w:rFonts w:hint="eastAsia"/>
          <w:color w:val="auto"/>
          <w:sz w:val="32"/>
          <w:szCs w:val="32"/>
          <w:highlight w:val="none"/>
          <w:lang w:eastAsia="zh-CN"/>
        </w:rPr>
        <w:t>：</w:t>
      </w:r>
      <w:r>
        <w:rPr>
          <w:rFonts w:hint="eastAsia"/>
          <w:color w:val="auto"/>
          <w:sz w:val="32"/>
          <w:szCs w:val="32"/>
          <w:highlight w:val="none"/>
          <w:lang w:val="en-US" w:eastAsia="zh-CN"/>
        </w:rPr>
        <w:t>≥20吨</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20吨</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highlight w:val="none"/>
          <w:lang w:eastAsia="zh-CN"/>
        </w:rPr>
      </w:pPr>
      <w:r>
        <w:rPr>
          <w:rFonts w:hint="eastAsia"/>
          <w:color w:val="auto"/>
          <w:sz w:val="32"/>
          <w:szCs w:val="32"/>
          <w:highlight w:val="none"/>
        </w:rPr>
        <w:t>指标1</w:t>
      </w:r>
      <w:r>
        <w:rPr>
          <w:rFonts w:hint="eastAsia" w:ascii="仿宋_GB2312" w:hAnsi="仿宋_GB2312" w:eastAsia="仿宋_GB2312" w:cs="仿宋_GB2312"/>
          <w:sz w:val="32"/>
          <w:szCs w:val="32"/>
          <w:highlight w:val="none"/>
        </w:rPr>
        <w:t>：小麦粉达到国家标准</w:t>
      </w:r>
      <w:r>
        <w:rPr>
          <w:rFonts w:hint="eastAsia"/>
          <w:color w:val="auto"/>
          <w:sz w:val="32"/>
          <w:szCs w:val="32"/>
          <w:highlight w:val="none"/>
        </w:rPr>
        <w:t>，指标值：</w:t>
      </w:r>
      <w:r>
        <w:rPr>
          <w:rFonts w:hint="eastAsia"/>
          <w:color w:val="auto"/>
          <w:sz w:val="32"/>
          <w:szCs w:val="32"/>
          <w:highlight w:val="none"/>
          <w:lang w:val="en-US" w:eastAsia="zh-CN"/>
        </w:rPr>
        <w:t>≥1级</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1级</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highlight w:val="none"/>
          <w:lang w:eastAsia="zh-CN"/>
        </w:rPr>
      </w:pPr>
      <w:r>
        <w:rPr>
          <w:rFonts w:hint="eastAsia"/>
          <w:color w:val="auto"/>
          <w:sz w:val="32"/>
          <w:szCs w:val="32"/>
          <w:highlight w:val="none"/>
        </w:rPr>
        <w:t>指标2：</w:t>
      </w:r>
      <w:r>
        <w:rPr>
          <w:rFonts w:hint="eastAsia" w:ascii="仿宋_GB2312" w:hAnsi="仿宋_GB2312" w:eastAsia="仿宋_GB2312" w:cs="仿宋_GB2312"/>
          <w:sz w:val="32"/>
          <w:szCs w:val="32"/>
          <w:highlight w:val="none"/>
        </w:rPr>
        <w:t>大米达到国家标准</w:t>
      </w:r>
      <w:r>
        <w:rPr>
          <w:rFonts w:hint="eastAsia"/>
          <w:color w:val="auto"/>
          <w:sz w:val="32"/>
          <w:szCs w:val="32"/>
          <w:highlight w:val="none"/>
        </w:rPr>
        <w:t>，指标值：</w:t>
      </w:r>
      <w:r>
        <w:rPr>
          <w:rFonts w:hint="eastAsia"/>
          <w:color w:val="auto"/>
          <w:sz w:val="32"/>
          <w:szCs w:val="32"/>
          <w:highlight w:val="none"/>
          <w:lang w:val="en-US" w:eastAsia="zh-CN"/>
        </w:rPr>
        <w:t>≥3级</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3级</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highlight w:val="none"/>
          <w:lang w:eastAsia="zh-CN"/>
        </w:rPr>
      </w:pPr>
      <w:r>
        <w:rPr>
          <w:rFonts w:hint="eastAsia"/>
          <w:color w:val="auto"/>
          <w:sz w:val="32"/>
          <w:szCs w:val="32"/>
          <w:highlight w:val="none"/>
        </w:rPr>
        <w:t>指标</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：食用油达到国家标准</w:t>
      </w:r>
      <w:r>
        <w:rPr>
          <w:rFonts w:hint="eastAsia"/>
          <w:color w:val="auto"/>
          <w:sz w:val="32"/>
          <w:szCs w:val="32"/>
          <w:highlight w:val="none"/>
        </w:rPr>
        <w:t>，指标值：</w:t>
      </w:r>
      <w:r>
        <w:rPr>
          <w:rFonts w:hint="eastAsia"/>
          <w:color w:val="auto"/>
          <w:sz w:val="32"/>
          <w:szCs w:val="32"/>
          <w:highlight w:val="none"/>
          <w:lang w:val="en-US" w:eastAsia="zh-CN"/>
        </w:rPr>
        <w:t>≥4级</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4级</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bookmarkStart w:id="14" w:name="_Toc68703841"/>
      <w:r>
        <w:rPr>
          <w:rFonts w:hint="eastAsia" w:ascii="仿宋_GB2312" w:hAnsi="仿宋_GB2312" w:eastAsia="仿宋_GB2312" w:cs="仿宋_GB2312"/>
          <w:sz w:val="32"/>
          <w:szCs w:val="32"/>
          <w:highlight w:val="none"/>
          <w:lang w:eastAsia="zh-CN"/>
        </w:rPr>
        <w:t>　</w:t>
      </w:r>
      <w:r>
        <w:rPr>
          <w:rFonts w:hint="eastAsia"/>
          <w:color w:val="auto"/>
          <w:sz w:val="32"/>
          <w:szCs w:val="32"/>
          <w:highlight w:val="none"/>
        </w:rPr>
        <w:t>指标1</w:t>
      </w:r>
      <w:r>
        <w:rPr>
          <w:rFonts w:hint="eastAsia" w:ascii="仿宋_GB2312" w:hAnsi="仿宋_GB2312" w:eastAsia="仿宋_GB2312" w:cs="仿宋_GB2312"/>
          <w:sz w:val="32"/>
          <w:szCs w:val="32"/>
          <w:highlight w:val="none"/>
        </w:rPr>
        <w:t>：</w:t>
      </w:r>
      <w:r>
        <w:rPr>
          <w:rFonts w:hint="eastAsia"/>
          <w:color w:val="auto"/>
          <w:sz w:val="32"/>
          <w:szCs w:val="32"/>
          <w:highlight w:val="none"/>
        </w:rPr>
        <w:t>成品粮油储存完成时间，指标值：</w:t>
      </w:r>
      <w:r>
        <w:rPr>
          <w:rFonts w:hint="eastAsia"/>
          <w:color w:val="auto"/>
          <w:sz w:val="32"/>
          <w:szCs w:val="32"/>
          <w:highlight w:val="none"/>
          <w:lang w:val="en-US" w:eastAsia="zh-CN"/>
        </w:rPr>
        <w:t>2023年12月</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2023年12月</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highlight w:val="none"/>
          <w:lang w:eastAsia="zh-CN"/>
        </w:rPr>
      </w:pPr>
      <w:r>
        <w:rPr>
          <w:rFonts w:hint="eastAsia"/>
          <w:color w:val="auto"/>
          <w:sz w:val="32"/>
          <w:szCs w:val="32"/>
          <w:highlight w:val="none"/>
        </w:rPr>
        <w:t>指标1</w:t>
      </w:r>
      <w:r>
        <w:rPr>
          <w:rFonts w:hint="eastAsia" w:ascii="仿宋_GB2312" w:hAnsi="仿宋_GB2312" w:eastAsia="仿宋_GB2312" w:cs="仿宋_GB2312"/>
          <w:sz w:val="32"/>
          <w:szCs w:val="32"/>
          <w:highlight w:val="none"/>
        </w:rPr>
        <w:t>：</w:t>
      </w:r>
      <w:r>
        <w:rPr>
          <w:rFonts w:hint="eastAsia"/>
          <w:color w:val="auto"/>
          <w:sz w:val="32"/>
          <w:szCs w:val="32"/>
          <w:highlight w:val="none"/>
        </w:rPr>
        <w:t>代储面粉成本，指标值：</w:t>
      </w:r>
      <w:r>
        <w:rPr>
          <w:rFonts w:hint="eastAsia"/>
          <w:color w:val="auto"/>
          <w:sz w:val="32"/>
          <w:szCs w:val="32"/>
          <w:highlight w:val="none"/>
          <w:lang w:val="en-US" w:eastAsia="zh-CN"/>
        </w:rPr>
        <w:t>≤6万元</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6万元</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rPr>
        <w:t>指标2：代储大米成本，指标值：</w:t>
      </w:r>
      <w:r>
        <w:rPr>
          <w:rFonts w:hint="eastAsia"/>
          <w:color w:val="auto"/>
          <w:sz w:val="32"/>
          <w:szCs w:val="32"/>
          <w:highlight w:val="none"/>
          <w:lang w:val="en-US" w:eastAsia="zh-CN"/>
        </w:rPr>
        <w:t>≤3万元</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3万元</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highlight w:val="none"/>
          <w:lang w:eastAsia="zh-CN"/>
        </w:rPr>
      </w:pPr>
      <w:r>
        <w:rPr>
          <w:rFonts w:hint="eastAsia"/>
          <w:color w:val="auto"/>
          <w:sz w:val="32"/>
          <w:szCs w:val="32"/>
          <w:highlight w:val="none"/>
        </w:rPr>
        <w:t>指标</w:t>
      </w:r>
      <w:r>
        <w:rPr>
          <w:rFonts w:hint="eastAsia"/>
          <w:color w:val="auto"/>
          <w:sz w:val="32"/>
          <w:szCs w:val="32"/>
          <w:highlight w:val="none"/>
          <w:lang w:val="en-US" w:eastAsia="zh-CN"/>
        </w:rPr>
        <w:t>3</w:t>
      </w:r>
      <w:r>
        <w:rPr>
          <w:rFonts w:hint="eastAsia"/>
          <w:color w:val="auto"/>
          <w:sz w:val="32"/>
          <w:szCs w:val="32"/>
          <w:highlight w:val="none"/>
        </w:rPr>
        <w:t>：代储食用油成本，指标值：</w:t>
      </w:r>
      <w:r>
        <w:rPr>
          <w:rFonts w:hint="eastAsia"/>
          <w:color w:val="auto"/>
          <w:sz w:val="32"/>
          <w:szCs w:val="32"/>
          <w:highlight w:val="none"/>
          <w:lang w:val="en-US" w:eastAsia="zh-CN"/>
        </w:rPr>
        <w:t>≤1万元</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1万元</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highlight w:val="none"/>
          <w:lang w:val="en-US" w:eastAsia="zh-CN" w:bidi="ar-SA"/>
        </w:rPr>
      </w:pPr>
      <w:r>
        <w:rPr>
          <w:rFonts w:hint="eastAsia" w:ascii="Times New Roman" w:hAnsi="Times New Roman" w:eastAsia="楷体_GB2312" w:cs="Times New Roman"/>
          <w:b/>
          <w:bCs/>
          <w:kern w:val="2"/>
          <w:sz w:val="32"/>
          <w:szCs w:val="32"/>
          <w:highlight w:val="none"/>
          <w:lang w:val="en-US" w:eastAsia="zh-CN" w:bidi="ar-SA"/>
        </w:rPr>
        <w:t>（四）项目效益情况</w:t>
      </w:r>
      <w:bookmarkEnd w:id="14"/>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highlight w:val="none"/>
          <w:lang w:val="en-US" w:eastAsia="zh-CN"/>
        </w:rPr>
      </w:pPr>
      <w:r>
        <w:rPr>
          <w:rFonts w:hint="eastAsia" w:ascii="仿宋_GB2312" w:hAnsi="仿宋_GB2312" w:eastAsia="仿宋_GB2312" w:cs="仿宋_GB2312"/>
          <w:sz w:val="32"/>
          <w:szCs w:val="32"/>
          <w:highlight w:val="none"/>
          <w:lang w:val="en-US" w:eastAsia="zh-CN"/>
        </w:rPr>
        <w:t>项目效益类指标包括项目实施效益和满意度两方面的内容，由</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个三级指标构成，权重分为</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分，实际得分20分，得分率为100%。具体效益指标及满意度指标完成情况如下：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经济效益指标：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highlight w:val="none"/>
          <w:lang w:eastAsia="zh-CN"/>
        </w:rPr>
      </w:pPr>
      <w:r>
        <w:rPr>
          <w:rFonts w:hint="eastAsia"/>
          <w:color w:val="auto"/>
          <w:sz w:val="32"/>
          <w:szCs w:val="32"/>
          <w:highlight w:val="none"/>
        </w:rPr>
        <w:t>指标1</w:t>
      </w:r>
      <w:r>
        <w:rPr>
          <w:rFonts w:hint="eastAsia" w:ascii="仿宋_GB2312" w:hAnsi="仿宋_GB2312" w:eastAsia="仿宋_GB2312" w:cs="仿宋_GB2312"/>
          <w:sz w:val="32"/>
          <w:szCs w:val="32"/>
          <w:highlight w:val="none"/>
          <w:lang w:val="en-US" w:eastAsia="zh-CN"/>
        </w:rPr>
        <w:t>：动用期间粮油价格不出现明显涨幅，</w:t>
      </w:r>
      <w:r>
        <w:rPr>
          <w:rFonts w:hint="eastAsia" w:ascii="仿宋_GB2312" w:hAnsi="仿宋_GB2312" w:cs="仿宋_GB2312"/>
          <w:sz w:val="32"/>
          <w:szCs w:val="32"/>
          <w:highlight w:val="none"/>
          <w:lang w:val="en-US" w:eastAsia="zh-CN"/>
        </w:rPr>
        <w:t>保障价格平稳</w:t>
      </w:r>
      <w:r>
        <w:rPr>
          <w:rFonts w:hint="eastAsia"/>
          <w:color w:val="auto"/>
          <w:sz w:val="32"/>
          <w:szCs w:val="32"/>
          <w:highlight w:val="none"/>
        </w:rPr>
        <w:t>指标值：</w:t>
      </w:r>
      <w:r>
        <w:rPr>
          <w:rFonts w:hint="eastAsia"/>
          <w:color w:val="auto"/>
          <w:sz w:val="32"/>
          <w:szCs w:val="32"/>
          <w:highlight w:val="none"/>
          <w:lang w:val="en-US" w:eastAsia="zh-CN"/>
        </w:rPr>
        <w:t>有效保障</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有效保障</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highlight w:val="none"/>
          <w:lang w:eastAsia="zh-CN"/>
        </w:rPr>
      </w:pPr>
      <w:r>
        <w:rPr>
          <w:rFonts w:hint="eastAsia"/>
          <w:color w:val="auto"/>
          <w:sz w:val="32"/>
          <w:szCs w:val="32"/>
          <w:highlight w:val="none"/>
        </w:rPr>
        <w:t>指标1</w:t>
      </w:r>
      <w:r>
        <w:rPr>
          <w:rFonts w:hint="eastAsia" w:ascii="仿宋_GB2312" w:hAnsi="仿宋_GB2312" w:eastAsia="仿宋_GB2312" w:cs="仿宋_GB2312"/>
          <w:sz w:val="32"/>
          <w:szCs w:val="32"/>
          <w:highlight w:val="none"/>
          <w:lang w:val="en-US" w:eastAsia="zh-CN"/>
        </w:rPr>
        <w:t>：</w:t>
      </w:r>
      <w:r>
        <w:rPr>
          <w:rFonts w:hint="eastAsia"/>
          <w:color w:val="auto"/>
          <w:sz w:val="32"/>
          <w:szCs w:val="32"/>
          <w:highlight w:val="none"/>
        </w:rPr>
        <w:t>保障全市遇突发情况时，15天内米</w:t>
      </w:r>
      <w:r>
        <w:rPr>
          <w:rFonts w:hint="eastAsia"/>
          <w:color w:val="auto"/>
          <w:sz w:val="32"/>
          <w:szCs w:val="32"/>
          <w:highlight w:val="none"/>
          <w:lang w:val="en-US" w:eastAsia="zh-CN"/>
        </w:rPr>
        <w:t>面油不断供，粮油价格总体平稳，</w:t>
      </w:r>
      <w:r>
        <w:rPr>
          <w:rFonts w:hint="eastAsia"/>
          <w:color w:val="auto"/>
          <w:sz w:val="32"/>
          <w:szCs w:val="32"/>
          <w:highlight w:val="none"/>
        </w:rPr>
        <w:t>指标值：</w:t>
      </w:r>
      <w:r>
        <w:rPr>
          <w:rFonts w:hint="eastAsia"/>
          <w:color w:val="auto"/>
          <w:sz w:val="32"/>
          <w:szCs w:val="32"/>
          <w:highlight w:val="none"/>
          <w:lang w:val="en-US" w:eastAsia="zh-CN"/>
        </w:rPr>
        <w:t>有效保证</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有效保证</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r>
        <w:rPr>
          <w:rFonts w:hint="eastAsia"/>
          <w:color w:val="auto"/>
          <w:sz w:val="32"/>
          <w:szCs w:val="32"/>
          <w:highlight w:val="none"/>
        </w:rPr>
        <w:t>霍尔果斯市民满意度</w:t>
      </w:r>
      <w:r>
        <w:rPr>
          <w:rFonts w:hint="eastAsia"/>
          <w:color w:val="auto"/>
          <w:sz w:val="32"/>
          <w:szCs w:val="32"/>
          <w:highlight w:val="none"/>
          <w:lang w:val="en-US" w:eastAsia="zh-CN"/>
        </w:rPr>
        <w:t>，</w:t>
      </w:r>
      <w:r>
        <w:rPr>
          <w:rFonts w:hint="eastAsia"/>
          <w:color w:val="auto"/>
          <w:sz w:val="32"/>
          <w:szCs w:val="32"/>
          <w:highlight w:val="none"/>
        </w:rPr>
        <w:t>指标值：</w:t>
      </w:r>
      <w:r>
        <w:rPr>
          <w:rFonts w:hint="eastAsia"/>
          <w:color w:val="auto"/>
          <w:sz w:val="32"/>
          <w:szCs w:val="32"/>
          <w:highlight w:val="none"/>
          <w:lang w:val="en-US" w:eastAsia="zh-CN"/>
        </w:rPr>
        <w:t>≥95%</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95%</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spacing w:line="560" w:lineRule="exact"/>
        <w:rPr>
          <w:rFonts w:hint="eastAsia" w:ascii="Times New Roman" w:hAnsi="Times New Roman" w:eastAsia="黑体" w:cs="Times New Roman"/>
          <w:sz w:val="32"/>
          <w:szCs w:val="32"/>
          <w:highlight w:val="none"/>
          <w:lang w:eastAsia="zh-Hans"/>
        </w:rPr>
      </w:pPr>
      <w:r>
        <w:rPr>
          <w:rFonts w:hint="eastAsia" w:ascii="Times New Roman" w:hAnsi="Times New Roman" w:eastAsia="黑体" w:cs="Times New Roman"/>
          <w:sz w:val="32"/>
          <w:szCs w:val="32"/>
          <w:highlight w:val="none"/>
          <w:lang w:eastAsia="zh-Hans"/>
        </w:rPr>
        <w:t>五、预算执行进度与绩效指标总体完成率偏差</w:t>
      </w:r>
    </w:p>
    <w:p>
      <w:pPr>
        <w:pStyle w:val="20"/>
        <w:spacing w:line="56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应急产品粮油代储费项目年初预算10万元，全年预算10万元，实际支出10万元，预算执行率为100%，项目绩效指标总体完成率为100%，</w:t>
      </w:r>
      <w:r>
        <w:rPr>
          <w:rFonts w:hint="eastAsia" w:ascii="仿宋_GB2312" w:hAnsi="仿宋_GB2312" w:eastAsia="仿宋_GB2312" w:cs="仿宋_GB2312"/>
          <w:kern w:val="2"/>
          <w:sz w:val="32"/>
          <w:szCs w:val="32"/>
          <w:highlight w:val="none"/>
          <w:lang w:val="en-US" w:eastAsia="zh-Hans" w:bidi="ar-SA"/>
        </w:rPr>
        <w:t>总体</w:t>
      </w:r>
      <w:r>
        <w:rPr>
          <w:rFonts w:hint="eastAsia" w:ascii="仿宋_GB2312" w:hAnsi="仿宋_GB2312" w:eastAsia="仿宋_GB2312" w:cs="仿宋_GB2312"/>
          <w:kern w:val="2"/>
          <w:sz w:val="32"/>
          <w:szCs w:val="32"/>
          <w:highlight w:val="none"/>
          <w:lang w:val="en-US" w:eastAsia="zh-CN" w:bidi="ar-SA"/>
        </w:rPr>
        <w:t>偏差率为100%,</w:t>
      </w:r>
      <w:r>
        <w:rPr>
          <w:rFonts w:hint="eastAsia" w:ascii="仿宋_GB2312" w:hAnsi="仿宋_GB2312" w:eastAsia="仿宋_GB2312" w:cs="仿宋_GB2312"/>
          <w:kern w:val="2"/>
          <w:sz w:val="32"/>
          <w:szCs w:val="32"/>
          <w:highlight w:val="none"/>
          <w:lang w:val="en-US" w:eastAsia="zh-Hans" w:bidi="ar-SA"/>
        </w:rPr>
        <w:t>偏差</w:t>
      </w:r>
      <w:r>
        <w:rPr>
          <w:rFonts w:hint="eastAsia" w:ascii="仿宋_GB2312" w:hAnsi="仿宋_GB2312" w:eastAsia="仿宋_GB2312" w:cs="仿宋_GB2312"/>
          <w:kern w:val="2"/>
          <w:sz w:val="32"/>
          <w:szCs w:val="32"/>
          <w:highlight w:val="none"/>
          <w:lang w:val="en-US" w:eastAsia="zh-CN" w:bidi="ar-SA"/>
        </w:rPr>
        <w:t>原因无，</w:t>
      </w:r>
      <w:r>
        <w:rPr>
          <w:rFonts w:hint="eastAsia" w:ascii="仿宋_GB2312" w:hAnsi="仿宋_GB2312" w:eastAsia="仿宋_GB2312" w:cs="仿宋_GB2312"/>
          <w:kern w:val="2"/>
          <w:sz w:val="32"/>
          <w:szCs w:val="32"/>
          <w:highlight w:val="none"/>
          <w:lang w:val="en-US" w:eastAsia="zh-Hans" w:bidi="ar-SA"/>
        </w:rPr>
        <w:t>改进</w:t>
      </w:r>
      <w:r>
        <w:rPr>
          <w:rFonts w:hint="eastAsia" w:ascii="仿宋_GB2312" w:hAnsi="仿宋_GB2312" w:eastAsia="仿宋_GB2312" w:cs="仿宋_GB2312"/>
          <w:kern w:val="2"/>
          <w:sz w:val="32"/>
          <w:szCs w:val="32"/>
          <w:highlight w:val="none"/>
          <w:lang w:val="en-US" w:eastAsia="zh-CN" w:bidi="ar-SA"/>
        </w:rPr>
        <w:t>措施无。</w:t>
      </w:r>
    </w:p>
    <w:p>
      <w:pPr>
        <w:spacing w:line="560" w:lineRule="exact"/>
        <w:rPr>
          <w:rFonts w:hint="eastAsia" w:ascii="Times New Roman" w:hAnsi="Times New Roman" w:eastAsia="黑体" w:cs="Times New Roman"/>
          <w:bCs/>
          <w:sz w:val="32"/>
          <w:szCs w:val="32"/>
          <w:highlight w:val="none"/>
          <w:lang w:val="en-US" w:eastAsia="zh-CN"/>
        </w:rPr>
      </w:pPr>
      <w:bookmarkStart w:id="15" w:name="_Toc68703842"/>
      <w:r>
        <w:rPr>
          <w:rFonts w:hint="eastAsia" w:eastAsia="黑体" w:cs="Times New Roman"/>
          <w:bCs/>
          <w:sz w:val="32"/>
          <w:szCs w:val="32"/>
          <w:highlight w:val="none"/>
          <w:lang w:val="en-US" w:eastAsia="zh-CN"/>
        </w:rPr>
        <w:t>六</w:t>
      </w:r>
      <w:r>
        <w:rPr>
          <w:rFonts w:hint="eastAsia" w:ascii="Times New Roman" w:hAnsi="Times New Roman" w:eastAsia="黑体" w:cs="Times New Roman"/>
          <w:bCs/>
          <w:sz w:val="32"/>
          <w:szCs w:val="32"/>
          <w:highlight w:val="none"/>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highlight w:val="none"/>
          <w:lang w:val="en-US" w:eastAsia="zh-CN" w:bidi="ar-SA"/>
        </w:rPr>
      </w:pPr>
      <w:bookmarkStart w:id="16" w:name="_Toc68703843"/>
      <w:r>
        <w:rPr>
          <w:rFonts w:hint="eastAsia" w:ascii="Times New Roman" w:hAnsi="Times New Roman" w:eastAsia="楷体_GB2312" w:cs="Times New Roman"/>
          <w:b/>
          <w:bCs/>
          <w:kern w:val="2"/>
          <w:sz w:val="32"/>
          <w:szCs w:val="32"/>
          <w:highlight w:val="none"/>
          <w:lang w:val="en-US" w:eastAsia="zh-CN" w:bidi="ar-SA"/>
        </w:rPr>
        <w:t>（一）主要经验及做法</w:t>
      </w:r>
      <w:bookmarkEnd w:id="16"/>
    </w:p>
    <w:p>
      <w:pPr>
        <w:spacing w:line="560" w:lineRule="exact"/>
        <w:ind w:firstLine="640" w:firstLineChars="200"/>
        <w:rPr>
          <w:rFonts w:eastAsia="仿宋_GB2312"/>
          <w:sz w:val="32"/>
          <w:szCs w:val="32"/>
          <w:highlight w:val="none"/>
        </w:rPr>
      </w:pPr>
      <w:r>
        <w:rPr>
          <w:rFonts w:hint="eastAsia" w:eastAsia="仿宋_GB2312"/>
          <w:sz w:val="32"/>
          <w:szCs w:val="32"/>
          <w:highlight w:val="none"/>
        </w:rPr>
        <w:t>在霍尔果斯市突发自然灾害等情况下保障我市所有居民15日口粮供应</w:t>
      </w:r>
      <w:r>
        <w:rPr>
          <w:rFonts w:hint="eastAsia" w:eastAsia="仿宋_GB2312"/>
          <w:sz w:val="32"/>
          <w:szCs w:val="32"/>
          <w:highlight w:val="none"/>
          <w:lang w:eastAsia="zh-CN"/>
        </w:rPr>
        <w:t>。</w:t>
      </w:r>
      <w:r>
        <w:rPr>
          <w:rFonts w:eastAsia="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rPr>
          <w:highlight w:val="none"/>
        </w:rPr>
      </w:pPr>
      <w:r>
        <w:rPr>
          <w:rFonts w:ascii="Times New Roman" w:hAnsi="Times New Roman" w:eastAsia="仿宋_GB2312"/>
          <w:b w:val="0"/>
          <w:bCs w:val="0"/>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highlight w:val="none"/>
          <w:lang w:val="en-US" w:eastAsia="zh-CN" w:bidi="ar-SA"/>
        </w:rPr>
      </w:pPr>
      <w:bookmarkStart w:id="17" w:name="_Toc68703844"/>
      <w:r>
        <w:rPr>
          <w:rFonts w:hint="eastAsia" w:ascii="Times New Roman" w:hAnsi="Times New Roman" w:eastAsia="楷体_GB2312" w:cs="Times New Roman"/>
          <w:b/>
          <w:bCs/>
          <w:kern w:val="2"/>
          <w:sz w:val="32"/>
          <w:szCs w:val="32"/>
          <w:highlight w:val="none"/>
          <w:lang w:val="en-US" w:eastAsia="zh-CN" w:bidi="ar-SA"/>
        </w:rPr>
        <w:t>（二）存在的问题及原因分析</w:t>
      </w:r>
      <w:bookmarkEnd w:id="17"/>
      <w:r>
        <w:rPr>
          <w:rFonts w:hint="eastAsia" w:ascii="Times New Roman" w:hAnsi="Times New Roman" w:eastAsia="楷体_GB2312" w:cs="Times New Roman"/>
          <w:b/>
          <w:bCs/>
          <w:kern w:val="2"/>
          <w:sz w:val="32"/>
          <w:szCs w:val="32"/>
          <w:highlight w:val="none"/>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工作人员绩效观念模糊，绩效评价工作有待进一步提高。</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lang w:val="en-US" w:eastAsia="zh-CN"/>
        </w:rPr>
        <w:t>财政支出绩效管理工作还有待一步提高</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color w:val="FF0000"/>
          <w:kern w:val="2"/>
          <w:sz w:val="32"/>
          <w:szCs w:val="32"/>
          <w:highlight w:val="none"/>
          <w:lang w:val="en-US" w:eastAsia="zh-CN" w:bidi="ar-SA"/>
        </w:rPr>
      </w:pPr>
      <w:bookmarkStart w:id="18" w:name="_Toc68703845"/>
      <w:r>
        <w:rPr>
          <w:rFonts w:hint="eastAsia" w:eastAsia="黑体" w:cs="Times New Roman"/>
          <w:b w:val="0"/>
          <w:bCs/>
          <w:kern w:val="2"/>
          <w:sz w:val="32"/>
          <w:szCs w:val="32"/>
          <w:highlight w:val="none"/>
          <w:lang w:val="en-US" w:eastAsia="zh-CN" w:bidi="ar-SA"/>
        </w:rPr>
        <w:t>七</w:t>
      </w:r>
      <w:r>
        <w:rPr>
          <w:rFonts w:hint="eastAsia" w:ascii="Times New Roman" w:hAnsi="Times New Roman" w:eastAsia="黑体" w:cs="Times New Roman"/>
          <w:b w:val="0"/>
          <w:bCs/>
          <w:kern w:val="2"/>
          <w:sz w:val="32"/>
          <w:szCs w:val="32"/>
          <w:highlight w:val="none"/>
          <w:lang w:val="en-US" w:eastAsia="zh-CN" w:bidi="ar-SA"/>
        </w:rPr>
        <w:t>、有关建议</w:t>
      </w:r>
      <w:bookmarkEnd w:id="18"/>
      <w:r>
        <w:rPr>
          <w:rFonts w:hint="eastAsia" w:ascii="Times New Roman" w:hAnsi="Times New Roman" w:eastAsia="黑体" w:cs="Times New Roman"/>
          <w:b w:val="0"/>
          <w:bCs/>
          <w:kern w:val="2"/>
          <w:sz w:val="32"/>
          <w:szCs w:val="32"/>
          <w:highlight w:val="none"/>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highlight w:val="none"/>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highlight w:val="none"/>
        </w:rPr>
        <w:t>。</w:t>
      </w:r>
    </w:p>
    <w:p>
      <w:pPr>
        <w:shd w:val="clear"/>
        <w:spacing w:line="600" w:lineRule="exact"/>
        <w:ind w:firstLine="640" w:firstLineChars="200"/>
        <w:outlineLvl w:val="0"/>
        <w:rPr>
          <w:highlight w:val="none"/>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Style w:val="3"/>
        <w:pageBreakBefore w:val="0"/>
        <w:widowControl w:val="0"/>
        <w:kinsoku/>
        <w:wordWrap/>
        <w:overflowPunct/>
        <w:topLinePunct w:val="0"/>
        <w:autoSpaceDE/>
        <w:autoSpaceDN/>
        <w:bidi w:val="0"/>
        <w:adjustRightInd/>
        <w:snapToGrid/>
        <w:spacing w:line="560" w:lineRule="exact"/>
        <w:textAlignment w:val="auto"/>
        <w:rPr>
          <w:rFonts w:ascii="宋体" w:hAnsi="宋体" w:eastAsia="宋体"/>
          <w:sz w:val="32"/>
          <w:szCs w:val="32"/>
          <w:highlight w:val="none"/>
        </w:rPr>
      </w:pPr>
      <w:bookmarkStart w:id="19" w:name="_Toc68703846"/>
      <w:r>
        <w:rPr>
          <w:rFonts w:hint="eastAsia" w:ascii="宋体" w:hAnsi="宋体" w:eastAsia="宋体"/>
          <w:sz w:val="32"/>
          <w:szCs w:val="32"/>
          <w:highlight w:val="none"/>
          <w:lang w:eastAsia="zh-CN"/>
        </w:rPr>
        <w:t>八</w:t>
      </w:r>
      <w:r>
        <w:rPr>
          <w:rFonts w:hint="eastAsia" w:ascii="宋体" w:hAnsi="宋体" w:eastAsia="宋体"/>
          <w:sz w:val="32"/>
          <w:szCs w:val="32"/>
          <w:highlight w:val="none"/>
        </w:rPr>
        <w:t>、其他需要说明的问题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color w:val="FF0000"/>
          <w:sz w:val="32"/>
          <w:szCs w:val="32"/>
          <w:highlight w:val="none"/>
        </w:rPr>
      </w:pPr>
      <w:r>
        <w:rPr>
          <w:rFonts w:hint="eastAsia" w:ascii="仿宋_GB2312" w:hAnsi="仿宋_GB2312" w:cs="仿宋_GB2312"/>
          <w:sz w:val="32"/>
          <w:szCs w:val="32"/>
          <w:highlight w:val="none"/>
          <w:lang w:eastAsia="zh-CN"/>
        </w:rPr>
        <w:t>　</w:t>
      </w:r>
      <w:r>
        <w:rPr>
          <w:rFonts w:hint="eastAsia" w:ascii="仿宋_GB2312" w:hAnsi="仿宋_GB2312" w:eastAsia="仿宋_GB2312" w:cs="仿宋_GB2312"/>
          <w:sz w:val="32"/>
          <w:szCs w:val="32"/>
          <w:highlight w:val="none"/>
          <w:lang w:eastAsia="zh-Hans"/>
        </w:rPr>
        <w:t>本项目无其他需说明的问题</w:t>
      </w:r>
      <w:r>
        <w:rPr>
          <w:rFonts w:hint="eastAsia" w:ascii="仿宋_GB2312" w:hAnsi="仿宋_GB2312" w:cs="仿宋_GB2312"/>
          <w:sz w:val="32"/>
          <w:szCs w:val="32"/>
          <w:highlight w:val="none"/>
          <w:lang w:eastAsia="zh-CN"/>
        </w:rPr>
        <w:t>。</w:t>
      </w:r>
    </w:p>
    <w:p>
      <w:pPr>
        <w:pStyle w:val="2"/>
        <w:jc w:val="both"/>
        <w:rPr>
          <w:highlight w:val="none"/>
        </w:rPr>
      </w:pPr>
    </w:p>
    <w:tbl>
      <w:tblPr>
        <w:tblStyle w:val="11"/>
        <w:tblW w:w="8834" w:type="dxa"/>
        <w:tblInd w:w="0" w:type="dxa"/>
        <w:tblLayout w:type="fixed"/>
        <w:tblCellMar>
          <w:top w:w="0" w:type="dxa"/>
          <w:left w:w="0" w:type="dxa"/>
          <w:bottom w:w="0" w:type="dxa"/>
          <w:right w:w="0" w:type="dxa"/>
        </w:tblCellMar>
      </w:tblPr>
      <w:tblGrid>
        <w:gridCol w:w="695"/>
        <w:gridCol w:w="695"/>
        <w:gridCol w:w="695"/>
        <w:gridCol w:w="695"/>
        <w:gridCol w:w="646"/>
        <w:gridCol w:w="405"/>
        <w:gridCol w:w="967"/>
        <w:gridCol w:w="859"/>
        <w:gridCol w:w="560"/>
        <w:gridCol w:w="501"/>
        <w:gridCol w:w="570"/>
        <w:gridCol w:w="396"/>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sz w:val="32"/>
                <w:szCs w:val="32"/>
                <w:highlight w:val="none"/>
                <w:u w:val="single"/>
              </w:rPr>
            </w:pPr>
            <w:r>
              <w:rPr>
                <w:rFonts w:hint="eastAsia" w:ascii="宋体" w:hAnsi="宋体" w:eastAsia="宋体" w:cs="宋体"/>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项目名称</w:t>
            </w:r>
          </w:p>
        </w:tc>
        <w:tc>
          <w:tcPr>
            <w:tcW w:w="7444"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应急产品粮油代储费</w:t>
            </w:r>
          </w:p>
        </w:tc>
      </w:tr>
      <w:tr>
        <w:tblPrEx>
          <w:tblLayout w:type="fixed"/>
          <w:tblCellMar>
            <w:top w:w="0" w:type="dxa"/>
            <w:left w:w="0" w:type="dxa"/>
            <w:bottom w:w="0" w:type="dxa"/>
            <w:right w:w="0" w:type="dxa"/>
          </w:tblCellMar>
        </w:tblPrEx>
        <w:trPr>
          <w:trHeight w:val="276" w:hRule="atLeast"/>
        </w:trPr>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主管部门</w:t>
            </w:r>
          </w:p>
        </w:tc>
        <w:tc>
          <w:tcPr>
            <w:tcW w:w="3408"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新疆维吾尔自治区霍尔果斯经济开发区管理委员会发展改革和经济促进局</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u w:val="none"/>
                <w:lang w:val="en-US" w:eastAsia="zh-CN" w:bidi="ar"/>
              </w:rPr>
              <w:t>实施单位</w:t>
            </w:r>
          </w:p>
        </w:tc>
        <w:tc>
          <w:tcPr>
            <w:tcW w:w="261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eastAsia="zh-CN" w:bidi="ar"/>
              </w:rPr>
            </w:pPr>
            <w:r>
              <w:rPr>
                <w:rFonts w:hint="eastAsia" w:ascii="宋体" w:hAnsi="宋体" w:eastAsia="宋体" w:cs="宋体"/>
                <w:i w:val="0"/>
                <w:color w:val="000000"/>
                <w:kern w:val="0"/>
                <w:sz w:val="20"/>
                <w:szCs w:val="20"/>
                <w:u w:val="none"/>
                <w:lang w:val="en-US" w:eastAsia="zh-CN" w:bidi="ar"/>
              </w:rPr>
              <w:t>新疆维吾尔自治区霍尔果斯经济开发区管理委员会发展改革和经济促进局</w:t>
            </w:r>
          </w:p>
        </w:tc>
      </w:tr>
      <w:tr>
        <w:tblPrEx>
          <w:tblLayout w:type="fixed"/>
          <w:tblCellMar>
            <w:top w:w="0" w:type="dxa"/>
            <w:left w:w="0" w:type="dxa"/>
            <w:bottom w:w="0" w:type="dxa"/>
            <w:right w:w="0" w:type="dxa"/>
          </w:tblCellMar>
        </w:tblPrEx>
        <w:trPr>
          <w:trHeight w:val="276" w:hRule="atLeast"/>
        </w:trPr>
        <w:tc>
          <w:tcPr>
            <w:tcW w:w="13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年初预算数</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u w:val="none"/>
                <w:lang w:val="en-US" w:eastAsia="zh-CN" w:bidi="ar"/>
              </w:rPr>
              <w:t>全年预算数</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全年执行数</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年度资金总额</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highlight w:val="none"/>
                <w:lang w:val="en-US" w:bidi="ar"/>
              </w:rPr>
            </w:pPr>
            <w:r>
              <w:rPr>
                <w:rFonts w:hint="eastAsia" w:ascii="宋体" w:hAnsi="宋体" w:eastAsia="宋体" w:cs="宋体"/>
                <w:i w:val="0"/>
                <w:color w:val="000000"/>
                <w:kern w:val="0"/>
                <w:sz w:val="20"/>
                <w:szCs w:val="20"/>
                <w:u w:val="none"/>
                <w:lang w:val="en-US" w:eastAsia="zh-CN" w:bidi="ar"/>
              </w:rPr>
              <w:t>10.00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highlight w:val="none"/>
                <w:lang w:val="en-US"/>
              </w:rPr>
            </w:pPr>
            <w:r>
              <w:rPr>
                <w:rFonts w:hint="eastAsia" w:ascii="宋体" w:hAnsi="宋体" w:eastAsia="宋体" w:cs="宋体"/>
                <w:i w:val="0"/>
                <w:color w:val="000000"/>
                <w:kern w:val="0"/>
                <w:sz w:val="20"/>
                <w:szCs w:val="20"/>
                <w:u w:val="none"/>
                <w:lang w:val="en-US" w:eastAsia="zh-CN" w:bidi="ar"/>
              </w:rPr>
              <w:t>10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highlight w:val="none"/>
                <w:lang w:val="en-US" w:bidi="ar"/>
              </w:rPr>
            </w:pPr>
            <w:r>
              <w:rPr>
                <w:rFonts w:hint="eastAsia" w:ascii="宋体" w:hAnsi="宋体" w:eastAsia="宋体" w:cs="宋体"/>
                <w:i w:val="0"/>
                <w:color w:val="000000"/>
                <w:kern w:val="0"/>
                <w:sz w:val="20"/>
                <w:szCs w:val="20"/>
                <w:u w:val="none"/>
                <w:lang w:val="en-US" w:eastAsia="zh-CN" w:bidi="ar"/>
              </w:rPr>
              <w:t>10.00</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highlight w:val="none"/>
                <w:lang w:val="en-US" w:bidi="ar"/>
              </w:rPr>
            </w:pPr>
            <w:r>
              <w:rPr>
                <w:rFonts w:hint="eastAsia" w:ascii="宋体" w:hAnsi="宋体" w:eastAsia="宋体" w:cs="宋体"/>
                <w:i w:val="0"/>
                <w:color w:val="000000"/>
                <w:kern w:val="0"/>
                <w:sz w:val="20"/>
                <w:szCs w:val="20"/>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100.00%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u w:val="none"/>
                <w:lang w:val="en-US" w:eastAsia="zh-CN" w:bidi="ar"/>
              </w:rPr>
              <w:t>10.00分</w:t>
            </w:r>
          </w:p>
        </w:tc>
      </w:tr>
      <w:tr>
        <w:tblPrEx>
          <w:tblLayout w:type="fixed"/>
          <w:tblCellMar>
            <w:top w:w="0" w:type="dxa"/>
            <w:left w:w="0" w:type="dxa"/>
            <w:bottom w:w="0" w:type="dxa"/>
            <w:right w:w="0" w:type="dxa"/>
          </w:tblCellMar>
        </w:tblPrEx>
        <w:trPr>
          <w:trHeight w:val="638"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其中：当年财政拨款</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10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u w:val="none"/>
                <w:lang w:val="en-US" w:eastAsia="zh-CN" w:bidi="ar"/>
              </w:rPr>
              <w:t>10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10</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 xml:space="preserve">      上年结转资金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 xml:space="preserve">  其他资金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预期目标</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根据《关于同意建立霍尔果斯市应急成品粮油储备的批复》（霍市政发函〔2021〕47号）中，2023年已完成霍尔果斯成品应急粮油数量、质量安全；成品面粉全年完成160吨，大米70吨，食用油20吨的存储量。</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hint="eastAsia" w:ascii="Times New Roman" w:hAnsi="Times New Roman" w:eastAsia="宋体" w:cs="Times New Roman"/>
                <w:kern w:val="0"/>
                <w:sz w:val="18"/>
                <w:szCs w:val="18"/>
                <w:highlight w:val="none"/>
                <w:lang w:eastAsia="zh-CN" w:bidi="ar"/>
              </w:rPr>
            </w:pPr>
            <w:r>
              <w:rPr>
                <w:rFonts w:hint="eastAsia" w:ascii="宋体" w:hAnsi="宋体" w:eastAsia="宋体" w:cs="宋体"/>
                <w:i w:val="0"/>
                <w:color w:val="000000"/>
                <w:kern w:val="0"/>
                <w:sz w:val="20"/>
                <w:szCs w:val="20"/>
                <w:u w:val="none"/>
                <w:lang w:val="en-US" w:eastAsia="zh-CN" w:bidi="ar"/>
              </w:rPr>
              <w:t>10</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一级指标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二级指标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u w:val="none"/>
                <w:lang w:val="en-US" w:eastAsia="zh-CN" w:bidi="ar"/>
              </w:rPr>
              <w:t>三级指标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实际完成值</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分值</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年度绩效指标完成情况</w:t>
            </w:r>
          </w:p>
        </w:tc>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产出指标</w:t>
            </w:r>
          </w:p>
        </w:tc>
        <w:tc>
          <w:tcPr>
            <w:tcW w:w="695"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u w:val="none"/>
                <w:lang w:val="en-US" w:eastAsia="zh-CN" w:bidi="ar"/>
              </w:rPr>
              <w:t>代储成品小麦粉</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highlight w:val="none"/>
                <w:lang w:val="en-US" w:eastAsia="zh-CN" w:bidi="ar"/>
              </w:rPr>
            </w:pPr>
            <w:r>
              <w:rPr>
                <w:rFonts w:hint="eastAsia" w:ascii="宋体" w:hAnsi="宋体" w:eastAsia="宋体" w:cs="宋体"/>
                <w:i w:val="0"/>
                <w:color w:val="000000"/>
                <w:kern w:val="0"/>
                <w:sz w:val="20"/>
                <w:szCs w:val="20"/>
                <w:u w:val="none"/>
                <w:lang w:val="en-US" w:eastAsia="zh-CN" w:bidi="ar"/>
              </w:rPr>
              <w:t>&gt;=160吨</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color w:val="000000"/>
                <w:kern w:val="0"/>
                <w:sz w:val="20"/>
                <w:szCs w:val="20"/>
                <w:u w:val="none"/>
                <w:lang w:val="en-US" w:eastAsia="zh-CN" w:bidi="ar"/>
              </w:rPr>
              <w:t>160吨</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7</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u w:val="none"/>
                <w:lang w:val="en-US" w:eastAsia="zh-CN" w:bidi="ar"/>
              </w:rPr>
              <w:t>7</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r>
      <w:tr>
        <w:tblPrEx>
          <w:tblLayout w:type="fixed"/>
          <w:tblCellMar>
            <w:top w:w="0" w:type="dxa"/>
            <w:left w:w="0" w:type="dxa"/>
            <w:bottom w:w="0" w:type="dxa"/>
            <w:right w:w="0" w:type="dxa"/>
          </w:tblCellMar>
        </w:tblPrEx>
        <w:trPr>
          <w:trHeight w:val="408"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highlight w:val="none"/>
                <w:u w:val="none"/>
                <w:lang w:val="en-US" w:eastAsia="zh-CN" w:bidi="ar"/>
              </w:rPr>
            </w:pPr>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highlight w:val="none"/>
                <w:u w:val="none"/>
                <w:lang w:val="en-US" w:eastAsia="zh-CN" w:bidi="ar"/>
              </w:rPr>
            </w:pPr>
          </w:p>
        </w:tc>
        <w:tc>
          <w:tcPr>
            <w:tcW w:w="695" w:type="dxa"/>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u w:val="none"/>
                <w:lang w:val="en-US" w:eastAsia="zh-CN" w:bidi="ar"/>
              </w:rPr>
              <w:t>代储大米</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color w:val="000000"/>
                <w:kern w:val="0"/>
                <w:sz w:val="20"/>
                <w:szCs w:val="20"/>
                <w:u w:val="none"/>
                <w:lang w:val="en-US" w:eastAsia="zh-CN" w:bidi="ar"/>
              </w:rPr>
              <w:t>&gt;=70吨</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color w:val="000000"/>
                <w:kern w:val="0"/>
                <w:sz w:val="20"/>
                <w:szCs w:val="20"/>
                <w:u w:val="none"/>
                <w:lang w:val="en-US" w:eastAsia="zh-CN" w:bidi="ar"/>
              </w:rPr>
              <w:t>70吨</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7</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u w:val="none"/>
                <w:lang w:val="en-US" w:eastAsia="zh-CN" w:bidi="ar"/>
              </w:rPr>
              <w:t>7</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r>
      <w:tr>
        <w:tblPrEx>
          <w:tblLayout w:type="fixed"/>
          <w:tblCellMar>
            <w:top w:w="0" w:type="dxa"/>
            <w:left w:w="0" w:type="dxa"/>
            <w:bottom w:w="0" w:type="dxa"/>
            <w:right w:w="0" w:type="dxa"/>
          </w:tblCellMar>
        </w:tblPrEx>
        <w:trPr>
          <w:trHeight w:val="408"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highlight w:val="none"/>
                <w:u w:val="none"/>
                <w:lang w:val="en-US" w:eastAsia="zh-CN" w:bidi="ar"/>
              </w:rPr>
            </w:pPr>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highlight w:val="none"/>
                <w:u w:val="none"/>
                <w:lang w:val="en-US" w:eastAsia="zh-CN" w:bidi="ar"/>
              </w:rPr>
            </w:pPr>
          </w:p>
        </w:tc>
        <w:tc>
          <w:tcPr>
            <w:tcW w:w="695" w:type="dxa"/>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u w:val="none"/>
                <w:lang w:val="en-US" w:eastAsia="zh-CN" w:bidi="ar"/>
              </w:rPr>
              <w:t>代储食用油</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color w:val="000000"/>
                <w:kern w:val="0"/>
                <w:sz w:val="20"/>
                <w:szCs w:val="20"/>
                <w:u w:val="none"/>
                <w:lang w:val="en-US" w:eastAsia="zh-CN" w:bidi="ar"/>
              </w:rPr>
              <w:t>&gt;=20吨</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color w:val="000000"/>
                <w:kern w:val="0"/>
                <w:sz w:val="20"/>
                <w:szCs w:val="20"/>
                <w:u w:val="none"/>
                <w:lang w:val="en-US" w:eastAsia="zh-CN" w:bidi="ar"/>
              </w:rPr>
              <w:t>20吨</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6</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u w:val="none"/>
                <w:lang w:val="en-US" w:eastAsia="zh-CN" w:bidi="ar"/>
              </w:rPr>
              <w:t>6</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695"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u w:val="none"/>
                <w:lang w:val="en-US" w:eastAsia="zh-CN" w:bidi="ar"/>
              </w:rPr>
              <w:t>小麦粉达到国家标准</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color w:val="000000"/>
                <w:kern w:val="0"/>
                <w:sz w:val="20"/>
                <w:szCs w:val="20"/>
                <w:u w:val="none"/>
                <w:lang w:val="en-US" w:eastAsia="zh-CN" w:bidi="ar"/>
              </w:rPr>
              <w:t>&gt;=1级</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color w:val="000000"/>
                <w:kern w:val="0"/>
                <w:sz w:val="20"/>
                <w:szCs w:val="20"/>
                <w:u w:val="none"/>
                <w:lang w:val="en-US" w:eastAsia="zh-CN" w:bidi="ar"/>
              </w:rPr>
              <w:t>1级</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695" w:type="dxa"/>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u w:val="none"/>
                <w:lang w:val="en-US" w:eastAsia="zh-CN" w:bidi="ar"/>
              </w:rPr>
              <w:t>大米达到国家标准</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color w:val="000000"/>
                <w:kern w:val="0"/>
                <w:sz w:val="20"/>
                <w:szCs w:val="20"/>
                <w:u w:val="none"/>
                <w:lang w:val="en-US" w:eastAsia="zh-CN" w:bidi="ar"/>
              </w:rPr>
              <w:t>&gt;=3级</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color w:val="000000"/>
                <w:kern w:val="0"/>
                <w:sz w:val="20"/>
                <w:szCs w:val="20"/>
                <w:u w:val="none"/>
                <w:lang w:val="en-US" w:eastAsia="zh-CN" w:bidi="ar"/>
              </w:rPr>
              <w:t>3级</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695" w:type="dxa"/>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u w:val="none"/>
                <w:lang w:val="en-US" w:eastAsia="zh-CN" w:bidi="ar"/>
              </w:rPr>
              <w:t>食用油达到国家标准</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color w:val="000000"/>
                <w:kern w:val="0"/>
                <w:sz w:val="20"/>
                <w:szCs w:val="20"/>
                <w:u w:val="none"/>
                <w:lang w:val="en-US" w:eastAsia="zh-CN" w:bidi="ar"/>
              </w:rPr>
              <w:t>&gt;=4级</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color w:val="000000"/>
                <w:kern w:val="0"/>
                <w:sz w:val="20"/>
                <w:szCs w:val="20"/>
                <w:u w:val="none"/>
                <w:lang w:val="en-US" w:eastAsia="zh-CN" w:bidi="ar"/>
              </w:rPr>
              <w:t>4级</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695"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时效指标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u w:val="none"/>
                <w:lang w:val="en-US" w:eastAsia="zh-CN" w:bidi="ar"/>
              </w:rPr>
              <w:t>成品粮油储存完成时间</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color w:val="000000"/>
                <w:kern w:val="0"/>
                <w:sz w:val="20"/>
                <w:szCs w:val="20"/>
                <w:u w:val="none"/>
                <w:lang w:val="en-US" w:eastAsia="zh-CN" w:bidi="ar"/>
              </w:rPr>
              <w:t>2023年12月</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color w:val="000000"/>
                <w:kern w:val="0"/>
                <w:sz w:val="20"/>
                <w:szCs w:val="20"/>
                <w:u w:val="none"/>
                <w:lang w:val="en-US" w:eastAsia="zh-CN" w:bidi="ar"/>
              </w:rPr>
              <w:t>2023年12月</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695" w:type="dxa"/>
            <w:vMerge w:val="restart"/>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成本指标</w:t>
            </w:r>
          </w:p>
        </w:tc>
        <w:tc>
          <w:tcPr>
            <w:tcW w:w="695"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经济成本指标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u w:val="none"/>
                <w:lang w:val="en-US" w:eastAsia="zh-CN" w:bidi="ar"/>
              </w:rPr>
              <w:t>代储面粉成本</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color w:val="000000"/>
                <w:kern w:val="0"/>
                <w:sz w:val="20"/>
                <w:szCs w:val="20"/>
                <w:u w:val="none"/>
                <w:lang w:val="en-US" w:eastAsia="zh-CN" w:bidi="ar"/>
              </w:rPr>
              <w:t>&lt;=6万元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color w:val="000000"/>
                <w:kern w:val="0"/>
                <w:sz w:val="20"/>
                <w:szCs w:val="20"/>
                <w:u w:val="none"/>
                <w:lang w:val="en-US" w:eastAsia="zh-CN" w:bidi="ar"/>
              </w:rPr>
              <w:t>6万元</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7</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u w:val="none"/>
                <w:lang w:val="en-US" w:eastAsia="zh-CN" w:bidi="ar"/>
              </w:rPr>
              <w:t>7</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highlight w:val="none"/>
                <w:u w:val="none"/>
                <w:lang w:val="en-US" w:eastAsia="zh-CN" w:bidi="ar"/>
              </w:rPr>
            </w:pPr>
          </w:p>
        </w:tc>
        <w:tc>
          <w:tcPr>
            <w:tcW w:w="695" w:type="dxa"/>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u w:val="none"/>
                <w:lang w:val="en-US" w:eastAsia="zh-CN" w:bidi="ar"/>
              </w:rPr>
              <w:t>经济成本指标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u w:val="none"/>
                <w:lang w:val="en-US" w:eastAsia="zh-CN" w:bidi="ar"/>
              </w:rPr>
              <w:t>代储大米成本</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color w:val="000000"/>
                <w:kern w:val="0"/>
                <w:sz w:val="20"/>
                <w:szCs w:val="20"/>
                <w:u w:val="none"/>
                <w:lang w:val="en-US" w:eastAsia="zh-CN" w:bidi="ar"/>
              </w:rPr>
              <w:t>&lt;=3万元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color w:val="000000"/>
                <w:kern w:val="0"/>
                <w:sz w:val="20"/>
                <w:szCs w:val="20"/>
                <w:u w:val="none"/>
                <w:lang w:val="en-US" w:eastAsia="zh-CN" w:bidi="ar"/>
              </w:rPr>
              <w:t>3万元</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7</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u w:val="none"/>
                <w:lang w:val="en-US" w:eastAsia="zh-CN" w:bidi="ar"/>
              </w:rPr>
              <w:t>7</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highlight w:val="none"/>
                <w:u w:val="none"/>
                <w:lang w:val="en-US" w:eastAsia="zh-CN" w:bidi="ar"/>
              </w:rPr>
            </w:pPr>
          </w:p>
        </w:tc>
        <w:tc>
          <w:tcPr>
            <w:tcW w:w="695" w:type="dxa"/>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u w:val="none"/>
                <w:lang w:val="en-US" w:eastAsia="zh-CN" w:bidi="ar"/>
              </w:rPr>
              <w:t>经济成本指标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u w:val="none"/>
                <w:lang w:val="en-US" w:eastAsia="zh-CN" w:bidi="ar"/>
              </w:rPr>
              <w:t>代储食用油成本</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color w:val="000000"/>
                <w:kern w:val="0"/>
                <w:sz w:val="20"/>
                <w:szCs w:val="20"/>
                <w:u w:val="none"/>
                <w:lang w:val="en-US" w:eastAsia="zh-CN" w:bidi="ar"/>
              </w:rPr>
              <w:t>&lt;=1万元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val="en-US" w:eastAsia="zh-CN" w:bidi="ar"/>
              </w:rPr>
            </w:pPr>
            <w:r>
              <w:rPr>
                <w:rFonts w:hint="eastAsia" w:ascii="宋体" w:hAnsi="宋体" w:eastAsia="宋体" w:cs="宋体"/>
                <w:i w:val="0"/>
                <w:color w:val="000000"/>
                <w:kern w:val="0"/>
                <w:sz w:val="20"/>
                <w:szCs w:val="20"/>
                <w:u w:val="none"/>
                <w:lang w:val="en-US" w:eastAsia="zh-CN" w:bidi="ar"/>
              </w:rPr>
              <w:t>1万元</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6</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u w:val="none"/>
                <w:lang w:val="en-US" w:eastAsia="zh-CN" w:bidi="ar"/>
              </w:rPr>
              <w:t>6</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社会成本指标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highlight w:val="none"/>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highlight w:val="none"/>
              </w:rPr>
            </w:pP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69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生态环境成本指标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highlight w:val="none"/>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highlight w:val="none"/>
              </w:rPr>
            </w:pP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效益指标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经济效益指标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eastAsia="仿宋_GB2312"/>
                <w:highlight w:val="none"/>
                <w:lang w:eastAsia="zh-CN"/>
              </w:rPr>
            </w:pPr>
            <w:r>
              <w:rPr>
                <w:rFonts w:hint="eastAsia" w:ascii="宋体" w:hAnsi="宋体" w:eastAsia="宋体" w:cs="宋体"/>
                <w:i w:val="0"/>
                <w:color w:val="000000"/>
                <w:kern w:val="0"/>
                <w:sz w:val="20"/>
                <w:szCs w:val="20"/>
                <w:u w:val="none"/>
                <w:lang w:val="en-US" w:eastAsia="zh-CN" w:bidi="ar"/>
              </w:rPr>
              <w:t>动用期间粮油价格不出现明显涨幅，保障价格平稳</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highlight w:val="none"/>
                <w:lang w:val="en-US" w:eastAsia="zh-CN" w:bidi="ar"/>
              </w:rPr>
            </w:pPr>
            <w:r>
              <w:rPr>
                <w:rFonts w:hint="eastAsia" w:ascii="宋体" w:hAnsi="宋体" w:eastAsia="宋体" w:cs="宋体"/>
                <w:i w:val="0"/>
                <w:color w:val="000000"/>
                <w:kern w:val="0"/>
                <w:sz w:val="20"/>
                <w:szCs w:val="20"/>
                <w:u w:val="none"/>
                <w:lang w:val="en-US" w:eastAsia="zh-CN" w:bidi="ar"/>
              </w:rPr>
              <w:t>有效保障</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highlight w:val="none"/>
                <w:lang w:eastAsia="zh-CN" w:bidi="ar"/>
              </w:rPr>
            </w:pPr>
            <w:r>
              <w:rPr>
                <w:rFonts w:hint="eastAsia" w:ascii="宋体" w:hAnsi="宋体" w:eastAsia="宋体" w:cs="宋体"/>
                <w:i w:val="0"/>
                <w:color w:val="000000"/>
                <w:kern w:val="0"/>
                <w:sz w:val="20"/>
                <w:szCs w:val="20"/>
                <w:u w:val="none"/>
                <w:lang w:val="en-US" w:eastAsia="zh-CN" w:bidi="ar"/>
              </w:rPr>
              <w:t>有效保障</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highlight w:val="none"/>
                <w:lang w:bidi="ar"/>
              </w:rPr>
            </w:pPr>
            <w:r>
              <w:rPr>
                <w:rFonts w:hint="eastAsia" w:ascii="宋体" w:hAnsi="宋体" w:eastAsia="宋体" w:cs="宋体"/>
                <w:i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highlight w:val="none"/>
              </w:rPr>
            </w:pPr>
            <w:r>
              <w:rPr>
                <w:rFonts w:hint="eastAsia" w:ascii="宋体" w:hAnsi="宋体" w:eastAsia="宋体" w:cs="宋体"/>
                <w:i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highlight w:val="none"/>
                <w:lang w:bidi="ar"/>
              </w:rPr>
            </w:pPr>
          </w:p>
        </w:tc>
      </w:tr>
    </w:tbl>
    <w:p>
      <w:pPr>
        <w:spacing w:line="600" w:lineRule="exact"/>
        <w:rPr>
          <w:rFonts w:hint="eastAsia" w:ascii="黑体" w:hAnsi="黑体" w:eastAsia="黑体" w:cs="黑体"/>
          <w:bCs/>
          <w:sz w:val="32"/>
          <w:szCs w:val="32"/>
          <w:highlight w:val="none"/>
        </w:rPr>
        <w:sectPr>
          <w:headerReference r:id="rId3" w:type="default"/>
          <w:pgSz w:w="11906" w:h="16838"/>
          <w:pgMar w:top="1928" w:right="1531" w:bottom="1701" w:left="1531" w:header="737" w:footer="851" w:gutter="0"/>
          <w:cols w:space="720" w:num="1"/>
          <w:docGrid w:type="lines" w:linePitch="408" w:charSpace="0"/>
        </w:sectPr>
      </w:pPr>
    </w:p>
    <w:p>
      <w:pPr>
        <w:pStyle w:val="20"/>
        <w:ind w:firstLine="562"/>
        <w:jc w:val="center"/>
        <w:rPr>
          <w:sz w:val="28"/>
          <w:szCs w:val="40"/>
          <w:highlight w:val="none"/>
        </w:rPr>
      </w:pPr>
      <w:bookmarkStart w:id="20" w:name="_Toc26499_WPSOffice_Level2"/>
      <w:bookmarkStart w:id="21" w:name="_Toc30064_WPSOffice_Level1"/>
      <w:r>
        <w:rPr>
          <w:rFonts w:hint="eastAsia"/>
          <w:b/>
          <w:bCs/>
          <w:sz w:val="28"/>
          <w:szCs w:val="40"/>
          <w:highlight w:val="none"/>
          <w:lang w:val="en-US" w:eastAsia="zh-CN"/>
        </w:rPr>
        <w:t>应急产品粮油代储费项目</w:t>
      </w:r>
      <w:r>
        <w:rPr>
          <w:rFonts w:hint="eastAsia"/>
          <w:b/>
          <w:bCs/>
          <w:sz w:val="28"/>
          <w:szCs w:val="40"/>
          <w:highlight w:val="none"/>
        </w:rPr>
        <w:t>绩效评价指标体系及综合评分表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764"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87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235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5198"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136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立项依据</w:t>
            </w:r>
          </w:p>
          <w:p>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立项程序</w:t>
            </w:r>
          </w:p>
          <w:p>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绩效指标</w:t>
            </w:r>
          </w:p>
          <w:p>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资金投入</w:t>
            </w:r>
          </w:p>
          <w:p>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预算编制</w:t>
            </w:r>
          </w:p>
          <w:p>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资金分配</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r>
              <w:rPr>
                <w:color w:val="000000"/>
                <w:kern w:val="0"/>
                <w:sz w:val="22"/>
                <w:szCs w:val="22"/>
                <w:highlight w:val="none"/>
              </w:rPr>
              <w:t>过程</w:t>
            </w:r>
          </w:p>
          <w:p>
            <w:pPr>
              <w:widowControl/>
              <w:spacing w:line="0" w:lineRule="atLeast"/>
              <w:jc w:val="center"/>
              <w:rPr>
                <w:color w:val="000000"/>
                <w:kern w:val="0"/>
                <w:sz w:val="22"/>
                <w:szCs w:val="22"/>
                <w:highlight w:val="none"/>
              </w:rPr>
            </w:pPr>
            <w:r>
              <w:rPr>
                <w:color w:val="000000"/>
                <w:kern w:val="0"/>
                <w:sz w:val="22"/>
                <w:szCs w:val="22"/>
                <w:highlight w:val="none"/>
              </w:rPr>
              <w:t>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continue"/>
            <w:shd w:val="clear" w:color="auto" w:fill="FFFFFF"/>
            <w:vAlign w:val="center"/>
          </w:tcPr>
          <w:p>
            <w:pPr>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资金使用</w:t>
            </w:r>
          </w:p>
          <w:p>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组织实施</w:t>
            </w:r>
          </w:p>
          <w:p>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管理制度</w:t>
            </w:r>
          </w:p>
          <w:p>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制度执行</w:t>
            </w:r>
          </w:p>
          <w:p>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产出时效</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2353"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pPr>
        <w:rPr>
          <w:highlight w:val="none"/>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007D49C5"/>
    <w:rsid w:val="000D63FA"/>
    <w:rsid w:val="005B64E8"/>
    <w:rsid w:val="00614288"/>
    <w:rsid w:val="00670592"/>
    <w:rsid w:val="00792CFE"/>
    <w:rsid w:val="007D49C5"/>
    <w:rsid w:val="008175E0"/>
    <w:rsid w:val="008C631D"/>
    <w:rsid w:val="00A114ED"/>
    <w:rsid w:val="00B24331"/>
    <w:rsid w:val="01583141"/>
    <w:rsid w:val="03D06358"/>
    <w:rsid w:val="04E852A3"/>
    <w:rsid w:val="05253FFE"/>
    <w:rsid w:val="0806276B"/>
    <w:rsid w:val="0C445474"/>
    <w:rsid w:val="0D8A41F1"/>
    <w:rsid w:val="0F2A6BF7"/>
    <w:rsid w:val="0F303607"/>
    <w:rsid w:val="0F346E40"/>
    <w:rsid w:val="109627EE"/>
    <w:rsid w:val="11F64E7C"/>
    <w:rsid w:val="13C8334A"/>
    <w:rsid w:val="17136327"/>
    <w:rsid w:val="175F3323"/>
    <w:rsid w:val="181871E2"/>
    <w:rsid w:val="19166846"/>
    <w:rsid w:val="1BDC7EFA"/>
    <w:rsid w:val="20E92B23"/>
    <w:rsid w:val="22AC2218"/>
    <w:rsid w:val="25A62E31"/>
    <w:rsid w:val="2729052F"/>
    <w:rsid w:val="28C14634"/>
    <w:rsid w:val="2E534563"/>
    <w:rsid w:val="2EC724D4"/>
    <w:rsid w:val="2EE30257"/>
    <w:rsid w:val="313C44B5"/>
    <w:rsid w:val="32ED1B94"/>
    <w:rsid w:val="34DA27CE"/>
    <w:rsid w:val="35A81578"/>
    <w:rsid w:val="36411DC5"/>
    <w:rsid w:val="36B72533"/>
    <w:rsid w:val="3C7D5623"/>
    <w:rsid w:val="3FD76220"/>
    <w:rsid w:val="4057649F"/>
    <w:rsid w:val="4347760B"/>
    <w:rsid w:val="450B6AE4"/>
    <w:rsid w:val="4A1B12AB"/>
    <w:rsid w:val="4DB3667E"/>
    <w:rsid w:val="53C6169F"/>
    <w:rsid w:val="53EE2CCD"/>
    <w:rsid w:val="5448486F"/>
    <w:rsid w:val="54873A1A"/>
    <w:rsid w:val="56573704"/>
    <w:rsid w:val="56796849"/>
    <w:rsid w:val="568F383B"/>
    <w:rsid w:val="575B49AA"/>
    <w:rsid w:val="583214C4"/>
    <w:rsid w:val="5D555EEF"/>
    <w:rsid w:val="5DA95371"/>
    <w:rsid w:val="5EF06A5E"/>
    <w:rsid w:val="5FD67DA4"/>
    <w:rsid w:val="60100B69"/>
    <w:rsid w:val="61B31AE9"/>
    <w:rsid w:val="633A2474"/>
    <w:rsid w:val="65074557"/>
    <w:rsid w:val="684E7091"/>
    <w:rsid w:val="686F7714"/>
    <w:rsid w:val="6A237BE4"/>
    <w:rsid w:val="6A862BA8"/>
    <w:rsid w:val="6C227F3F"/>
    <w:rsid w:val="6DFC1C65"/>
    <w:rsid w:val="72D65D25"/>
    <w:rsid w:val="740B5162"/>
    <w:rsid w:val="7413433E"/>
    <w:rsid w:val="75FA041F"/>
    <w:rsid w:val="760F49BD"/>
    <w:rsid w:val="767B5072"/>
    <w:rsid w:val="76E870A0"/>
    <w:rsid w:val="78760479"/>
    <w:rsid w:val="7A941240"/>
    <w:rsid w:val="7AE40DD7"/>
    <w:rsid w:val="7D61016A"/>
    <w:rsid w:val="7E36715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5042</Words>
  <Characters>5242</Characters>
  <Lines>37</Lines>
  <Paragraphs>10</Paragraphs>
  <TotalTime>6</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2024-06-07T04:43:40Z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52D61395BBAB437AB7CDBD0370B883BD_13</vt:lpwstr>
  </property>
</Properties>
</file>