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2023年中央财政医疗服务与保障能力提升（公立医院综合改革）补助资金</w:t>
      </w:r>
      <w:r>
        <w:rPr>
          <w:rFonts w:eastAsia="方正小标宋_GBK"/>
          <w:kern w:val="0"/>
          <w:sz w:val="48"/>
          <w:szCs w:val="48"/>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left="3531" w:leftChars="106" w:hanging="3213" w:hangingChars="10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项目名称：2023年中央财政医疗服务与保障能力提升（公立医院综合改革）补助资金</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霍尔果斯市人民医院</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霍尔果斯市卫生健康委员会</w:t>
      </w:r>
    </w:p>
    <w:p>
      <w:pPr>
        <w:spacing w:line="560" w:lineRule="exact"/>
        <w:ind w:firstLine="321" w:firstLineChars="100"/>
        <w:jc w:val="both"/>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项目负责人（签章）：叶尔布拉提·道肯</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w:t>
      </w:r>
      <w:r>
        <w:rPr>
          <w:rFonts w:hint="eastAsia" w:ascii="宋体" w:hAnsi="宋体" w:eastAsia="宋体" w:cs="仿宋_GB2312"/>
          <w:color w:val="000000"/>
          <w:kern w:val="0"/>
          <w:sz w:val="32"/>
          <w:szCs w:val="32"/>
          <w:lang w:val="en-US" w:eastAsia="zh-CN"/>
        </w:rPr>
        <w:t>9</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val="en-US" w:eastAsia="zh-CN"/>
        </w:rPr>
        <w:t>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本项目依据《中共中央 国务院关于全面实施预算绩效管理的意见》（中发〔2018〕</w:t>
      </w:r>
      <w:r>
        <w:rPr>
          <w:rFonts w:ascii="仿宋_GB2312" w:hAnsi="仿宋"/>
          <w:color w:val="auto"/>
          <w:sz w:val="32"/>
          <w:szCs w:val="32"/>
        </w:rPr>
        <w:t>34</w:t>
      </w:r>
      <w:r>
        <w:rPr>
          <w:rFonts w:hint="eastAsia" w:ascii="仿宋_GB2312" w:hAnsi="仿宋"/>
          <w:color w:val="auto"/>
          <w:sz w:val="32"/>
          <w:szCs w:val="32"/>
        </w:rPr>
        <w:t>号）、《关于印发&lt;乌鲁木齐市本级部门预算绩效目标管理暂行办法</w:t>
      </w:r>
      <w:r>
        <w:rPr>
          <w:rFonts w:ascii="仿宋_GB2312" w:hAnsi="仿宋"/>
          <w:color w:val="auto"/>
          <w:sz w:val="32"/>
          <w:szCs w:val="32"/>
        </w:rPr>
        <w:t>&gt;</w:t>
      </w:r>
      <w:r>
        <w:rPr>
          <w:rFonts w:hint="eastAsia" w:ascii="仿宋_GB2312" w:hAnsi="仿宋"/>
          <w:color w:val="auto"/>
          <w:sz w:val="32"/>
          <w:szCs w:val="32"/>
        </w:rPr>
        <w:t>的通知》（乌财预</w:t>
      </w:r>
      <w:bookmarkStart w:id="2" w:name="_Hlk67566397"/>
      <w:r>
        <w:rPr>
          <w:rFonts w:hint="eastAsia" w:ascii="仿宋_GB2312" w:hAnsi="仿宋"/>
          <w:color w:val="auto"/>
          <w:sz w:val="32"/>
          <w:szCs w:val="32"/>
        </w:rPr>
        <w:t>〔2018〕</w:t>
      </w:r>
      <w:r>
        <w:rPr>
          <w:rFonts w:ascii="仿宋_GB2312" w:hAnsi="仿宋"/>
          <w:color w:val="auto"/>
          <w:sz w:val="32"/>
          <w:szCs w:val="32"/>
        </w:rPr>
        <w:t>5</w:t>
      </w:r>
      <w:r>
        <w:rPr>
          <w:rFonts w:hint="eastAsia" w:ascii="仿宋_GB2312" w:hAnsi="仿宋"/>
          <w:color w:val="auto"/>
          <w:sz w:val="32"/>
          <w:szCs w:val="32"/>
        </w:rPr>
        <w:t>6号</w:t>
      </w:r>
      <w:bookmarkEnd w:id="2"/>
      <w:r>
        <w:rPr>
          <w:rFonts w:hint="eastAsia" w:ascii="仿宋_GB2312" w:hAnsi="仿宋"/>
          <w:color w:val="auto"/>
          <w:sz w:val="32"/>
          <w:szCs w:val="32"/>
        </w:rPr>
        <w:t>）、《关于做好2</w:t>
      </w:r>
      <w:r>
        <w:rPr>
          <w:rFonts w:ascii="仿宋_GB2312" w:hAnsi="仿宋"/>
          <w:color w:val="auto"/>
          <w:sz w:val="32"/>
          <w:szCs w:val="32"/>
        </w:rPr>
        <w:t>019</w:t>
      </w:r>
      <w:r>
        <w:rPr>
          <w:rFonts w:hint="eastAsia" w:ascii="仿宋_GB2312" w:hAnsi="仿宋"/>
          <w:color w:val="auto"/>
          <w:sz w:val="32"/>
          <w:szCs w:val="32"/>
        </w:rPr>
        <w:t>年部门预算项目支出绩效目标管理有关事宜的通知》（乌财预〔20</w:t>
      </w:r>
      <w:r>
        <w:rPr>
          <w:rFonts w:ascii="仿宋_GB2312" w:hAnsi="仿宋"/>
          <w:color w:val="auto"/>
          <w:sz w:val="32"/>
          <w:szCs w:val="32"/>
        </w:rPr>
        <w:t>18</w:t>
      </w:r>
      <w:r>
        <w:rPr>
          <w:rFonts w:hint="eastAsia" w:ascii="仿宋_GB2312" w:hAnsi="仿宋"/>
          <w:color w:val="auto"/>
          <w:sz w:val="32"/>
          <w:szCs w:val="32"/>
        </w:rPr>
        <w:t>〕</w:t>
      </w:r>
      <w:r>
        <w:rPr>
          <w:rFonts w:ascii="仿宋_GB2312" w:hAnsi="仿宋"/>
          <w:color w:val="auto"/>
          <w:sz w:val="32"/>
          <w:szCs w:val="32"/>
        </w:rPr>
        <w:t>76</w:t>
      </w:r>
      <w:r>
        <w:rPr>
          <w:rFonts w:hint="eastAsia" w:ascii="仿宋_GB2312" w:hAnsi="仿宋"/>
          <w:color w:val="auto"/>
          <w:sz w:val="32"/>
          <w:szCs w:val="32"/>
        </w:rPr>
        <w:t>号）和《项目支出绩效评价管理办法》（财预〔20</w:t>
      </w:r>
      <w:r>
        <w:rPr>
          <w:rFonts w:ascii="仿宋_GB2312" w:hAnsi="仿宋"/>
          <w:color w:val="auto"/>
          <w:sz w:val="32"/>
          <w:szCs w:val="32"/>
        </w:rPr>
        <w:t>20</w:t>
      </w:r>
      <w:r>
        <w:rPr>
          <w:rFonts w:hint="eastAsia" w:ascii="仿宋_GB2312" w:hAnsi="仿宋"/>
          <w:color w:val="auto"/>
          <w:sz w:val="32"/>
          <w:szCs w:val="32"/>
        </w:rPr>
        <w:t>〕</w:t>
      </w:r>
      <w:r>
        <w:rPr>
          <w:rFonts w:ascii="仿宋_GB2312" w:hAnsi="仿宋"/>
          <w:color w:val="auto"/>
          <w:sz w:val="32"/>
          <w:szCs w:val="32"/>
        </w:rPr>
        <w:t>10</w:t>
      </w:r>
      <w:r>
        <w:rPr>
          <w:rFonts w:hint="eastAsia" w:ascii="仿宋_GB2312" w:hAnsi="仿宋"/>
          <w:color w:val="auto"/>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ascii="仿宋_GB2312" w:hAnsi="仿宋"/>
          <w:color w:val="auto"/>
          <w:sz w:val="32"/>
          <w:szCs w:val="32"/>
        </w:rPr>
        <w:t>主要内容：为进一步推进公立医院改革，开展医疗服务收入补差工作；公立医院医疗服务收入（不含药品、耗材、检查、化验收入）占医疗收入的比例大于20%；不断提高本院医疗卫生服务水平，为6.5万辖区人员提供医疗卫生服务和保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ascii="仿宋_GB2312"/>
          <w:sz w:val="32"/>
          <w:szCs w:val="32"/>
        </w:rPr>
        <w:t>实施情况：</w:t>
      </w:r>
      <w:r>
        <w:rPr>
          <w:rFonts w:eastAsia="仿宋_GB2312"/>
          <w:sz w:val="32"/>
          <w:szCs w:val="32"/>
        </w:rPr>
        <w:t>项目目前已经完成实际设立的目标，</w:t>
      </w:r>
      <w:r>
        <w:rPr>
          <w:rFonts w:hint="eastAsia" w:ascii="仿宋_GB2312" w:hAnsi="仿宋"/>
          <w:color w:val="auto"/>
          <w:sz w:val="32"/>
          <w:szCs w:val="32"/>
          <w:lang w:val="en-US" w:eastAsia="zh-CN"/>
        </w:rPr>
        <w:t>完成公立医院医疗服务收入（不含药品、耗材、检查、化验收入）占医疗收入的比例大于25.31%；</w:t>
      </w:r>
      <w:r>
        <w:rPr>
          <w:rFonts w:hint="eastAsia" w:cs="Times New Roman"/>
          <w:b w:val="0"/>
          <w:bCs w:val="0"/>
          <w:sz w:val="32"/>
          <w:szCs w:val="32"/>
          <w:lang w:val="en-US" w:eastAsia="zh-CN"/>
        </w:rPr>
        <w:t>提高医疗服务能力，</w:t>
      </w:r>
      <w:r>
        <w:rPr>
          <w:rFonts w:hint="eastAsia" w:cs="Times New Roman"/>
          <w:b w:val="0"/>
          <w:bCs w:val="0"/>
          <w:sz w:val="32"/>
          <w:szCs w:val="32"/>
          <w:highlight w:val="none"/>
          <w:lang w:val="en-US" w:eastAsia="zh-CN"/>
        </w:rPr>
        <w:t>购置了数据库、当年维保服务和信息化软件政策性接口服务；完成了食源性疾病病例检测接口医保电子处方、外配接口卫统4-3上传接口、家庭医生签约接口等医保要求接口、完成了各单位要求的任务指标保障的医院数据库的平稳使用，不断提高了公立医院医疗服务能力。</w:t>
      </w:r>
      <w:r>
        <w:rPr>
          <w:rFonts w:hint="eastAsia" w:ascii="仿宋_GB2312" w:hAnsi="仿宋"/>
          <w:color w:val="auto"/>
          <w:sz w:val="32"/>
          <w:szCs w:val="32"/>
          <w:lang w:val="en-US" w:eastAsia="zh-CN"/>
        </w:rPr>
        <w:t>不断提高本院医疗卫生服务水平加强医护人员专业素养不断加强人才队伍建设。</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cs="Times New Roman"/>
          <w:b w:val="0"/>
          <w:bCs w:val="0"/>
          <w:sz w:val="32"/>
          <w:szCs w:val="32"/>
          <w:lang w:eastAsia="zh-CN"/>
        </w:rPr>
        <w:t>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lang w:val="en-US" w:eastAsia="zh-CN"/>
        </w:rPr>
      </w:pPr>
      <w:r>
        <w:rPr>
          <w:rFonts w:hint="eastAsia"/>
          <w:sz w:val="32"/>
          <w:szCs w:val="32"/>
        </w:rPr>
        <w:t>资金投入情况：</w:t>
      </w:r>
      <w:r>
        <w:rPr>
          <w:rFonts w:hint="eastAsia"/>
          <w:color w:val="auto"/>
          <w:sz w:val="32"/>
          <w:szCs w:val="32"/>
        </w:rPr>
        <w:t>该项目年初预算</w:t>
      </w:r>
      <w:r>
        <w:rPr>
          <w:rFonts w:hint="eastAsia" w:ascii="仿宋_GB2312" w:hAnsi="仿宋"/>
          <w:color w:val="auto"/>
          <w:sz w:val="32"/>
          <w:szCs w:val="32"/>
          <w:lang w:val="en-US" w:eastAsia="zh-CN"/>
        </w:rPr>
        <w:t>数94万元，全年预算数94万元实际总投入94万元，该项目资金已全部落实到位，资金来源为中央专项资金。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sz w:val="32"/>
          <w:szCs w:val="32"/>
          <w:highlight w:val="yellow"/>
          <w:lang w:val="en-US" w:eastAsia="zh-CN"/>
        </w:rPr>
      </w:pPr>
      <w:r>
        <w:rPr>
          <w:rFonts w:hint="eastAsia"/>
          <w:sz w:val="32"/>
          <w:szCs w:val="32"/>
        </w:rPr>
        <w:t>资金使用情况：</w:t>
      </w:r>
      <w:r>
        <w:rPr>
          <w:rFonts w:hint="eastAsia"/>
          <w:color w:val="auto"/>
          <w:sz w:val="32"/>
          <w:szCs w:val="32"/>
        </w:rPr>
        <w:t>该项目年初</w:t>
      </w:r>
      <w:r>
        <w:rPr>
          <w:rFonts w:hint="eastAsia" w:ascii="仿宋_GB2312" w:hAnsi="仿宋"/>
          <w:color w:val="auto"/>
          <w:sz w:val="32"/>
          <w:szCs w:val="32"/>
          <w:lang w:val="en-US" w:eastAsia="zh-CN"/>
        </w:rPr>
        <w:t>预算数94万元，全年预算数94万元全年执行数94万元，预算执行率为100%</w:t>
      </w:r>
      <w:r>
        <w:rPr>
          <w:rFonts w:hint="eastAsia" w:ascii="仿宋_GB2312" w:hAnsi="仿宋"/>
          <w:color w:val="auto"/>
          <w:sz w:val="32"/>
          <w:szCs w:val="32"/>
          <w:highlight w:val="none"/>
          <w:lang w:val="en-US" w:eastAsia="zh-CN"/>
        </w:rPr>
        <w:t>，</w:t>
      </w:r>
      <w:r>
        <w:rPr>
          <w:rFonts w:hint="eastAsia"/>
          <w:color w:val="auto"/>
          <w:sz w:val="32"/>
          <w:szCs w:val="32"/>
          <w:highlight w:val="none"/>
          <w:lang w:eastAsia="zh-CN"/>
        </w:rPr>
        <w:t>主要</w:t>
      </w:r>
      <w:r>
        <w:rPr>
          <w:rFonts w:hint="eastAsia"/>
          <w:color w:val="auto"/>
          <w:sz w:val="32"/>
          <w:szCs w:val="32"/>
          <w:highlight w:val="none"/>
        </w:rPr>
        <w:t>用于：</w:t>
      </w:r>
      <w:bookmarkStart w:id="3" w:name="_Toc68703829"/>
      <w:r>
        <w:rPr>
          <w:rFonts w:hint="eastAsia"/>
          <w:color w:val="auto"/>
          <w:sz w:val="32"/>
          <w:szCs w:val="32"/>
          <w:highlight w:val="none"/>
          <w:lang w:val="en-US" w:eastAsia="zh-CN"/>
        </w:rPr>
        <w:t>信息化建设、设备维保、人才培养培训、图书馆打造及书籍购买。</w:t>
      </w:r>
    </w:p>
    <w:p>
      <w:p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3"/>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32"/>
        </w:rPr>
      </w:pPr>
      <w:r>
        <w:rPr>
          <w:rFonts w:hint="eastAsia"/>
          <w:color w:val="auto"/>
          <w:sz w:val="32"/>
          <w:szCs w:val="32"/>
        </w:rPr>
        <w:t>公立医院医疗服务收入（不含药品、耗材、检查、化验收入）占医疗收入的比例大于25.31%；不断提高本院医疗卫生服务水平，为6.5万辖区人员提供医疗卫生服务和保障。</w:t>
      </w:r>
    </w:p>
    <w:p>
      <w:pPr>
        <w:numPr>
          <w:ilvl w:val="0"/>
          <w:numId w:val="0"/>
        </w:numPr>
        <w:spacing w:line="560" w:lineRule="exact"/>
        <w:ind w:left="640" w:leftChars="0"/>
        <w:rPr>
          <w:rFonts w:hint="eastAsia"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2.</w:t>
      </w:r>
      <w:r>
        <w:rPr>
          <w:rFonts w:hint="eastAsia" w:ascii="Times New Roman" w:hAnsi="Times New Roman" w:eastAsia="仿宋_GB2312" w:cs="Times New Roman"/>
          <w:b w:val="0"/>
          <w:bCs w:val="0"/>
          <w:sz w:val="32"/>
          <w:szCs w:val="32"/>
          <w:lang w:val="en-US" w:eastAsia="zh-CN"/>
        </w:rPr>
        <w:t>阶段性目标</w:t>
      </w:r>
      <w:bookmarkStart w:id="4" w:name="_Toc68703830"/>
    </w:p>
    <w:p>
      <w:pPr>
        <w:numPr>
          <w:ilvl w:val="0"/>
          <w:numId w:val="0"/>
        </w:numPr>
        <w:spacing w:line="560" w:lineRule="exact"/>
        <w:ind w:firstLine="640" w:firstLineChars="200"/>
        <w:rPr>
          <w:rFonts w:hint="eastAsia"/>
          <w:color w:val="FF0000"/>
          <w:sz w:val="32"/>
          <w:szCs w:val="32"/>
          <w:highlight w:val="none"/>
        </w:rPr>
      </w:pPr>
      <w:r>
        <w:rPr>
          <w:rFonts w:hint="eastAsia" w:cs="Times New Roman"/>
          <w:b w:val="0"/>
          <w:bCs w:val="0"/>
          <w:sz w:val="32"/>
          <w:szCs w:val="32"/>
          <w:lang w:val="en-US" w:eastAsia="zh-CN"/>
        </w:rPr>
        <w:t>提高医疗服务能力，</w:t>
      </w:r>
      <w:r>
        <w:rPr>
          <w:rFonts w:hint="eastAsia" w:cs="Times New Roman"/>
          <w:b w:val="0"/>
          <w:bCs w:val="0"/>
          <w:sz w:val="32"/>
          <w:szCs w:val="32"/>
          <w:highlight w:val="none"/>
          <w:lang w:val="en-US" w:eastAsia="zh-CN"/>
        </w:rPr>
        <w:t>购置了数据库、当年维保服务和信息化软件政策性接口服务；完成了食源性疾病病例检测接口医保电子处方、外配接口卫统4-3上传接口、家庭医生签约接口等医保要求接口、完成了各单位要求的任务指标保障的医院数据库的平稳使用，不断提高了公立医院医疗服务能力。</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4"/>
    </w:p>
    <w:p>
      <w:pPr>
        <w:numPr>
          <w:ilvl w:val="0"/>
          <w:numId w:val="0"/>
        </w:numPr>
        <w:spacing w:line="560" w:lineRule="exact"/>
        <w:ind w:firstLine="321" w:firstLineChars="100"/>
        <w:rPr>
          <w:rFonts w:hint="eastAsia" w:ascii="Times New Roman" w:hAnsi="Times New Roman" w:eastAsia="楷体_GB2312" w:cs="Times New Roman"/>
          <w:b/>
          <w:bCs/>
          <w:sz w:val="32"/>
          <w:szCs w:val="32"/>
          <w:lang w:eastAsia="zh-CN"/>
        </w:rPr>
      </w:pPr>
      <w:bookmarkStart w:id="5" w:name="_Toc68703831"/>
      <w:r>
        <w:rPr>
          <w:rFonts w:hint="eastAsia" w:ascii="Times New Roman" w:hAnsi="Times New Roman" w:eastAsia="楷体_GB2312" w:cs="Times New Roman"/>
          <w:b/>
          <w:bCs/>
          <w:sz w:val="32"/>
          <w:szCs w:val="32"/>
          <w:lang w:val="en-US" w:eastAsia="zh-CN"/>
        </w:rPr>
        <w:t>（一）绩效评价目的、对象和范围</w:t>
      </w:r>
      <w:bookmarkEnd w:id="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通过绩效评价，客观地评判项目的管理绩效，了解和掌握</w:t>
      </w:r>
      <w:r>
        <w:rPr>
          <w:rFonts w:hint="eastAsia" w:eastAsia="方正仿宋简体"/>
          <w:color w:val="auto"/>
          <w:sz w:val="32"/>
          <w:szCs w:val="32"/>
        </w:rPr>
        <w:t>202</w:t>
      </w:r>
      <w:r>
        <w:rPr>
          <w:rFonts w:hint="eastAsia" w:eastAsia="方正仿宋简体"/>
          <w:color w:val="auto"/>
          <w:sz w:val="32"/>
          <w:szCs w:val="32"/>
          <w:lang w:val="en-US" w:eastAsia="zh-CN"/>
        </w:rPr>
        <w:t>3</w:t>
      </w:r>
      <w:r>
        <w:rPr>
          <w:rFonts w:hint="eastAsia" w:eastAsia="方正仿宋简体"/>
          <w:color w:val="auto"/>
          <w:sz w:val="32"/>
          <w:szCs w:val="32"/>
        </w:rPr>
        <w:t>年医疗服务与保障能力提升（公立医院</w:t>
      </w:r>
      <w:r>
        <w:rPr>
          <w:rFonts w:hint="eastAsia" w:eastAsia="方正仿宋简体"/>
          <w:color w:val="auto"/>
          <w:sz w:val="32"/>
          <w:szCs w:val="32"/>
          <w:lang w:eastAsia="zh-CN"/>
        </w:rPr>
        <w:t>综合</w:t>
      </w:r>
      <w:r>
        <w:rPr>
          <w:rFonts w:hint="eastAsia" w:eastAsia="方正仿宋简体"/>
          <w:color w:val="auto"/>
          <w:sz w:val="32"/>
          <w:szCs w:val="32"/>
        </w:rPr>
        <w:t>改革）补助</w:t>
      </w:r>
      <w:r>
        <w:rPr>
          <w:rFonts w:hint="eastAsia"/>
          <w:color w:val="auto"/>
          <w:sz w:val="32"/>
          <w:szCs w:val="32"/>
        </w:rPr>
        <w:t>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并加强项目绩效管理，同时为项目后续资金投入、分配和管理提供决策依据。</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2023年中央财政医疗服务与保障能力提升（公立医院综合改革）补助资金项目所包含的全部项目内容。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2023年中央财政医疗服务与保障能力提升（公立医院综合改革）补助资金项目</w:t>
      </w:r>
      <w:r>
        <w:rPr>
          <w:rFonts w:hint="eastAsia"/>
          <w:color w:val="auto"/>
          <w:sz w:val="32"/>
          <w:szCs w:val="32"/>
        </w:rPr>
        <w:t>评价，评价核心为资金的支出完成情况和效果。</w:t>
      </w:r>
      <w:bookmarkStart w:id="6" w:name="_Toc68703832"/>
    </w:p>
    <w:p>
      <w:pPr>
        <w:pageBreakBefore w:val="0"/>
        <w:widowControl w:val="0"/>
        <w:kinsoku/>
        <w:wordWrap/>
        <w:overflowPunct/>
        <w:topLinePunct w:val="0"/>
        <w:autoSpaceDE/>
        <w:autoSpaceDN/>
        <w:bidi w:val="0"/>
        <w:adjustRightInd/>
        <w:snapToGrid/>
        <w:spacing w:line="560" w:lineRule="exact"/>
        <w:ind w:left="318" w:leftChars="106" w:firstLine="321" w:firstLineChars="1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ind w:firstLine="640" w:firstLineChars="200"/>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firstLineChars="20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绩效评价标准通常包括计划标准、行业标准、历史标准等，用于对绩效指标完成情况进行比较、分析、评价。本次评价主要采用了计划标准。指以预先制定的目标、计划、预算、定额等作为评价标准。</w:t>
      </w:r>
      <w:bookmarkStart w:id="7" w:name="_Toc68703833"/>
    </w:p>
    <w:p>
      <w:pPr>
        <w:spacing w:line="560" w:lineRule="exact"/>
        <w:ind w:firstLine="640" w:firstLineChars="200"/>
        <w:rPr>
          <w:rFonts w:hint="eastAsia"/>
          <w:bCs/>
          <w:color w:val="auto"/>
          <w:sz w:val="32"/>
          <w:szCs w:val="32"/>
        </w:rPr>
      </w:pPr>
      <w:r>
        <w:rPr>
          <w:rFonts w:hint="eastAsia"/>
          <w:bCs/>
          <w:color w:val="auto"/>
          <w:sz w:val="32"/>
          <w:szCs w:val="32"/>
        </w:rPr>
        <w:t>计划标准。指以预先制定的目标、计划、预算、定额等作为评价标准。</w:t>
      </w:r>
    </w:p>
    <w:p>
      <w:pPr>
        <w:spacing w:line="560" w:lineRule="exact"/>
        <w:ind w:firstLine="321" w:firstLineChars="10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7"/>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bCs/>
          <w:sz w:val="32"/>
          <w:szCs w:val="32"/>
        </w:rPr>
      </w:pPr>
      <w:bookmarkStart w:id="8"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8"/>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firstLine="321" w:firstLineChars="100"/>
        <w:textAlignment w:val="auto"/>
        <w:rPr>
          <w:rFonts w:hint="eastAsia" w:ascii="Times New Roman" w:hAnsi="Times New Roman" w:eastAsia="楷体_GB2312" w:cs="Times New Roman"/>
          <w:b/>
          <w:bCs/>
          <w:kern w:val="2"/>
          <w:sz w:val="32"/>
          <w:szCs w:val="32"/>
          <w:lang w:val="en-US" w:eastAsia="zh-CN" w:bidi="ar-SA"/>
        </w:rPr>
      </w:pPr>
      <w:bookmarkStart w:id="9" w:name="_Toc68703835"/>
      <w:r>
        <w:rPr>
          <w:rFonts w:hint="eastAsia" w:ascii="Times New Roman" w:hAnsi="Times New Roman" w:eastAsia="楷体_GB2312" w:cs="Times New Roman"/>
          <w:b/>
          <w:bCs/>
          <w:kern w:val="2"/>
          <w:sz w:val="32"/>
          <w:szCs w:val="32"/>
          <w:lang w:val="en-US" w:eastAsia="zh-CN" w:bidi="ar-SA"/>
        </w:rPr>
        <w:t>（一）综合评价情况</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10" w:name="_Toc68703836"/>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（二）评价结论</w:t>
      </w:r>
      <w:bookmarkEnd w:id="10"/>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w:t>
      </w:r>
      <w:r>
        <w:rPr>
          <w:rFonts w:hint="eastAsia" w:ascii="Times New Roman" w:hAnsi="Times New Roman" w:eastAsia="仿宋_GB2312"/>
          <w:b w:val="0"/>
          <w:bCs w:val="0"/>
        </w:rPr>
        <w:t>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11" w:name="_Toc68703837"/>
      <w:r>
        <w:rPr>
          <w:rFonts w:hint="eastAsia" w:ascii="Times New Roman" w:hAnsi="Times New Roman" w:eastAsia="黑体" w:cs="Times New Roman"/>
          <w:bCs/>
          <w:sz w:val="32"/>
          <w:szCs w:val="32"/>
          <w:lang w:val="en-US" w:eastAsia="zh-CN"/>
        </w:rPr>
        <w:t>四、绩效评价指标分析</w:t>
      </w:r>
      <w:bookmarkEnd w:id="11"/>
    </w:p>
    <w:p>
      <w:pPr>
        <w:spacing w:line="560" w:lineRule="exact"/>
        <w:ind w:firstLine="321" w:firstLineChars="100"/>
        <w:rPr>
          <w:rFonts w:hint="eastAsia" w:ascii="Times New Roman" w:hAnsi="Times New Roman" w:eastAsia="楷体_GB2312" w:cs="Times New Roman"/>
          <w:b/>
          <w:bCs/>
          <w:kern w:val="2"/>
          <w:sz w:val="32"/>
          <w:szCs w:val="32"/>
          <w:lang w:val="en-US" w:eastAsia="zh-CN" w:bidi="ar-SA"/>
        </w:rPr>
      </w:pPr>
      <w:bookmarkStart w:id="12" w:name="_Toc68703838"/>
      <w:r>
        <w:rPr>
          <w:rFonts w:hint="eastAsia" w:ascii="Times New Roman" w:hAnsi="Times New Roman" w:eastAsia="楷体_GB2312" w:cs="Times New Roman"/>
          <w:b/>
          <w:bCs/>
          <w:kern w:val="2"/>
          <w:sz w:val="32"/>
          <w:szCs w:val="32"/>
          <w:lang w:val="en-US" w:eastAsia="zh-CN" w:bidi="ar-SA"/>
        </w:rPr>
        <w:t>（一）项目决策情况</w:t>
      </w:r>
      <w:bookmarkEnd w:id="12"/>
    </w:p>
    <w:p>
      <w:pPr>
        <w:pageBreakBefore w:val="0"/>
        <w:widowControl w:val="0"/>
        <w:kinsoku/>
        <w:wordWrap/>
        <w:overflowPunct/>
        <w:topLinePunct w:val="0"/>
        <w:autoSpaceDE/>
        <w:autoSpaceDN/>
        <w:bidi w:val="0"/>
        <w:adjustRightInd/>
        <w:snapToGrid/>
        <w:spacing w:line="560" w:lineRule="exact"/>
        <w:jc w:val="left"/>
        <w:textAlignment w:val="auto"/>
        <w:rPr>
          <w:rFonts w:hint="eastAsia"/>
          <w:b w:val="0"/>
          <w:bCs w:val="0"/>
          <w:sz w:val="32"/>
          <w:szCs w:val="32"/>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项目决策类指标包括项目立项、绩效目标和资金投入三方面的内容，由6个三级指标构成，权重分值为20分，实际得分100分，得分率为100%。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3"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3"/>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本项目总投资94万元，财政资金及时足额到位，到位率100%，预算资金按计划进度执行。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w:t>
      </w:r>
      <w:r>
        <w:rPr>
          <w:rFonts w:hint="eastAsia" w:ascii="仿宋_GB2312" w:hAnsi="仿宋_GB2312" w:cs="仿宋_GB2312"/>
          <w:sz w:val="32"/>
          <w:szCs w:val="32"/>
          <w:lang w:val="en-US" w:eastAsia="zh-CN"/>
        </w:rPr>
        <w:t>94</w:t>
      </w:r>
      <w:r>
        <w:rPr>
          <w:rFonts w:hint="eastAsia" w:ascii="仿宋_GB2312" w:hAnsi="仿宋_GB2312" w:eastAsia="仿宋_GB2312" w:cs="仿宋_GB2312"/>
          <w:sz w:val="32"/>
          <w:szCs w:val="32"/>
          <w:lang w:val="en-US" w:eastAsia="zh-CN"/>
        </w:rPr>
        <w:t>万元，预算执行率为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ind w:firstLine="643" w:firstLineChars="200"/>
        <w:rPr>
          <w:rFonts w:hint="eastAsia" w:ascii="Times New Roman" w:hAnsi="Times New Roman" w:eastAsia="楷体_GB2312" w:cs="Times New Roman"/>
          <w:b/>
          <w:bCs/>
          <w:kern w:val="2"/>
          <w:sz w:val="32"/>
          <w:szCs w:val="32"/>
          <w:lang w:val="en-US" w:eastAsia="zh-CN" w:bidi="ar-SA"/>
        </w:rPr>
      </w:pPr>
      <w:bookmarkStart w:id="14" w:name="_Toc68703840"/>
      <w:r>
        <w:rPr>
          <w:rFonts w:hint="eastAsia" w:ascii="Times New Roman" w:hAnsi="Times New Roman" w:eastAsia="楷体_GB2312" w:cs="Times New Roman"/>
          <w:b/>
          <w:bCs/>
          <w:kern w:val="2"/>
          <w:sz w:val="32"/>
          <w:szCs w:val="32"/>
          <w:lang w:val="en-US" w:eastAsia="zh-CN" w:bidi="ar-SA"/>
        </w:rPr>
        <w:t>（三）项目产出情况</w:t>
      </w:r>
      <w:bookmarkEnd w:id="14"/>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指标1：支付医疗服务收入补差月份数，指标值：=12月，实际完成值</w:t>
      </w:r>
      <w:r>
        <w:rPr>
          <w:rFonts w:hint="eastAsia"/>
          <w:color w:val="auto"/>
          <w:sz w:val="32"/>
          <w:szCs w:val="32"/>
          <w:lang w:eastAsia="zh-CN"/>
        </w:rPr>
        <w:t>：</w:t>
      </w:r>
      <w:r>
        <w:rPr>
          <w:rFonts w:hint="eastAsia"/>
          <w:color w:val="auto"/>
          <w:sz w:val="32"/>
          <w:szCs w:val="32"/>
        </w:rPr>
        <w:t>=12月，指标完成</w:t>
      </w:r>
      <w:r>
        <w:rPr>
          <w:rFonts w:hint="eastAsia"/>
          <w:color w:val="auto"/>
          <w:sz w:val="32"/>
          <w:szCs w:val="32"/>
          <w:lang w:eastAsia="zh-CN"/>
        </w:rPr>
        <w:t>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rPr>
        <w:t>指标2：公立医院医疗服务收入（不含药品、耗材、检查、化验收入）占医疗收入的比例，指标值：&gt;=20%，实际完成值</w:t>
      </w:r>
      <w:r>
        <w:rPr>
          <w:rFonts w:hint="eastAsia"/>
          <w:color w:val="auto"/>
          <w:sz w:val="32"/>
          <w:szCs w:val="32"/>
          <w:lang w:eastAsia="zh-CN"/>
        </w:rPr>
        <w:t>：</w:t>
      </w:r>
      <w:r>
        <w:rPr>
          <w:rFonts w:hint="eastAsia"/>
          <w:color w:val="auto"/>
          <w:sz w:val="32"/>
          <w:szCs w:val="32"/>
        </w:rPr>
        <w:t>=</w:t>
      </w:r>
      <w:r>
        <w:rPr>
          <w:rFonts w:hint="eastAsia"/>
          <w:color w:val="auto"/>
          <w:sz w:val="32"/>
          <w:szCs w:val="32"/>
          <w:lang w:eastAsia="zh-CN"/>
        </w:rPr>
        <w:t>25.31%</w:t>
      </w:r>
      <w:r>
        <w:rPr>
          <w:rFonts w:hint="eastAsia"/>
          <w:color w:val="auto"/>
          <w:sz w:val="32"/>
          <w:szCs w:val="32"/>
        </w:rPr>
        <w:t>，指标完成</w:t>
      </w:r>
      <w:r>
        <w:rPr>
          <w:rFonts w:hint="eastAsia"/>
          <w:color w:val="auto"/>
          <w:sz w:val="32"/>
          <w:szCs w:val="32"/>
          <w:lang w:eastAsia="zh-CN"/>
        </w:rPr>
        <w:t>率</w:t>
      </w:r>
      <w:r>
        <w:rPr>
          <w:rFonts w:hint="eastAsia"/>
          <w:color w:val="auto"/>
          <w:sz w:val="32"/>
          <w:szCs w:val="32"/>
          <w:lang w:val="en-US" w:eastAsia="zh-CN"/>
        </w:rPr>
        <w:t>126.55</w:t>
      </w:r>
      <w:r>
        <w:rPr>
          <w:rFonts w:hint="eastAsia"/>
          <w:color w:val="auto"/>
          <w:sz w:val="32"/>
          <w:szCs w:val="32"/>
        </w:rPr>
        <w:t>%，偏差原因：1.偏差原因：药品耗材检查占医疗收入比例较高，医疗服务收入较少；2.改进措施：努力提高医疗服务质量，增加医疗收</w:t>
      </w:r>
      <w:r>
        <w:rPr>
          <w:rFonts w:hint="eastAsia"/>
          <w:color w:val="auto"/>
          <w:sz w:val="32"/>
          <w:szCs w:val="32"/>
          <w:lang w:val="en-US" w:eastAsia="zh-CN"/>
        </w:rPr>
        <w:t>入。</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医疗服务收入补差覆盖率，指标值</w:t>
      </w:r>
      <w:r>
        <w:rPr>
          <w:rFonts w:hint="eastAsia"/>
          <w:color w:val="auto"/>
          <w:sz w:val="32"/>
          <w:szCs w:val="32"/>
          <w:lang w:eastAsia="zh-CN"/>
        </w:rPr>
        <w:t>：</w:t>
      </w:r>
      <w:r>
        <w:rPr>
          <w:rFonts w:hint="eastAsia"/>
          <w:color w:val="auto"/>
          <w:sz w:val="32"/>
          <w:szCs w:val="32"/>
        </w:rPr>
        <w:t>=100%，实际完成值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指标1：公立医院改革补助资金支付完成时间，指标值：=2023年12月25号，实际完成值</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=2023年10月30日，指标完成率100%。</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bookmarkStart w:id="15" w:name="_Toc68703841"/>
      <w:r>
        <w:rPr>
          <w:rFonts w:hint="eastAsia" w:ascii="Times New Roman" w:hAnsi="Times New Roman" w:eastAsia="仿宋_GB2312" w:cs="Times New Roman"/>
          <w:b w:val="0"/>
          <w:bCs w:val="0"/>
          <w:color w:val="auto"/>
          <w:kern w:val="2"/>
          <w:sz w:val="32"/>
          <w:szCs w:val="32"/>
          <w:lang w:val="en-US" w:eastAsia="zh-CN" w:bidi="ar-SA"/>
        </w:rPr>
        <w:fldChar w:fldCharType="begin"/>
      </w:r>
      <w:r>
        <w:rPr>
          <w:rFonts w:hint="eastAsia" w:ascii="Times New Roman" w:hAnsi="Times New Roman" w:eastAsia="仿宋_GB2312" w:cs="Times New Roman"/>
          <w:b w:val="0"/>
          <w:bCs w:val="0"/>
          <w:color w:val="auto"/>
          <w:kern w:val="2"/>
          <w:sz w:val="32"/>
          <w:szCs w:val="32"/>
          <w:lang w:val="en-US" w:eastAsia="zh-CN" w:bidi="ar-SA"/>
        </w:rPr>
        <w:instrText xml:space="preserve"> = 4 \* GB3 </w:instrText>
      </w:r>
      <w:r>
        <w:rPr>
          <w:rFonts w:hint="eastAsia" w:ascii="Times New Roman" w:hAnsi="Times New Roman" w:eastAsia="仿宋_GB2312" w:cs="Times New Roman"/>
          <w:b w:val="0"/>
          <w:bCs w:val="0"/>
          <w:color w:val="auto"/>
          <w:kern w:val="2"/>
          <w:sz w:val="32"/>
          <w:szCs w:val="32"/>
          <w:lang w:val="en-US" w:eastAsia="zh-CN" w:bidi="ar-SA"/>
        </w:rPr>
        <w:fldChar w:fldCharType="separate"/>
      </w:r>
      <w:r>
        <w:rPr>
          <w:rFonts w:hint="eastAsia" w:ascii="Times New Roman" w:hAnsi="Times New Roman" w:eastAsia="仿宋_GB2312" w:cs="Times New Roman"/>
          <w:b w:val="0"/>
          <w:bCs w:val="0"/>
          <w:color w:val="auto"/>
          <w:kern w:val="2"/>
          <w:sz w:val="32"/>
          <w:szCs w:val="32"/>
          <w:lang w:val="en-US" w:eastAsia="zh-CN" w:bidi="ar-SA"/>
        </w:rPr>
        <w:t>④</w:t>
      </w:r>
      <w:r>
        <w:rPr>
          <w:rFonts w:hint="eastAsia" w:ascii="Times New Roman" w:hAnsi="Times New Roman" w:eastAsia="仿宋_GB2312" w:cs="Times New Roman"/>
          <w:b w:val="0"/>
          <w:bCs w:val="0"/>
          <w:color w:val="auto"/>
          <w:kern w:val="2"/>
          <w:sz w:val="32"/>
          <w:szCs w:val="32"/>
          <w:lang w:val="en-US" w:eastAsia="zh-CN" w:bidi="ar-SA"/>
        </w:rPr>
        <w:fldChar w:fldCharType="end"/>
      </w:r>
      <w:r>
        <w:rPr>
          <w:rFonts w:hint="eastAsia" w:ascii="Times New Roman" w:hAnsi="Times New Roman" w:eastAsia="仿宋_GB2312" w:cs="Times New Roman"/>
          <w:b w:val="0"/>
          <w:bCs w:val="0"/>
          <w:color w:val="auto"/>
          <w:kern w:val="2"/>
          <w:sz w:val="32"/>
          <w:szCs w:val="32"/>
          <w:lang w:val="en-US" w:eastAsia="zh-CN" w:bidi="ar-SA"/>
        </w:rPr>
        <w:t>成本指标：</w:t>
      </w:r>
    </w:p>
    <w:p>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指标1：医疗服务收入平均每月补差成本，指标值：&lt;=7.83万元/月，实际完成值：</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7.83万元/月，指标完成率100%。</w:t>
      </w:r>
    </w:p>
    <w:p>
      <w:pPr>
        <w:pStyle w:val="2"/>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5"/>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w:t>
      </w:r>
      <w:r>
        <w:rPr>
          <w:rFonts w:hint="eastAsia" w:ascii="仿宋_GB2312" w:hAnsi="仿宋_GB2312" w:eastAsia="仿宋_GB2312" w:cs="仿宋_GB2312"/>
          <w:sz w:val="32"/>
          <w:szCs w:val="32"/>
          <w:lang w:val="en-US" w:eastAsia="zh-CN"/>
        </w:rPr>
        <w:t>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指标1：医疗服务覆盖人口数量，指标值：&gt;=6.5万人，实际完成值</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6.5万人</w:t>
      </w:r>
      <w:r>
        <w:rPr>
          <w:rFonts w:hint="eastAsia" w:ascii="Times New Roman" w:hAnsi="Times New Roman" w:eastAsia="仿宋_GB2312" w:cs="Times New Roman"/>
          <w:b w:val="0"/>
          <w:bCs w:val="0"/>
          <w:color w:val="auto"/>
          <w:kern w:val="2"/>
          <w:sz w:val="32"/>
          <w:szCs w:val="32"/>
          <w:lang w:val="en-US" w:eastAsia="zh-CN" w:bidi="ar-SA"/>
        </w:rPr>
        <w:t>，指标完成率100%。</w:t>
      </w:r>
    </w:p>
    <w:p>
      <w:pPr>
        <w:shd w:val="clear"/>
        <w:spacing w:line="600" w:lineRule="exact"/>
        <w:ind w:firstLine="640" w:firstLineChars="200"/>
        <w:outlineLvl w:val="0"/>
        <w:rPr>
          <w:rFonts w:hint="eastAsia"/>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指标</w:t>
      </w:r>
      <w:r>
        <w:rPr>
          <w:rFonts w:hint="eastAsia" w:cs="Times New Roman"/>
          <w:b w:val="0"/>
          <w:bCs w:val="0"/>
          <w:color w:val="auto"/>
          <w:kern w:val="2"/>
          <w:sz w:val="32"/>
          <w:szCs w:val="32"/>
          <w:highlight w:val="none"/>
          <w:lang w:val="en-US" w:eastAsia="zh-CN" w:bidi="ar-SA"/>
        </w:rPr>
        <w:t>2</w:t>
      </w:r>
      <w:r>
        <w:rPr>
          <w:rFonts w:hint="eastAsia" w:ascii="Times New Roman" w:hAnsi="Times New Roman" w:eastAsia="仿宋_GB2312" w:cs="Times New Roman"/>
          <w:b w:val="0"/>
          <w:bCs w:val="0"/>
          <w:color w:val="auto"/>
          <w:kern w:val="2"/>
          <w:sz w:val="32"/>
          <w:szCs w:val="32"/>
          <w:highlight w:val="none"/>
          <w:lang w:val="en-US" w:eastAsia="zh-CN" w:bidi="ar-SA"/>
        </w:rPr>
        <w:t>：促进医疗卫生服务水平提升，指标值：</w:t>
      </w:r>
      <w:r>
        <w:rPr>
          <w:rFonts w:hint="eastAsia" w:cs="Times New Roman"/>
          <w:b w:val="0"/>
          <w:bCs w:val="0"/>
          <w:color w:val="auto"/>
          <w:kern w:val="2"/>
          <w:sz w:val="32"/>
          <w:szCs w:val="32"/>
          <w:highlight w:val="none"/>
          <w:lang w:val="en-US" w:eastAsia="zh-CN" w:bidi="ar-SA"/>
        </w:rPr>
        <w:t>有效提高</w:t>
      </w:r>
      <w:r>
        <w:rPr>
          <w:rFonts w:hint="eastAsia" w:ascii="Times New Roman" w:hAnsi="Times New Roman" w:eastAsia="仿宋_GB2312" w:cs="Times New Roman"/>
          <w:b w:val="0"/>
          <w:bCs w:val="0"/>
          <w:color w:val="auto"/>
          <w:kern w:val="2"/>
          <w:sz w:val="32"/>
          <w:szCs w:val="32"/>
          <w:highlight w:val="none"/>
          <w:lang w:val="en-US" w:eastAsia="zh-CN" w:bidi="ar-SA"/>
        </w:rPr>
        <w:t>，实际完成值</w:t>
      </w:r>
      <w:r>
        <w:rPr>
          <w:rFonts w:hint="eastAsia" w:cs="Times New Roman"/>
          <w:b w:val="0"/>
          <w:bCs w:val="0"/>
          <w:color w:val="auto"/>
          <w:kern w:val="2"/>
          <w:sz w:val="32"/>
          <w:szCs w:val="32"/>
          <w:highlight w:val="none"/>
          <w:lang w:val="en-US" w:eastAsia="zh-CN" w:bidi="ar-SA"/>
        </w:rPr>
        <w:t>：有效提高</w:t>
      </w:r>
      <w:r>
        <w:rPr>
          <w:rFonts w:hint="eastAsia" w:ascii="Times New Roman" w:hAnsi="Times New Roman" w:eastAsia="仿宋_GB2312" w:cs="Times New Roman"/>
          <w:b w:val="0"/>
          <w:bCs w:val="0"/>
          <w:color w:val="auto"/>
          <w:kern w:val="2"/>
          <w:sz w:val="32"/>
          <w:szCs w:val="32"/>
          <w:highlight w:val="none"/>
          <w:lang w:val="en-US" w:eastAsia="zh-CN" w:bidi="ar-SA"/>
        </w:rPr>
        <w:t>，指标完成率100%。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指标1：患者满意度，指标值：&gt;=95%，实际完成值</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=95</w:t>
      </w:r>
      <w:r>
        <w:rPr>
          <w:rFonts w:hint="eastAsia"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万人</w:t>
      </w:r>
      <w:r>
        <w:rPr>
          <w:rFonts w:hint="eastAsia" w:ascii="Times New Roman" w:hAnsi="Times New Roman" w:eastAsia="仿宋_GB2312" w:cs="Times New Roman"/>
          <w:b w:val="0"/>
          <w:bCs w:val="0"/>
          <w:color w:val="auto"/>
          <w:kern w:val="2"/>
          <w:sz w:val="32"/>
          <w:szCs w:val="32"/>
          <w:lang w:val="en-US" w:eastAsia="zh-CN" w:bidi="ar-SA"/>
        </w:rPr>
        <w:t>，指标完成</w:t>
      </w:r>
      <w:r>
        <w:rPr>
          <w:rFonts w:hint="eastAsia" w:ascii="Times New Roman" w:hAnsi="Times New Roman" w:eastAsia="仿宋_GB2312" w:cs="Times New Roman"/>
          <w:b w:val="0"/>
          <w:bCs w:val="0"/>
          <w:color w:val="auto"/>
          <w:kern w:val="2"/>
          <w:sz w:val="32"/>
          <w:szCs w:val="32"/>
          <w:highlight w:val="none"/>
          <w:lang w:val="en-US" w:eastAsia="zh-CN" w:bidi="ar-SA"/>
        </w:rPr>
        <w:t>率10</w:t>
      </w:r>
      <w:r>
        <w:rPr>
          <w:rFonts w:hint="eastAsia" w:cs="Times New Roman"/>
          <w:b w:val="0"/>
          <w:bCs w:val="0"/>
          <w:color w:val="auto"/>
          <w:kern w:val="2"/>
          <w:sz w:val="32"/>
          <w:szCs w:val="32"/>
          <w:highlight w:val="none"/>
          <w:lang w:val="en-US" w:eastAsia="zh-CN" w:bidi="ar-SA"/>
        </w:rPr>
        <w:t>5.78</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highlight w:val="yellow"/>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w:t>
      </w:r>
      <w:r>
        <w:rPr>
          <w:rFonts w:hint="eastAsia"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：患者满意度，指标值：&gt;=95%，实际完成值</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=95</w:t>
      </w:r>
      <w:r>
        <w:rPr>
          <w:rFonts w:hint="eastAsia" w:cs="Times New Roman"/>
          <w:b w:val="0"/>
          <w:bCs w:val="0"/>
          <w:color w:val="auto"/>
          <w:kern w:val="2"/>
          <w:sz w:val="32"/>
          <w:szCs w:val="32"/>
          <w:lang w:val="en-US" w:eastAsia="zh-CN" w:bidi="ar-SA"/>
        </w:rPr>
        <w:t>.2</w:t>
      </w:r>
      <w:r>
        <w:rPr>
          <w:rFonts w:hint="eastAsia" w:ascii="Times New Roman" w:hAnsi="Times New Roman" w:eastAsia="仿宋_GB2312" w:cs="Times New Roman"/>
          <w:b w:val="0"/>
          <w:bCs w:val="0"/>
          <w:color w:val="auto"/>
          <w:kern w:val="2"/>
          <w:sz w:val="32"/>
          <w:szCs w:val="32"/>
          <w:lang w:val="en-US" w:eastAsia="zh-CN" w:bidi="ar-SA"/>
        </w:rPr>
        <w:t>%</w:t>
      </w:r>
      <w:r>
        <w:rPr>
          <w:rFonts w:hint="eastAsia" w:cs="Times New Roman"/>
          <w:b w:val="0"/>
          <w:bCs w:val="0"/>
          <w:color w:val="auto"/>
          <w:kern w:val="2"/>
          <w:sz w:val="32"/>
          <w:szCs w:val="32"/>
          <w:lang w:val="en-US" w:eastAsia="zh-CN" w:bidi="ar-SA"/>
        </w:rPr>
        <w:t>万人</w:t>
      </w:r>
      <w:r>
        <w:rPr>
          <w:rFonts w:hint="eastAsia" w:ascii="Times New Roman" w:hAnsi="Times New Roman" w:eastAsia="仿宋_GB2312" w:cs="Times New Roman"/>
          <w:b w:val="0"/>
          <w:bCs w:val="0"/>
          <w:color w:val="auto"/>
          <w:kern w:val="2"/>
          <w:sz w:val="32"/>
          <w:szCs w:val="32"/>
          <w:lang w:val="en-US" w:eastAsia="zh-CN" w:bidi="ar-SA"/>
        </w:rPr>
        <w:t>，指标完</w:t>
      </w:r>
      <w:r>
        <w:rPr>
          <w:rFonts w:hint="eastAsia" w:ascii="Times New Roman" w:hAnsi="Times New Roman" w:eastAsia="仿宋_GB2312" w:cs="Times New Roman"/>
          <w:b w:val="0"/>
          <w:bCs w:val="0"/>
          <w:color w:val="auto"/>
          <w:kern w:val="2"/>
          <w:sz w:val="32"/>
          <w:szCs w:val="32"/>
          <w:highlight w:val="none"/>
          <w:lang w:val="en-US" w:eastAsia="zh-CN" w:bidi="ar-SA"/>
        </w:rPr>
        <w:t>成率10</w:t>
      </w:r>
      <w:r>
        <w:rPr>
          <w:rFonts w:hint="eastAsia" w:cs="Times New Roman"/>
          <w:b w:val="0"/>
          <w:bCs w:val="0"/>
          <w:color w:val="auto"/>
          <w:kern w:val="2"/>
          <w:sz w:val="32"/>
          <w:szCs w:val="32"/>
          <w:highlight w:val="none"/>
          <w:lang w:val="en-US" w:eastAsia="zh-CN" w:bidi="ar-SA"/>
        </w:rPr>
        <w:t>5.78%</w:t>
      </w:r>
      <w:r>
        <w:rPr>
          <w:rFonts w:hint="eastAsia" w:ascii="Times New Roman" w:hAnsi="Times New Roman" w:eastAsia="仿宋_GB2312" w:cs="Times New Roman"/>
          <w:b w:val="0"/>
          <w:bCs w:val="0"/>
          <w:color w:val="auto"/>
          <w:kern w:val="2"/>
          <w:sz w:val="32"/>
          <w:szCs w:val="32"/>
          <w:highlight w:val="none"/>
          <w:lang w:val="en-US" w:eastAsia="zh-CN" w:bidi="ar-SA"/>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pPr>
      <w:r>
        <w:rPr>
          <w:rFonts w:hint="eastAsia" w:ascii="仿宋_GB2312" w:hAnsi="仿宋_GB2312" w:cs="仿宋_GB2312"/>
          <w:kern w:val="2"/>
          <w:sz w:val="32"/>
          <w:szCs w:val="32"/>
          <w:lang w:val="en-US" w:eastAsia="zh-CN" w:bidi="ar-SA"/>
        </w:rPr>
        <w:t>　　</w:t>
      </w:r>
      <w:r>
        <w:rPr>
          <w:rFonts w:hint="eastAsia" w:ascii="仿宋_GB2312" w:hAnsi="仿宋_GB2312" w:eastAsia="仿宋_GB2312" w:cs="仿宋_GB2312"/>
          <w:kern w:val="2"/>
          <w:sz w:val="32"/>
          <w:szCs w:val="32"/>
          <w:lang w:val="en-US" w:eastAsia="zh-CN" w:bidi="ar-SA"/>
        </w:rPr>
        <w:t>2023年中央财政医疗服务与保障能力提升（公立医院综合改革）补助资金项目年初预算</w:t>
      </w:r>
      <w:r>
        <w:rPr>
          <w:rFonts w:hint="eastAsia" w:ascii="仿宋_GB2312" w:hAnsi="仿宋_GB2312" w:cs="仿宋_GB2312"/>
          <w:kern w:val="2"/>
          <w:sz w:val="32"/>
          <w:szCs w:val="32"/>
          <w:lang w:val="en-US" w:eastAsia="zh-CN" w:bidi="ar-SA"/>
        </w:rPr>
        <w:t>94</w:t>
      </w:r>
      <w:r>
        <w:rPr>
          <w:rFonts w:hint="eastAsia" w:ascii="仿宋_GB2312" w:hAnsi="仿宋_GB2312" w:eastAsia="仿宋_GB2312" w:cs="仿宋_GB2312"/>
          <w:kern w:val="2"/>
          <w:sz w:val="32"/>
          <w:szCs w:val="32"/>
          <w:lang w:val="en-US" w:eastAsia="zh-CN" w:bidi="ar-SA"/>
        </w:rPr>
        <w:t>万元，全年预算</w:t>
      </w:r>
      <w:r>
        <w:rPr>
          <w:rFonts w:hint="eastAsia" w:ascii="仿宋_GB2312" w:hAnsi="仿宋_GB2312" w:cs="仿宋_GB2312"/>
          <w:kern w:val="2"/>
          <w:sz w:val="32"/>
          <w:szCs w:val="32"/>
          <w:lang w:val="en-US" w:eastAsia="zh-CN" w:bidi="ar-SA"/>
        </w:rPr>
        <w:t>94</w:t>
      </w:r>
      <w:r>
        <w:rPr>
          <w:rFonts w:hint="eastAsia" w:ascii="仿宋_GB2312" w:hAnsi="仿宋_GB2312" w:eastAsia="仿宋_GB2312" w:cs="仿宋_GB2312"/>
          <w:kern w:val="2"/>
          <w:sz w:val="32"/>
          <w:szCs w:val="32"/>
          <w:lang w:val="en-US" w:eastAsia="zh-CN" w:bidi="ar-SA"/>
        </w:rPr>
        <w:t>万元，实际支出94万元，预算执行率为100%，项目绩效指标总体完成率为</w:t>
      </w:r>
      <w:r>
        <w:rPr>
          <w:rFonts w:hint="eastAsia" w:ascii="仿宋_GB2312" w:hAnsi="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w:t>
      </w:r>
      <w:r>
        <w:rPr>
          <w:rFonts w:hint="eastAsia" w:ascii="仿宋_GB2312" w:hAnsi="仿宋_GB2312" w:cs="仿宋_GB2312"/>
          <w:kern w:val="2"/>
          <w:sz w:val="32"/>
          <w:szCs w:val="32"/>
          <w:lang w:val="en-US" w:eastAsia="zh-CN" w:bidi="ar-SA"/>
        </w:rPr>
        <w:t>0。</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6"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6"/>
    </w:p>
    <w:p>
      <w:pPr>
        <w:spacing w:line="560" w:lineRule="exact"/>
        <w:ind w:firstLine="321" w:firstLineChars="100"/>
        <w:rPr>
          <w:rFonts w:hint="eastAsia" w:ascii="Times New Roman" w:hAnsi="Times New Roman" w:eastAsia="楷体_GB2312" w:cs="Times New Roman"/>
          <w:b/>
          <w:bCs/>
          <w:kern w:val="2"/>
          <w:sz w:val="32"/>
          <w:szCs w:val="32"/>
          <w:lang w:val="en-US" w:eastAsia="zh-CN" w:bidi="ar-SA"/>
        </w:rPr>
      </w:pPr>
      <w:bookmarkStart w:id="17" w:name="_Toc68703843"/>
      <w:r>
        <w:rPr>
          <w:rFonts w:hint="eastAsia" w:ascii="Times New Roman" w:hAnsi="Times New Roman" w:eastAsia="楷体_GB2312" w:cs="Times New Roman"/>
          <w:b/>
          <w:bCs/>
          <w:kern w:val="2"/>
          <w:sz w:val="32"/>
          <w:szCs w:val="32"/>
          <w:lang w:val="en-US" w:eastAsia="zh-CN" w:bidi="ar-SA"/>
        </w:rPr>
        <w:t>（一）主要经验及做法</w:t>
      </w:r>
      <w:bookmarkEnd w:id="17"/>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Start w:id="18" w:name="_Toc68703844"/>
    </w:p>
    <w:p>
      <w:pPr>
        <w:pStyle w:val="2"/>
        <w:spacing w:before="0" w:after="0" w:line="560" w:lineRule="exact"/>
        <w:ind w:firstLine="643" w:firstLineChars="200"/>
        <w:jc w:val="left"/>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（二）存在的问题及原因分析</w:t>
      </w:r>
      <w:bookmarkEnd w:id="18"/>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bookmarkStart w:id="19" w:name="_Toc68703845"/>
    </w:p>
    <w:p>
      <w:pPr>
        <w:shd w:val="clear"/>
        <w:spacing w:line="600" w:lineRule="exact"/>
        <w:ind w:firstLine="640" w:firstLineChars="200"/>
        <w:outlineLvl w:val="0"/>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9"/>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20" w:name="_Toc68703846"/>
    </w:p>
    <w:p>
      <w:pPr>
        <w:shd w:val="clear"/>
        <w:spacing w:line="60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eastAsia="仿宋"/>
          <w:sz w:val="32"/>
          <w:szCs w:val="32"/>
          <w:lang w:eastAsia="zh-CN"/>
        </w:rPr>
      </w:pPr>
      <w:r>
        <w:rPr>
          <w:rFonts w:hint="eastAsia" w:ascii="仿宋" w:eastAsia="仿宋"/>
          <w:sz w:val="32"/>
          <w:szCs w:val="32"/>
          <w:lang w:eastAsia="zh-CN"/>
        </w:rPr>
        <w:t>资金监管不到位，内控制度不完善导致，</w:t>
      </w:r>
      <w:r>
        <w:rPr>
          <w:rFonts w:hint="eastAsia" w:ascii="仿宋_GB2312" w:hAnsi="仿宋_GB2312" w:eastAsia="仿宋_GB2312" w:cs="仿宋_GB2312"/>
          <w:b w:val="0"/>
          <w:bCs w:val="0"/>
          <w:kern w:val="2"/>
          <w:sz w:val="32"/>
          <w:szCs w:val="32"/>
          <w:lang w:val="en-US" w:eastAsia="zh-CN" w:bidi="ar-SA"/>
        </w:rPr>
        <w:t>霍尔果斯市人民医院党支部纪检委员要加强对项目建设的事前、事中、事后监管，任何单位和个人不得以任何形式滞留或挪用项目资金。对于工作中弄虚作假、管理混乱等行为，一经查实，严肃处理。并追究主要领导和当事人责任。</w:t>
      </w:r>
    </w:p>
    <w:p>
      <w:pPr>
        <w:rPr>
          <w:rFonts w:hint="eastAsia"/>
        </w:rPr>
      </w:pPr>
    </w:p>
    <w:p>
      <w:pPr>
        <w:rPr>
          <w:rFonts w:hint="eastAsia" w:eastAsia="宋体"/>
          <w:lang w:eastAsia="zh-CN"/>
        </w:rPr>
      </w:pPr>
    </w:p>
    <w:p>
      <w:pPr>
        <w:pageBreakBefore w:val="0"/>
        <w:widowControl w:val="0"/>
        <w:kinsoku/>
        <w:wordWrap/>
        <w:overflowPunct/>
        <w:topLinePunct w:val="0"/>
        <w:autoSpaceDE/>
        <w:autoSpaceDN/>
        <w:bidi w:val="0"/>
        <w:adjustRightInd/>
        <w:snapToGrid/>
        <w:spacing w:line="560" w:lineRule="exact"/>
        <w:textAlignment w:val="auto"/>
      </w:pPr>
      <w:r>
        <w:rPr>
          <w:rFonts w:hint="eastAsia" w:ascii="仿宋_GB2312" w:hAnsi="仿宋_GB2312" w:cs="仿宋_GB2312"/>
          <w:sz w:val="32"/>
          <w:szCs w:val="32"/>
          <w:lang w:eastAsia="zh-CN"/>
        </w:rPr>
        <w:t>　</w:t>
      </w:r>
      <w:bookmarkStart w:id="23" w:name="_GoBack"/>
      <w:bookmarkEnd w:id="23"/>
    </w:p>
    <w:p/>
    <w:tbl>
      <w:tblPr>
        <w:tblStyle w:val="11"/>
        <w:tblpPr w:leftFromText="180" w:rightFromText="180" w:vertAnchor="text" w:horzAnchor="page" w:tblpX="1283" w:tblpY="842"/>
        <w:tblOverlap w:val="never"/>
        <w:tblW w:w="8834" w:type="dxa"/>
        <w:tblInd w:w="0" w:type="dxa"/>
        <w:tblLayout w:type="fixed"/>
        <w:tblCellMar>
          <w:top w:w="0" w:type="dxa"/>
          <w:left w:w="0" w:type="dxa"/>
          <w:bottom w:w="0" w:type="dxa"/>
          <w:right w:w="0" w:type="dxa"/>
        </w:tblCellMar>
      </w:tblPr>
      <w:tblGrid>
        <w:gridCol w:w="650"/>
        <w:gridCol w:w="651"/>
        <w:gridCol w:w="650"/>
        <w:gridCol w:w="651"/>
        <w:gridCol w:w="606"/>
        <w:gridCol w:w="379"/>
        <w:gridCol w:w="905"/>
        <w:gridCol w:w="804"/>
        <w:gridCol w:w="525"/>
        <w:gridCol w:w="469"/>
        <w:gridCol w:w="534"/>
        <w:gridCol w:w="370"/>
        <w:gridCol w:w="426"/>
        <w:gridCol w:w="1214"/>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533"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2023年中央财政医疗服务与保障能力提升（公立医院综合改革）补助资金</w:t>
            </w:r>
          </w:p>
        </w:tc>
      </w:tr>
      <w:tr>
        <w:tblPrEx>
          <w:tblLayout w:type="fixed"/>
          <w:tblCellMar>
            <w:top w:w="0" w:type="dxa"/>
            <w:left w:w="0" w:type="dxa"/>
            <w:bottom w:w="0" w:type="dxa"/>
            <w:right w:w="0" w:type="dxa"/>
          </w:tblCellMar>
        </w:tblPrEx>
        <w:trPr>
          <w:trHeight w:val="276" w:hRule="atLeast"/>
        </w:trPr>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19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霍尔果斯市人民医院</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301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霍尔果斯市人民医院</w:t>
            </w:r>
          </w:p>
        </w:tc>
      </w:tr>
      <w:tr>
        <w:tblPrEx>
          <w:tblLayout w:type="fixed"/>
          <w:tblCellMar>
            <w:top w:w="0" w:type="dxa"/>
            <w:left w:w="0" w:type="dxa"/>
            <w:bottom w:w="0" w:type="dxa"/>
            <w:right w:w="0" w:type="dxa"/>
          </w:tblCellMar>
        </w:tblPrEx>
        <w:trPr>
          <w:trHeight w:val="276" w:hRule="atLeast"/>
        </w:trPr>
        <w:tc>
          <w:tcPr>
            <w:tcW w:w="13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执行率</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94.00</w:t>
            </w:r>
          </w:p>
        </w:tc>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94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94.00</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100.00%</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3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94</w:t>
            </w:r>
          </w:p>
        </w:tc>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94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94</w:t>
            </w: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384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34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384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1、公立医院医疗服务收入（不含药品、耗材、检查、化验收入）占医疗收入的比例大于25.31%；2、不断提高本院医疗卫生服务水平，为6.5万辖区人员提供医疗卫生服务和保障。</w:t>
            </w:r>
          </w:p>
        </w:tc>
        <w:tc>
          <w:tcPr>
            <w:tcW w:w="434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完成公立医院医疗服务收入（不含药品、耗材、检查、化验收入）占医疗收入的比例大于25.31%；2、购置了数据库当年维保服务和信息化软件政策性接口服务完成了食源性疾病病例检测接口医保电子处方外配接口卫统4-3上传接口家庭医生签约接口等医保要求接口完成了各单位要求的任务指标保障的医院数据库的平稳使用不断提高了公立医院医疗服务能力；3、不断提高本院医疗卫生服务水平加强医护人员专业素养不断加强人才队伍建设。</w:t>
            </w:r>
          </w:p>
        </w:tc>
      </w:tr>
      <w:tr>
        <w:tblPrEx>
          <w:tblLayout w:type="fixed"/>
          <w:tblCellMar>
            <w:top w:w="0" w:type="dxa"/>
            <w:left w:w="0" w:type="dxa"/>
            <w:bottom w:w="0" w:type="dxa"/>
            <w:right w:w="0" w:type="dxa"/>
          </w:tblCellMar>
        </w:tblPrEx>
        <w:trPr>
          <w:trHeight w:val="408"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p>
        </w:tc>
        <w:tc>
          <w:tcPr>
            <w:tcW w:w="4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3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4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pPr>
          </w:p>
        </w:tc>
        <w:tc>
          <w:tcPr>
            <w:tcW w:w="1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08"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58" w:hRule="atLeast"/>
        </w:trPr>
        <w:tc>
          <w:tcPr>
            <w:tcW w:w="65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支付医疗服务收入补差月份数</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=12月</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12月</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2604" w:hRule="atLeast"/>
        </w:trPr>
        <w:tc>
          <w:tcPr>
            <w:tcW w:w="65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公立医院医疗服务收入（不含药品、耗材、检查、化验收入）占医疗收入的比例</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&gt;=20%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25.31%</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1.偏差原因：药品耗材检查占医疗收入比例较高，医疗服务收入较少；2.改进措施：努力提高医疗服务质量，增加医疗收入</w:t>
            </w:r>
          </w:p>
        </w:tc>
      </w:tr>
      <w:tr>
        <w:tblPrEx>
          <w:tblLayout w:type="fixed"/>
          <w:tblCellMar>
            <w:top w:w="0" w:type="dxa"/>
            <w:left w:w="0" w:type="dxa"/>
            <w:bottom w:w="0" w:type="dxa"/>
            <w:right w:w="0" w:type="dxa"/>
          </w:tblCellMar>
        </w:tblPrEx>
        <w:trPr>
          <w:trHeight w:val="620" w:hRule="atLeast"/>
        </w:trPr>
        <w:tc>
          <w:tcPr>
            <w:tcW w:w="65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医疗服务收入补差覆盖率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258" w:hRule="atLeast"/>
        </w:trPr>
        <w:tc>
          <w:tcPr>
            <w:tcW w:w="65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公立医院改革补助资金支付完成时间</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=2023年12月25号</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=2023年10月30日</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5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医疗服务收入平均每月补差成本</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&lt;=7.83万元/月</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7.83万元/月</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46" w:hRule="atLeast"/>
        </w:trPr>
        <w:tc>
          <w:tcPr>
            <w:tcW w:w="650" w:type="dxa"/>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效益指标</w:t>
            </w:r>
          </w:p>
          <w:p>
            <w:pPr>
              <w:jc w:val="center"/>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社会效益指标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医疗服务覆盖人口数量</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&gt;=6.5万人</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6.5万人</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lang w:val="en-US" w:eastAsia="zh-CN"/>
              </w:rPr>
            </w:pPr>
            <w:r>
              <w:rPr>
                <w:rFonts w:hint="eastAsia" w:ascii="宋体" w:hAnsi="宋体" w:eastAsia="宋体" w:cs="宋体"/>
                <w:i w:val="0"/>
                <w:color w:val="000000"/>
                <w:kern w:val="0"/>
                <w:sz w:val="20"/>
                <w:szCs w:val="20"/>
                <w:u w:val="none"/>
                <w:lang w:val="en-US" w:eastAsia="zh-CN" w:bidi="ar"/>
              </w:rPr>
              <w:t>10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96" w:hRule="atLeast"/>
        </w:trPr>
        <w:tc>
          <w:tcPr>
            <w:tcW w:w="650"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促进医疗卫生服务水平提升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有效促进</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有效促进</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10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lang w:val="en-US" w:eastAsia="zh-CN"/>
              </w:rPr>
            </w:pPr>
            <w:r>
              <w:rPr>
                <w:rFonts w:hint="eastAsia" w:ascii="宋体" w:hAnsi="宋体" w:eastAsia="宋体" w:cs="宋体"/>
                <w:i w:val="0"/>
                <w:color w:val="000000"/>
                <w:kern w:val="0"/>
                <w:sz w:val="20"/>
                <w:szCs w:val="20"/>
                <w:u w:val="none"/>
                <w:lang w:val="en-US" w:eastAsia="zh-CN" w:bidi="ar"/>
              </w:rPr>
              <w:t>10</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734"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满意度指标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患者满意度</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r>
              <w:rPr>
                <w:rFonts w:hint="eastAsia" w:ascii="Times New Roman" w:hAnsi="Times New Roman" w:eastAsia="宋体" w:cs="Times New Roman"/>
                <w:kern w:val="0"/>
                <w:sz w:val="18"/>
                <w:szCs w:val="18"/>
                <w:lang w:val="en-US" w:eastAsia="zh-CN" w:bidi="ar"/>
              </w:rPr>
              <w:t>.2</w:t>
            </w:r>
            <w:r>
              <w:rPr>
                <w:rFonts w:hint="eastAsia" w:ascii="Times New Roman" w:hAnsi="Times New Roman" w:eastAsia="宋体" w:cs="Times New Roman"/>
                <w:kern w:val="0"/>
                <w:sz w:val="18"/>
                <w:szCs w:val="18"/>
                <w:lang w:bidi="ar"/>
              </w:rPr>
              <w:t>%</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5</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lang w:val="en-US" w:eastAsia="zh-CN"/>
              </w:rPr>
            </w:pPr>
            <w:r>
              <w:rPr>
                <w:rFonts w:hint="eastAsia" w:ascii="宋体" w:hAnsi="宋体" w:eastAsia="宋体" w:cs="宋体"/>
                <w:i w:val="0"/>
                <w:color w:val="000000"/>
                <w:kern w:val="0"/>
                <w:sz w:val="20"/>
                <w:szCs w:val="20"/>
                <w:u w:val="none"/>
                <w:lang w:val="en-US" w:eastAsia="zh-CN" w:bidi="ar"/>
              </w:rPr>
              <w:t>5</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6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医护人员满意度</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&gt;=95%</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95</w:t>
            </w:r>
            <w:r>
              <w:rPr>
                <w:rFonts w:hint="eastAsia" w:ascii="Times New Roman" w:hAnsi="Times New Roman" w:eastAsia="宋体" w:cs="Times New Roman"/>
                <w:kern w:val="0"/>
                <w:sz w:val="18"/>
                <w:szCs w:val="18"/>
                <w:lang w:val="en-US" w:eastAsia="zh-CN" w:bidi="ar"/>
              </w:rPr>
              <w:t>.2</w:t>
            </w:r>
            <w:r>
              <w:rPr>
                <w:rFonts w:hint="eastAsia" w:ascii="Times New Roman" w:hAnsi="Times New Roman" w:eastAsia="宋体" w:cs="Times New Roman"/>
                <w:kern w:val="0"/>
                <w:sz w:val="18"/>
                <w:szCs w:val="18"/>
                <w:lang w:bidi="ar"/>
              </w:rPr>
              <w:t>%</w:t>
            </w:r>
          </w:p>
        </w:tc>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5</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lang w:val="en-US" w:eastAsia="zh-CN"/>
              </w:rPr>
            </w:pPr>
            <w:r>
              <w:rPr>
                <w:rFonts w:hint="eastAsia" w:ascii="宋体" w:hAnsi="宋体" w:eastAsia="宋体" w:cs="宋体"/>
                <w:i w:val="0"/>
                <w:color w:val="000000"/>
                <w:kern w:val="0"/>
                <w:sz w:val="20"/>
                <w:szCs w:val="20"/>
                <w:u w:val="none"/>
                <w:lang w:val="en-US" w:eastAsia="zh-CN" w:bidi="ar"/>
              </w:rPr>
              <w:t>5</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pStyle w:val="2"/>
        <w:jc w:val="both"/>
      </w:pPr>
    </w:p>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1" w:name="_Toc30064_WPSOffice_Level1"/>
      <w:bookmarkStart w:id="22" w:name="_Toc26499_WPSOffice_Level2"/>
      <w:r>
        <w:rPr>
          <w:rFonts w:hint="eastAsia"/>
          <w:b/>
          <w:bCs/>
          <w:sz w:val="28"/>
          <w:szCs w:val="40"/>
        </w:rPr>
        <w:t>2023年中央财政医疗服务与保障能力提升（公立医院综合改革）补助资金绩效评价指标体系及综合评分表</w:t>
      </w:r>
      <w:bookmarkEnd w:id="21"/>
      <w:bookmarkEnd w:id="22"/>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script"/>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7136327"/>
    <w:rsid w:val="181871E2"/>
    <w:rsid w:val="19166846"/>
    <w:rsid w:val="1CE45579"/>
    <w:rsid w:val="20E92B23"/>
    <w:rsid w:val="22AC2218"/>
    <w:rsid w:val="259818AE"/>
    <w:rsid w:val="2729052F"/>
    <w:rsid w:val="28C14634"/>
    <w:rsid w:val="2EC724D4"/>
    <w:rsid w:val="2EE30257"/>
    <w:rsid w:val="34DA27CE"/>
    <w:rsid w:val="36411DC5"/>
    <w:rsid w:val="36B72533"/>
    <w:rsid w:val="3F1C0717"/>
    <w:rsid w:val="4057649F"/>
    <w:rsid w:val="431525F5"/>
    <w:rsid w:val="450B6AE4"/>
    <w:rsid w:val="54873A1A"/>
    <w:rsid w:val="5532518E"/>
    <w:rsid w:val="561E1ED9"/>
    <w:rsid w:val="56796849"/>
    <w:rsid w:val="568F383B"/>
    <w:rsid w:val="59834F2E"/>
    <w:rsid w:val="5D555EEF"/>
    <w:rsid w:val="5DA95371"/>
    <w:rsid w:val="686F7714"/>
    <w:rsid w:val="6A862BA8"/>
    <w:rsid w:val="6DFC1C65"/>
    <w:rsid w:val="75FA041F"/>
    <w:rsid w:val="760F49BD"/>
    <w:rsid w:val="76E870A0"/>
    <w:rsid w:val="77A01407"/>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2024-06-12T05:46:54Z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F56A7DFD0BC54F88AA6563A252303F4E_13</vt:lpwstr>
  </property>
</Properties>
</file>