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宋体" w:cs="Times New Roman"/>
          <w:b/>
          <w:bCs/>
          <w:color w:val="auto"/>
          <w:sz w:val="48"/>
          <w:szCs w:val="48"/>
        </w:rPr>
      </w:pPr>
    </w:p>
    <w:p>
      <w:pPr>
        <w:jc w:val="center"/>
        <w:rPr>
          <w:rFonts w:hint="default" w:ascii="Times New Roman" w:hAnsi="Times New Roman" w:eastAsia="宋体" w:cs="Times New Roman"/>
          <w:b/>
          <w:bCs/>
          <w:color w:val="auto"/>
          <w:sz w:val="48"/>
          <w:szCs w:val="48"/>
        </w:rPr>
      </w:pPr>
    </w:p>
    <w:p>
      <w:pPr>
        <w:jc w:val="center"/>
        <w:rPr>
          <w:rFonts w:hint="default" w:ascii="Times New Roman" w:hAnsi="Times New Roman" w:eastAsia="方正小标宋简体" w:cs="Times New Roman"/>
          <w:b/>
          <w:bCs/>
          <w:sz w:val="48"/>
          <w:szCs w:val="48"/>
        </w:rPr>
      </w:pPr>
    </w:p>
    <w:p>
      <w:pPr>
        <w:jc w:val="center"/>
        <w:rPr>
          <w:rFonts w:hint="default" w:ascii="Times New Roman" w:hAnsi="Times New Roman" w:eastAsia="方正小标宋简体" w:cs="Times New Roman"/>
          <w:b w:val="0"/>
          <w:bCs w:val="0"/>
          <w:sz w:val="48"/>
          <w:szCs w:val="48"/>
        </w:rPr>
      </w:pPr>
      <w:r>
        <w:rPr>
          <w:rFonts w:hint="default" w:ascii="Times New Roman" w:hAnsi="Times New Roman" w:eastAsia="方正小标宋简体" w:cs="Times New Roman"/>
          <w:b w:val="0"/>
          <w:bCs w:val="0"/>
          <w:sz w:val="48"/>
          <w:szCs w:val="48"/>
          <w:lang w:val="en-US" w:eastAsia="zh-CN"/>
        </w:rPr>
        <w:t>4K制作播出系统密码测评及密码保护</w:t>
      </w:r>
      <w:r>
        <w:rPr>
          <w:rFonts w:hint="default" w:ascii="Times New Roman" w:hAnsi="Times New Roman" w:eastAsia="方正小标宋简体" w:cs="Times New Roman"/>
          <w:b w:val="0"/>
          <w:bCs w:val="0"/>
          <w:sz w:val="48"/>
          <w:szCs w:val="48"/>
        </w:rPr>
        <w:t>资金项目支出绩效评价报告</w:t>
      </w:r>
    </w:p>
    <w:p>
      <w:pPr>
        <w:jc w:val="center"/>
        <w:rPr>
          <w:rFonts w:hint="default" w:ascii="Times New Roman" w:hAnsi="Times New Roman" w:eastAsia="宋体" w:cs="Times New Roman"/>
          <w:b/>
          <w:bCs/>
          <w:color w:val="auto"/>
          <w:sz w:val="48"/>
          <w:szCs w:val="48"/>
        </w:rPr>
      </w:pPr>
    </w:p>
    <w:p>
      <w:pPr>
        <w:widowControl/>
        <w:spacing w:line="560" w:lineRule="exact"/>
        <w:jc w:val="center"/>
        <w:rPr>
          <w:rFonts w:hint="default" w:ascii="Times New Roman" w:hAnsi="Times New Roman" w:cs="Times New Roman"/>
          <w:b/>
          <w:color w:val="auto"/>
          <w:kern w:val="0"/>
          <w:sz w:val="50"/>
          <w:szCs w:val="50"/>
          <w:lang w:bidi="en-US"/>
        </w:rPr>
      </w:pPr>
      <w:r>
        <w:rPr>
          <w:rFonts w:hint="default" w:ascii="Times New Roman" w:hAnsi="Times New Roman" w:eastAsia="红豆小标宋简体" w:cs="Times New Roman"/>
          <w:color w:val="auto"/>
          <w:kern w:val="0"/>
          <w:sz w:val="36"/>
          <w:szCs w:val="36"/>
        </w:rPr>
        <w:t>（202</w:t>
      </w:r>
      <w:r>
        <w:rPr>
          <w:rFonts w:hint="default" w:ascii="Times New Roman" w:hAnsi="Times New Roman" w:eastAsia="红豆小标宋简体" w:cs="Times New Roman"/>
          <w:color w:val="auto"/>
          <w:kern w:val="0"/>
          <w:sz w:val="36"/>
          <w:szCs w:val="36"/>
          <w:lang w:val="en-US" w:eastAsia="zh-CN"/>
        </w:rPr>
        <w:t>3</w:t>
      </w:r>
      <w:r>
        <w:rPr>
          <w:rFonts w:hint="default" w:ascii="Times New Roman" w:hAnsi="Times New Roman" w:eastAsia="红豆小标宋简体" w:cs="Times New Roman"/>
          <w:color w:val="auto"/>
          <w:kern w:val="0"/>
          <w:sz w:val="36"/>
          <w:szCs w:val="36"/>
        </w:rPr>
        <w:t>年度）</w:t>
      </w:r>
    </w:p>
    <w:p>
      <w:pPr>
        <w:spacing w:line="480" w:lineRule="auto"/>
        <w:jc w:val="center"/>
        <w:rPr>
          <w:rFonts w:hint="default" w:ascii="Times New Roman" w:hAnsi="Times New Roman" w:cs="Times New Roman"/>
          <w:b/>
          <w:color w:val="auto"/>
          <w:kern w:val="0"/>
          <w:sz w:val="50"/>
          <w:szCs w:val="50"/>
          <w:lang w:bidi="en-US"/>
        </w:rPr>
      </w:pPr>
    </w:p>
    <w:p>
      <w:pPr>
        <w:spacing w:line="480" w:lineRule="auto"/>
        <w:jc w:val="center"/>
        <w:rPr>
          <w:rFonts w:hint="default" w:ascii="Times New Roman" w:hAnsi="Times New Roman" w:cs="Times New Roman"/>
          <w:b/>
          <w:color w:val="auto"/>
          <w:kern w:val="0"/>
          <w:sz w:val="50"/>
          <w:szCs w:val="50"/>
          <w:lang w:bidi="en-US"/>
        </w:rPr>
      </w:pPr>
    </w:p>
    <w:p>
      <w:pPr>
        <w:spacing w:line="480" w:lineRule="auto"/>
        <w:jc w:val="center"/>
        <w:rPr>
          <w:rFonts w:hint="default" w:ascii="Times New Roman" w:hAnsi="Times New Roman" w:cs="Times New Roman"/>
          <w:b/>
          <w:color w:val="auto"/>
          <w:kern w:val="0"/>
          <w:sz w:val="50"/>
          <w:szCs w:val="50"/>
          <w:lang w:bidi="en-US"/>
        </w:rPr>
      </w:pPr>
    </w:p>
    <w:p>
      <w:pPr>
        <w:spacing w:line="480" w:lineRule="auto"/>
        <w:jc w:val="center"/>
        <w:rPr>
          <w:rFonts w:hint="default" w:ascii="Times New Roman" w:hAnsi="Times New Roman" w:cs="Times New Roman"/>
          <w:b/>
          <w:color w:val="auto"/>
          <w:kern w:val="0"/>
          <w:sz w:val="50"/>
          <w:szCs w:val="50"/>
          <w:lang w:bidi="en-US"/>
        </w:rPr>
      </w:pPr>
    </w:p>
    <w:p>
      <w:pPr>
        <w:spacing w:line="480" w:lineRule="auto"/>
        <w:jc w:val="center"/>
        <w:rPr>
          <w:rFonts w:hint="default" w:ascii="Times New Roman" w:hAnsi="Times New Roman" w:cs="Times New Roman"/>
          <w:b/>
          <w:color w:val="auto"/>
          <w:kern w:val="0"/>
          <w:sz w:val="50"/>
          <w:szCs w:val="50"/>
          <w:lang w:bidi="en-US"/>
        </w:rPr>
      </w:pPr>
    </w:p>
    <w:p>
      <w:pPr>
        <w:spacing w:line="560" w:lineRule="exact"/>
        <w:ind w:firstLine="321" w:firstLineChars="100"/>
        <w:jc w:val="both"/>
        <w:rPr>
          <w:rFonts w:hint="default" w:ascii="Times New Roman" w:hAnsi="Times New Roman" w:eastAsia="宋体" w:cs="Times New Roman"/>
          <w:color w:val="auto"/>
          <w:kern w:val="0"/>
          <w:sz w:val="32"/>
          <w:szCs w:val="32"/>
        </w:rPr>
      </w:pPr>
      <w:r>
        <w:rPr>
          <w:rFonts w:hint="default" w:ascii="Times New Roman" w:hAnsi="Times New Roman" w:eastAsia="宋体" w:cs="Times New Roman"/>
          <w:b/>
          <w:bCs/>
          <w:color w:val="auto"/>
          <w:kern w:val="0"/>
          <w:sz w:val="32"/>
          <w:szCs w:val="32"/>
          <w:lang w:eastAsia="zh-CN"/>
        </w:rPr>
        <w:t>　　　</w:t>
      </w:r>
      <w:r>
        <w:rPr>
          <w:rFonts w:hint="default" w:ascii="Times New Roman" w:hAnsi="Times New Roman" w:eastAsia="宋体" w:cs="Times New Roman"/>
          <w:b/>
          <w:bCs/>
          <w:color w:val="auto"/>
          <w:kern w:val="0"/>
          <w:sz w:val="32"/>
          <w:szCs w:val="32"/>
        </w:rPr>
        <w:t>项目名称：</w:t>
      </w:r>
      <w:r>
        <w:rPr>
          <w:rFonts w:hint="default" w:ascii="Times New Roman" w:hAnsi="Times New Roman" w:eastAsia="宋体" w:cs="Times New Roman"/>
          <w:b/>
          <w:bCs/>
          <w:color w:val="auto"/>
          <w:kern w:val="0"/>
          <w:sz w:val="32"/>
          <w:szCs w:val="32"/>
          <w:lang w:val="en-US" w:eastAsia="zh-CN"/>
        </w:rPr>
        <w:t>4K制作播出系统密码测评及密码保护项目</w:t>
      </w:r>
    </w:p>
    <w:p>
      <w:pPr>
        <w:spacing w:line="560" w:lineRule="exact"/>
        <w:jc w:val="both"/>
        <w:rPr>
          <w:rFonts w:hint="default" w:ascii="Times New Roman" w:hAnsi="Times New Roman" w:eastAsia="宋体" w:cs="Times New Roman"/>
          <w:color w:val="auto"/>
          <w:kern w:val="0"/>
          <w:sz w:val="32"/>
          <w:szCs w:val="32"/>
          <w:lang w:eastAsia="zh-CN"/>
        </w:rPr>
      </w:pPr>
      <w:r>
        <w:rPr>
          <w:rFonts w:hint="default" w:ascii="Times New Roman" w:hAnsi="Times New Roman" w:eastAsia="宋体" w:cs="Times New Roman"/>
          <w:b/>
          <w:bCs/>
          <w:color w:val="auto"/>
          <w:kern w:val="0"/>
          <w:sz w:val="32"/>
          <w:szCs w:val="32"/>
          <w:lang w:eastAsia="zh-CN"/>
        </w:rPr>
        <w:t>　　　　</w:t>
      </w:r>
      <w:r>
        <w:rPr>
          <w:rFonts w:hint="default" w:ascii="Times New Roman" w:hAnsi="Times New Roman" w:eastAsia="宋体" w:cs="Times New Roman"/>
          <w:b/>
          <w:bCs/>
          <w:color w:val="auto"/>
          <w:kern w:val="0"/>
          <w:sz w:val="32"/>
          <w:szCs w:val="32"/>
        </w:rPr>
        <w:t>实施单位（公章）：</w:t>
      </w:r>
      <w:r>
        <w:rPr>
          <w:rFonts w:hint="default" w:ascii="Times New Roman" w:hAnsi="Times New Roman" w:eastAsia="宋体" w:cs="Times New Roman"/>
          <w:b/>
          <w:bCs/>
          <w:color w:val="auto"/>
          <w:kern w:val="0"/>
          <w:sz w:val="32"/>
          <w:szCs w:val="32"/>
          <w:lang w:eastAsia="zh-CN"/>
        </w:rPr>
        <w:t>霍尔果斯市融媒体中心</w:t>
      </w:r>
    </w:p>
    <w:p>
      <w:pPr>
        <w:spacing w:line="560" w:lineRule="exact"/>
        <w:jc w:val="both"/>
        <w:rPr>
          <w:rFonts w:hint="default" w:ascii="Times New Roman" w:hAnsi="Times New Roman" w:eastAsia="宋体" w:cs="Times New Roman"/>
          <w:color w:val="auto"/>
          <w:kern w:val="0"/>
          <w:sz w:val="32"/>
          <w:szCs w:val="32"/>
        </w:rPr>
      </w:pPr>
      <w:r>
        <w:rPr>
          <w:rFonts w:hint="default" w:ascii="Times New Roman" w:hAnsi="Times New Roman" w:eastAsia="宋体" w:cs="Times New Roman"/>
          <w:b/>
          <w:bCs/>
          <w:color w:val="auto"/>
          <w:kern w:val="0"/>
          <w:sz w:val="32"/>
          <w:szCs w:val="32"/>
          <w:lang w:eastAsia="zh-CN"/>
        </w:rPr>
        <w:t>　　　　</w:t>
      </w:r>
      <w:r>
        <w:rPr>
          <w:rFonts w:hint="default" w:ascii="Times New Roman" w:hAnsi="Times New Roman" w:eastAsia="宋体" w:cs="Times New Roman"/>
          <w:b/>
          <w:bCs/>
          <w:color w:val="auto"/>
          <w:kern w:val="0"/>
          <w:sz w:val="32"/>
          <w:szCs w:val="32"/>
        </w:rPr>
        <w:t>主管部门（公章）：</w:t>
      </w:r>
      <w:r>
        <w:rPr>
          <w:rFonts w:hint="default" w:ascii="Times New Roman" w:hAnsi="Times New Roman" w:eastAsia="宋体" w:cs="Times New Roman"/>
          <w:b/>
          <w:bCs/>
          <w:color w:val="auto"/>
          <w:kern w:val="0"/>
          <w:sz w:val="32"/>
          <w:szCs w:val="32"/>
          <w:lang w:eastAsia="zh-CN"/>
        </w:rPr>
        <w:t>霍尔果斯市融媒体中心</w:t>
      </w:r>
    </w:p>
    <w:p>
      <w:pPr>
        <w:spacing w:line="560" w:lineRule="exact"/>
        <w:ind w:firstLine="321" w:firstLineChars="100"/>
        <w:jc w:val="both"/>
        <w:rPr>
          <w:rFonts w:hint="default" w:ascii="Times New Roman" w:hAnsi="Times New Roman" w:eastAsia="宋体" w:cs="Times New Roman"/>
          <w:color w:val="auto"/>
          <w:kern w:val="0"/>
          <w:sz w:val="32"/>
          <w:szCs w:val="32"/>
        </w:rPr>
      </w:pPr>
      <w:r>
        <w:rPr>
          <w:rFonts w:hint="default" w:ascii="Times New Roman" w:hAnsi="Times New Roman" w:eastAsia="宋体" w:cs="Times New Roman"/>
          <w:b/>
          <w:bCs/>
          <w:color w:val="auto"/>
          <w:kern w:val="0"/>
          <w:sz w:val="32"/>
          <w:szCs w:val="32"/>
          <w:lang w:eastAsia="zh-CN"/>
        </w:rPr>
        <w:t>　　　</w:t>
      </w:r>
      <w:r>
        <w:rPr>
          <w:rFonts w:hint="default" w:ascii="Times New Roman" w:hAnsi="Times New Roman" w:eastAsia="宋体" w:cs="Times New Roman"/>
          <w:b/>
          <w:bCs/>
          <w:color w:val="auto"/>
          <w:kern w:val="0"/>
          <w:sz w:val="32"/>
          <w:szCs w:val="32"/>
        </w:rPr>
        <w:t>项目负责人（签章）</w:t>
      </w:r>
      <w:r>
        <w:rPr>
          <w:rFonts w:hint="default" w:ascii="Times New Roman" w:hAnsi="Times New Roman" w:eastAsia="宋体" w:cs="Times New Roman"/>
          <w:b/>
          <w:bCs/>
          <w:color w:val="auto"/>
          <w:kern w:val="0"/>
          <w:sz w:val="32"/>
          <w:szCs w:val="32"/>
          <w:lang w:eastAsia="zh-CN"/>
        </w:rPr>
        <w:t>张志坚</w:t>
      </w:r>
    </w:p>
    <w:p>
      <w:pPr>
        <w:spacing w:line="560" w:lineRule="exact"/>
        <w:ind w:firstLine="321" w:firstLineChars="100"/>
        <w:jc w:val="both"/>
        <w:rPr>
          <w:rFonts w:hint="default" w:ascii="Times New Roman" w:hAnsi="Times New Roman" w:eastAsia="宋体" w:cs="Times New Roman"/>
          <w:color w:val="auto"/>
          <w:kern w:val="0"/>
          <w:sz w:val="32"/>
          <w:szCs w:val="32"/>
        </w:rPr>
      </w:pPr>
      <w:r>
        <w:rPr>
          <w:rFonts w:hint="default" w:ascii="Times New Roman" w:hAnsi="Times New Roman" w:eastAsia="宋体" w:cs="Times New Roman"/>
          <w:b/>
          <w:bCs/>
          <w:color w:val="auto"/>
          <w:kern w:val="0"/>
          <w:sz w:val="32"/>
          <w:szCs w:val="32"/>
          <w:lang w:eastAsia="zh-CN"/>
        </w:rPr>
        <w:t>　　　</w:t>
      </w:r>
      <w:r>
        <w:rPr>
          <w:rFonts w:hint="default" w:ascii="Times New Roman" w:hAnsi="Times New Roman" w:eastAsia="宋体" w:cs="Times New Roman"/>
          <w:b/>
          <w:bCs/>
          <w:color w:val="auto"/>
          <w:kern w:val="0"/>
          <w:sz w:val="32"/>
          <w:szCs w:val="32"/>
        </w:rPr>
        <w:t>填报时间：</w:t>
      </w:r>
      <w:r>
        <w:rPr>
          <w:rFonts w:hint="default" w:ascii="Times New Roman" w:hAnsi="Times New Roman" w:eastAsia="宋体" w:cs="Times New Roman"/>
          <w:b/>
          <w:bCs/>
          <w:color w:val="auto"/>
          <w:kern w:val="0"/>
          <w:sz w:val="36"/>
          <w:szCs w:val="36"/>
          <w:lang w:eastAsia="zh-CN"/>
        </w:rPr>
        <w:t>202</w:t>
      </w:r>
      <w:r>
        <w:rPr>
          <w:rFonts w:hint="default" w:ascii="Times New Roman" w:hAnsi="Times New Roman" w:eastAsia="宋体" w:cs="Times New Roman"/>
          <w:b/>
          <w:bCs/>
          <w:color w:val="auto"/>
          <w:kern w:val="0"/>
          <w:sz w:val="36"/>
          <w:szCs w:val="36"/>
          <w:lang w:val="en-US" w:eastAsia="zh-CN"/>
        </w:rPr>
        <w:t>4</w:t>
      </w:r>
      <w:r>
        <w:rPr>
          <w:rFonts w:hint="default" w:ascii="Times New Roman" w:hAnsi="Times New Roman" w:eastAsia="宋体" w:cs="Times New Roman"/>
          <w:b/>
          <w:bCs/>
          <w:color w:val="auto"/>
          <w:kern w:val="0"/>
          <w:sz w:val="36"/>
          <w:szCs w:val="36"/>
          <w:lang w:eastAsia="zh-CN"/>
        </w:rPr>
        <w:t xml:space="preserve">年 </w:t>
      </w:r>
      <w:r>
        <w:rPr>
          <w:rFonts w:hint="default" w:ascii="Times New Roman" w:hAnsi="Times New Roman" w:eastAsia="宋体" w:cs="Times New Roman"/>
          <w:b/>
          <w:bCs/>
          <w:color w:val="auto"/>
          <w:kern w:val="0"/>
          <w:sz w:val="36"/>
          <w:szCs w:val="36"/>
          <w:lang w:val="en-US" w:eastAsia="zh-CN"/>
        </w:rPr>
        <w:t>4</w:t>
      </w:r>
      <w:r>
        <w:rPr>
          <w:rFonts w:hint="default" w:ascii="Times New Roman" w:hAnsi="Times New Roman" w:eastAsia="宋体" w:cs="Times New Roman"/>
          <w:b/>
          <w:bCs/>
          <w:color w:val="auto"/>
          <w:kern w:val="0"/>
          <w:sz w:val="36"/>
          <w:szCs w:val="36"/>
          <w:lang w:eastAsia="zh-CN"/>
        </w:rPr>
        <w:t>月</w:t>
      </w:r>
      <w:r>
        <w:rPr>
          <w:rFonts w:hint="default" w:ascii="Times New Roman" w:hAnsi="Times New Roman" w:eastAsia="宋体" w:cs="Times New Roman"/>
          <w:b/>
          <w:bCs/>
          <w:color w:val="auto"/>
          <w:kern w:val="0"/>
          <w:sz w:val="36"/>
          <w:szCs w:val="36"/>
          <w:lang w:val="en-US" w:eastAsia="zh-CN"/>
        </w:rPr>
        <w:t>9</w:t>
      </w:r>
      <w:r>
        <w:rPr>
          <w:rFonts w:hint="default" w:ascii="Times New Roman" w:hAnsi="Times New Roman" w:eastAsia="宋体" w:cs="Times New Roman"/>
          <w:b/>
          <w:bCs/>
          <w:color w:val="auto"/>
          <w:kern w:val="0"/>
          <w:sz w:val="36"/>
          <w:szCs w:val="36"/>
          <w:lang w:eastAsia="zh-CN"/>
        </w:rPr>
        <w:t>日</w:t>
      </w:r>
    </w:p>
    <w:p>
      <w:pPr>
        <w:widowControl/>
        <w:jc w:val="left"/>
        <w:rPr>
          <w:rFonts w:hint="default" w:ascii="Times New Roman" w:hAnsi="Times New Roman" w:eastAsia="宋体" w:cs="Times New Roman"/>
          <w:b/>
          <w:bCs/>
          <w:color w:val="auto"/>
          <w:sz w:val="36"/>
          <w:szCs w:val="36"/>
        </w:rPr>
      </w:pPr>
      <w:r>
        <w:rPr>
          <w:rFonts w:hint="default" w:ascii="Times New Roman" w:hAnsi="Times New Roman" w:eastAsia="宋体" w:cs="Times New Roman"/>
          <w:b/>
          <w:bCs/>
          <w:color w:val="auto"/>
          <w:sz w:val="36"/>
          <w:szCs w:val="36"/>
        </w:rPr>
        <w:br w:type="page"/>
      </w:r>
    </w:p>
    <w:p>
      <w:pPr>
        <w:numPr>
          <w:ilvl w:val="0"/>
          <w:numId w:val="1"/>
        </w:numPr>
        <w:spacing w:line="560" w:lineRule="exact"/>
        <w:rPr>
          <w:rFonts w:hint="default" w:ascii="Times New Roman" w:hAnsi="Times New Roman" w:eastAsia="黑体" w:cs="Times New Roman"/>
          <w:bCs/>
          <w:color w:val="auto"/>
          <w:sz w:val="32"/>
          <w:szCs w:val="32"/>
        </w:rPr>
      </w:pPr>
      <w:bookmarkStart w:id="0" w:name="_Toc68703827"/>
      <w:r>
        <w:rPr>
          <w:rFonts w:hint="default" w:ascii="Times New Roman" w:hAnsi="Times New Roman" w:eastAsia="黑体" w:cs="Times New Roman"/>
          <w:bCs/>
          <w:color w:val="auto"/>
          <w:sz w:val="32"/>
          <w:szCs w:val="32"/>
        </w:rPr>
        <w:t>基本情况</w:t>
      </w:r>
      <w:bookmarkEnd w:id="0"/>
      <w:bookmarkStart w:id="1" w:name="_Toc68703828"/>
    </w:p>
    <w:p>
      <w:pPr>
        <w:numPr>
          <w:ilvl w:val="0"/>
          <w:numId w:val="0"/>
        </w:numPr>
        <w:spacing w:line="560" w:lineRule="exact"/>
        <w:rPr>
          <w:rFonts w:hint="default" w:ascii="Times New Roman" w:hAnsi="Times New Roman" w:eastAsia="楷体_GB2312" w:cs="Times New Roman"/>
          <w:b/>
          <w:bCs/>
          <w:color w:val="auto"/>
          <w:sz w:val="32"/>
          <w:szCs w:val="32"/>
          <w:lang w:eastAsia="zh-CN"/>
        </w:rPr>
      </w:pPr>
      <w:r>
        <w:rPr>
          <w:rFonts w:hint="default" w:ascii="Times New Roman" w:hAnsi="Times New Roman" w:eastAsia="楷体_GB2312" w:cs="Times New Roman"/>
          <w:b/>
          <w:bCs/>
          <w:color w:val="auto"/>
          <w:sz w:val="32"/>
          <w:szCs w:val="32"/>
          <w:lang w:eastAsia="zh-CN"/>
        </w:rPr>
        <w:t>（一）</w:t>
      </w:r>
      <w:r>
        <w:rPr>
          <w:rFonts w:hint="default" w:ascii="Times New Roman" w:hAnsi="Times New Roman" w:eastAsia="楷体_GB2312" w:cs="Times New Roman"/>
          <w:b/>
          <w:bCs/>
          <w:color w:val="auto"/>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cs="Times New Roman"/>
          <w:b w:val="0"/>
          <w:bCs w:val="0"/>
          <w:color w:val="auto"/>
          <w:sz w:val="32"/>
          <w:szCs w:val="32"/>
          <w:lang w:val="en-US" w:eastAsia="zh-CN"/>
        </w:rPr>
        <w:t>　</w:t>
      </w:r>
      <w:r>
        <w:rPr>
          <w:rFonts w:hint="default" w:ascii="Times New Roman" w:hAnsi="Times New Roman" w:eastAsia="仿宋_GB2312" w:cs="Times New Roman"/>
          <w:b w:val="0"/>
          <w:bCs w:val="0"/>
          <w:color w:val="auto"/>
          <w:sz w:val="32"/>
          <w:szCs w:val="32"/>
          <w:lang w:val="en-US" w:eastAsia="zh-CN"/>
        </w:rPr>
        <w:t>1.项目背景：</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根据《网络安全等级保护条例》第四十七条【非涉密网络密码保护】非涉密网络应当按照国家密码管理法律法规和标准的要求，使用密码技术、产品和服务。第三级以上网络应当采用密码保护，并使用国家密码管理部门认可的密码技术、产品和服务。《商用密码应用安全性评估管理办法（试行）》--2017年国家密码管理局发布施行，第三条涉及国家安全和社会公共利益的重要领域网络和信息系统的建设、使用、管理单位（责任单位），应当健全密码保障体系，实施商用密码应用安全性评估。我中心播出制作系统于2022年已备案第三级等级保护并通过测评。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sz w:val="32"/>
          <w:szCs w:val="32"/>
          <w:lang w:eastAsia="zh-CN"/>
        </w:rPr>
      </w:pPr>
      <w:r>
        <w:rPr>
          <w:rFonts w:hint="default" w:ascii="Times New Roman" w:hAnsi="Times New Roman" w:cs="Times New Roman"/>
          <w:b w:val="0"/>
          <w:bCs w:val="0"/>
          <w:color w:val="auto"/>
          <w:sz w:val="32"/>
          <w:szCs w:val="32"/>
          <w:lang w:eastAsia="zh-CN"/>
        </w:rPr>
        <w:t>　</w:t>
      </w:r>
      <w:r>
        <w:rPr>
          <w:rFonts w:hint="default" w:ascii="Times New Roman" w:hAnsi="Times New Roman" w:eastAsia="仿宋_GB2312" w:cs="Times New Roman"/>
          <w:b w:val="0"/>
          <w:bCs w:val="0"/>
          <w:color w:val="auto"/>
          <w:sz w:val="32"/>
          <w:szCs w:val="32"/>
          <w:lang w:eastAsia="zh-CN"/>
        </w:rPr>
        <w:t>2</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主要内容：根据《商用密码应用安全性评估管理办法（试行）》相关管理规定，按时按相关技术指标完成符合第三等级密码保护的国产门禁系统、服务器密码机、SSL VPN安全网关、签名验签服务器、时间戳服务器、数据戳服务器等设备的系统安装，并通过第三等级密码保护测评。</w:t>
      </w:r>
    </w:p>
    <w:p>
      <w:pPr>
        <w:spacing w:line="560" w:lineRule="exact"/>
        <w:ind w:firstLine="640" w:firstLineChars="200"/>
        <w:rPr>
          <w:rFonts w:hint="default" w:ascii="Times New Roman" w:hAnsi="Times New Roman" w:cs="Times New Roman"/>
          <w:color w:val="auto"/>
        </w:rPr>
      </w:pPr>
      <w:r>
        <w:rPr>
          <w:rFonts w:hint="default" w:ascii="Times New Roman" w:hAnsi="Times New Roman" w:cs="Times New Roman"/>
          <w:color w:val="auto"/>
          <w:sz w:val="32"/>
          <w:szCs w:val="32"/>
        </w:rPr>
        <w:t>实施情况：</w:t>
      </w:r>
      <w:r>
        <w:rPr>
          <w:rFonts w:hint="default" w:ascii="Times New Roman" w:hAnsi="Times New Roman" w:eastAsia="仿宋_GB2312" w:cs="Times New Roman"/>
          <w:color w:val="auto"/>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cs="Times New Roman"/>
          <w:b w:val="0"/>
          <w:bCs w:val="0"/>
          <w:color w:val="auto"/>
          <w:sz w:val="32"/>
          <w:szCs w:val="32"/>
          <w:lang w:eastAsia="zh-CN"/>
        </w:rPr>
      </w:pPr>
      <w:r>
        <w:rPr>
          <w:rFonts w:hint="default" w:ascii="Times New Roman" w:hAnsi="Times New Roman" w:cs="Times New Roman"/>
          <w:b w:val="0"/>
          <w:bCs w:val="0"/>
          <w:color w:val="auto"/>
          <w:sz w:val="32"/>
          <w:szCs w:val="32"/>
          <w:lang w:eastAsia="zh-CN"/>
        </w:rPr>
        <w:t>　3</w:t>
      </w:r>
      <w:r>
        <w:rPr>
          <w:rFonts w:hint="default" w:ascii="Times New Roman" w:hAnsi="Times New Roman" w:cs="Times New Roman"/>
          <w:b w:val="0"/>
          <w:bCs w:val="0"/>
          <w:color w:val="auto"/>
          <w:sz w:val="32"/>
          <w:szCs w:val="32"/>
          <w:lang w:val="en-US" w:eastAsia="zh-CN"/>
        </w:rPr>
        <w:t>.</w:t>
      </w:r>
      <w:r>
        <w:rPr>
          <w:rFonts w:hint="default" w:ascii="Times New Roman" w:hAnsi="Times New Roman" w:cs="Times New Roman"/>
          <w:b w:val="0"/>
          <w:bCs w:val="0"/>
          <w:color w:val="auto"/>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资金投入情况：该项目年初预算数</w:t>
      </w:r>
      <w:r>
        <w:rPr>
          <w:rFonts w:hint="default" w:ascii="Times New Roman" w:hAnsi="Times New Roman" w:cs="Times New Roman"/>
          <w:color w:val="auto"/>
          <w:sz w:val="32"/>
          <w:szCs w:val="32"/>
          <w:lang w:val="en-US" w:eastAsia="zh-CN"/>
        </w:rPr>
        <w:t>0</w:t>
      </w:r>
      <w:r>
        <w:rPr>
          <w:rFonts w:hint="default" w:ascii="Times New Roman" w:hAnsi="Times New Roman" w:cs="Times New Roman"/>
          <w:color w:val="auto"/>
          <w:sz w:val="32"/>
          <w:szCs w:val="32"/>
        </w:rPr>
        <w:t>万元，全年预算数</w:t>
      </w:r>
      <w:r>
        <w:rPr>
          <w:rFonts w:hint="default" w:ascii="Times New Roman" w:hAnsi="Times New Roman" w:cs="Times New Roman"/>
          <w:color w:val="auto"/>
          <w:sz w:val="32"/>
          <w:szCs w:val="32"/>
          <w:lang w:val="en-US" w:eastAsia="zh-CN"/>
        </w:rPr>
        <w:t>137</w:t>
      </w:r>
      <w:r>
        <w:rPr>
          <w:rFonts w:hint="default" w:ascii="Times New Roman" w:hAnsi="Times New Roman" w:cs="Times New Roman"/>
          <w:color w:val="auto"/>
          <w:sz w:val="32"/>
          <w:szCs w:val="32"/>
        </w:rPr>
        <w:t>万元，实际总投入</w:t>
      </w:r>
      <w:r>
        <w:rPr>
          <w:rFonts w:hint="default" w:ascii="Times New Roman" w:hAnsi="Times New Roman" w:cs="Times New Roman"/>
          <w:color w:val="auto"/>
          <w:sz w:val="32"/>
          <w:szCs w:val="32"/>
          <w:lang w:val="en-US" w:eastAsia="zh-CN"/>
        </w:rPr>
        <w:t>137</w:t>
      </w:r>
      <w:r>
        <w:rPr>
          <w:rFonts w:hint="default" w:ascii="Times New Roman" w:hAnsi="Times New Roman" w:cs="Times New Roman"/>
          <w:color w:val="auto"/>
          <w:sz w:val="32"/>
          <w:szCs w:val="32"/>
        </w:rPr>
        <w:t>万元，该项目资金已全部落实到位，资金来源为</w:t>
      </w:r>
      <w:r>
        <w:rPr>
          <w:rFonts w:hint="default" w:ascii="Times New Roman" w:hAnsi="Times New Roman" w:cs="Times New Roman"/>
          <w:color w:val="auto"/>
          <w:sz w:val="32"/>
          <w:szCs w:val="32"/>
          <w:lang w:val="en-US" w:eastAsia="zh-CN"/>
        </w:rPr>
        <w:t>本级财政资金</w:t>
      </w:r>
      <w:r>
        <w:rPr>
          <w:rFonts w:hint="default" w:ascii="Times New Roman" w:hAnsi="Times New Roman"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资金使用情况：该项目年初预算数</w:t>
      </w:r>
      <w:r>
        <w:rPr>
          <w:rFonts w:hint="default" w:ascii="Times New Roman" w:hAnsi="Times New Roman" w:cs="Times New Roman"/>
          <w:color w:val="auto"/>
          <w:sz w:val="32"/>
          <w:szCs w:val="32"/>
          <w:lang w:val="en-US" w:eastAsia="zh-CN"/>
        </w:rPr>
        <w:t>0</w:t>
      </w:r>
      <w:r>
        <w:rPr>
          <w:rFonts w:hint="default" w:ascii="Times New Roman" w:hAnsi="Times New Roman" w:cs="Times New Roman"/>
          <w:color w:val="auto"/>
          <w:sz w:val="32"/>
          <w:szCs w:val="32"/>
        </w:rPr>
        <w:t>万元，全年预算数</w:t>
      </w:r>
      <w:r>
        <w:rPr>
          <w:rFonts w:hint="default" w:ascii="Times New Roman" w:hAnsi="Times New Roman" w:cs="Times New Roman"/>
          <w:color w:val="auto"/>
          <w:sz w:val="32"/>
          <w:szCs w:val="32"/>
          <w:lang w:val="en-US" w:eastAsia="zh-CN"/>
        </w:rPr>
        <w:t>137</w:t>
      </w:r>
      <w:r>
        <w:rPr>
          <w:rFonts w:hint="default" w:ascii="Times New Roman" w:hAnsi="Times New Roman" w:cs="Times New Roman"/>
          <w:color w:val="auto"/>
          <w:sz w:val="32"/>
          <w:szCs w:val="32"/>
        </w:rPr>
        <w:t>万元，全年执行数</w:t>
      </w:r>
      <w:r>
        <w:rPr>
          <w:rFonts w:hint="default" w:ascii="Times New Roman" w:hAnsi="Times New Roman" w:cs="Times New Roman"/>
          <w:color w:val="auto"/>
          <w:sz w:val="32"/>
          <w:szCs w:val="32"/>
          <w:lang w:val="en-US" w:eastAsia="zh-CN"/>
        </w:rPr>
        <w:t>137</w:t>
      </w:r>
      <w:r>
        <w:rPr>
          <w:rFonts w:hint="default" w:ascii="Times New Roman" w:hAnsi="Times New Roman" w:cs="Times New Roman"/>
          <w:color w:val="auto"/>
          <w:sz w:val="32"/>
          <w:szCs w:val="32"/>
        </w:rPr>
        <w:t>万元，预算执行率为</w:t>
      </w:r>
      <w:r>
        <w:rPr>
          <w:rFonts w:hint="default" w:ascii="Times New Roman" w:hAnsi="Times New Roman" w:cs="Times New Roman"/>
          <w:color w:val="auto"/>
          <w:sz w:val="32"/>
          <w:szCs w:val="32"/>
          <w:lang w:val="en-US" w:eastAsia="zh-CN"/>
        </w:rPr>
        <w:t>100.00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主要</w:t>
      </w:r>
      <w:r>
        <w:rPr>
          <w:rFonts w:hint="default" w:ascii="Times New Roman" w:hAnsi="Times New Roman" w:cs="Times New Roman"/>
          <w:color w:val="auto"/>
          <w:sz w:val="32"/>
          <w:szCs w:val="32"/>
        </w:rPr>
        <w:t>用于：购置密码保护设备成本</w:t>
      </w:r>
      <w:r>
        <w:rPr>
          <w:rFonts w:hint="default" w:ascii="Times New Roman" w:hAnsi="Times New Roman" w:cs="Times New Roman"/>
          <w:color w:val="auto"/>
          <w:sz w:val="32"/>
          <w:szCs w:val="32"/>
          <w:lang w:val="en-US" w:eastAsia="zh-CN"/>
        </w:rPr>
        <w:t>124</w:t>
      </w:r>
      <w:r>
        <w:rPr>
          <w:rFonts w:hint="default" w:ascii="Times New Roman" w:hAnsi="Times New Roman" w:cs="Times New Roman"/>
          <w:color w:val="auto"/>
          <w:sz w:val="32"/>
          <w:szCs w:val="32"/>
        </w:rPr>
        <w:t>万元</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rPr>
        <w:t>密码三级测评成本</w:t>
      </w:r>
      <w:r>
        <w:rPr>
          <w:rFonts w:hint="default" w:ascii="Times New Roman" w:hAnsi="Times New Roman" w:cs="Times New Roman"/>
          <w:color w:val="auto"/>
          <w:sz w:val="32"/>
          <w:szCs w:val="32"/>
          <w:lang w:val="en-US" w:eastAsia="zh-CN"/>
        </w:rPr>
        <w:t>13万元</w:t>
      </w:r>
      <w:r>
        <w:rPr>
          <w:rFonts w:hint="default" w:ascii="Times New Roman" w:hAnsi="Times New Roman" w:cs="Times New Roman"/>
          <w:color w:val="auto"/>
          <w:sz w:val="32"/>
          <w:szCs w:val="32"/>
        </w:rPr>
        <w:t>。</w:t>
      </w:r>
      <w:bookmarkStart w:id="2" w:name="_Toc68703829"/>
    </w:p>
    <w:p>
      <w:pPr>
        <w:spacing w:line="560" w:lineRule="exact"/>
        <w:rPr>
          <w:rFonts w:hint="default" w:ascii="Times New Roman" w:hAnsi="Times New Roman" w:cs="Times New Roman"/>
          <w:color w:val="auto"/>
          <w:sz w:val="32"/>
          <w:szCs w:val="32"/>
        </w:rPr>
      </w:pPr>
      <w:r>
        <w:rPr>
          <w:rFonts w:hint="default" w:ascii="Times New Roman" w:hAnsi="Times New Roman" w:eastAsia="楷体_GB2312" w:cs="Times New Roman"/>
          <w:b/>
          <w:bCs/>
          <w:color w:val="auto"/>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color w:val="auto"/>
          <w:sz w:val="32"/>
          <w:szCs w:val="32"/>
        </w:rPr>
      </w:pPr>
      <w:r>
        <w:rPr>
          <w:rFonts w:hint="default" w:ascii="Times New Roman" w:hAnsi="Times New Roman" w:cs="Times New Roman"/>
          <w:b w:val="0"/>
          <w:bCs w:val="0"/>
          <w:color w:val="auto"/>
          <w:sz w:val="32"/>
          <w:szCs w:val="32"/>
          <w:lang w:eastAsia="zh-CN"/>
        </w:rPr>
        <w:t>　</w:t>
      </w:r>
      <w:r>
        <w:rPr>
          <w:rFonts w:hint="eastAsia" w:cs="Times New Roman"/>
          <w:b w:val="0"/>
          <w:bCs w:val="0"/>
          <w:color w:val="auto"/>
          <w:sz w:val="32"/>
          <w:szCs w:val="32"/>
          <w:lang w:eastAsia="zh-CN"/>
        </w:rPr>
        <w:t>　</w:t>
      </w:r>
      <w:r>
        <w:rPr>
          <w:rFonts w:hint="default" w:ascii="Times New Roman" w:hAnsi="Times New Roman" w:eastAsia="仿宋_GB2312" w:cs="Times New Roman"/>
          <w:b w:val="0"/>
          <w:bCs w:val="0"/>
          <w:color w:val="auto"/>
          <w:sz w:val="32"/>
          <w:szCs w:val="32"/>
          <w:lang w:val="en-US" w:eastAsia="zh-CN"/>
        </w:rPr>
        <w:t>1.总体目标：</w:t>
      </w:r>
      <w:r>
        <w:rPr>
          <w:rFonts w:hint="default" w:ascii="Times New Roman" w:hAnsi="Times New Roman" w:cs="Times New Roman"/>
          <w:color w:val="auto"/>
          <w:sz w:val="32"/>
          <w:szCs w:val="32"/>
        </w:rPr>
        <w:t>根据《网络安全等级保护条例》第四十七条【非涉密网络密码保护】非涉密网络应当按照国家密码管理法律法规和标准的要求，使用密码技术、产品和服务。第三级以上网络应当采用密码保护，并使用国家密码管理部门认可的密码技术、产品和服务。《商用密码应用安全性评估管理办法（试行）》--2017年国家密码管理局发布施行，第三条涉及国家安全和社会公共利益的重要领域网络和信息系统的建设、使用、管理单位（责任单位），应当健全密码保障体系，实施商用密码应用安全性评估。我中心播出制作系统于2022年已备案第三级等级保护并通过测评。</w:t>
      </w:r>
    </w:p>
    <w:p>
      <w:pPr>
        <w:spacing w:line="560" w:lineRule="exact"/>
        <w:rPr>
          <w:rFonts w:hint="default" w:ascii="Times New Roman" w:hAnsi="Times New Roman" w:cs="Times New Roman"/>
          <w:b w:val="0"/>
          <w:bCs w:val="0"/>
          <w:color w:val="auto"/>
          <w:sz w:val="32"/>
          <w:szCs w:val="32"/>
          <w:lang w:val="en-US" w:eastAsia="zh-CN"/>
        </w:rPr>
      </w:pPr>
      <w:r>
        <w:rPr>
          <w:rFonts w:hint="default" w:ascii="Times New Roman" w:hAnsi="Times New Roman" w:cs="Times New Roman"/>
          <w:b w:val="0"/>
          <w:bCs w:val="0"/>
          <w:color w:val="auto"/>
          <w:sz w:val="32"/>
          <w:szCs w:val="32"/>
          <w:lang w:eastAsia="zh-CN"/>
        </w:rPr>
        <w:t>　</w:t>
      </w:r>
      <w:r>
        <w:rPr>
          <w:rFonts w:hint="eastAsia" w:cs="Times New Roman"/>
          <w:b w:val="0"/>
          <w:bCs w:val="0"/>
          <w:color w:val="auto"/>
          <w:sz w:val="32"/>
          <w:szCs w:val="32"/>
          <w:lang w:eastAsia="zh-CN"/>
        </w:rPr>
        <w:t>　</w:t>
      </w:r>
      <w:r>
        <w:rPr>
          <w:rFonts w:hint="default" w:ascii="Times New Roman" w:hAnsi="Times New Roman" w:eastAsia="仿宋_GB2312" w:cs="Times New Roman"/>
          <w:b w:val="0"/>
          <w:bCs w:val="0"/>
          <w:color w:val="auto"/>
          <w:sz w:val="32"/>
          <w:szCs w:val="32"/>
          <w:lang w:val="en-US" w:eastAsia="zh-CN"/>
        </w:rPr>
        <w:t>2.阶段性目标：</w:t>
      </w:r>
      <w:bookmarkStart w:id="3" w:name="_Toc68703830"/>
      <w:r>
        <w:rPr>
          <w:rFonts w:hint="default" w:ascii="Times New Roman" w:hAnsi="Times New Roman" w:cs="Times New Roman"/>
          <w:b w:val="0"/>
          <w:bCs w:val="0"/>
          <w:color w:val="auto"/>
          <w:sz w:val="32"/>
          <w:szCs w:val="32"/>
          <w:lang w:val="en-US" w:eastAsia="zh-CN"/>
        </w:rPr>
        <w:t>一是完成机房及系统设备密码保护配套安装调试工作；二是按照相关要求完成密码保护测评工作；三是完成测评后的密码保护整改工作；四是达到密码保护系统设备平稳运行要求。</w:t>
      </w:r>
    </w:p>
    <w:p>
      <w:pPr>
        <w:spacing w:line="560" w:lineRule="exact"/>
        <w:rPr>
          <w:rFonts w:hint="default" w:ascii="Times New Roman" w:hAnsi="Times New Roman" w:eastAsia="黑体" w:cs="Times New Roman"/>
          <w:bCs/>
          <w:color w:val="auto"/>
          <w:sz w:val="32"/>
          <w:szCs w:val="32"/>
          <w:lang w:val="en-US" w:eastAsia="zh-CN"/>
        </w:rPr>
      </w:pPr>
      <w:r>
        <w:rPr>
          <w:rFonts w:hint="default" w:ascii="Times New Roman" w:hAnsi="Times New Roman" w:eastAsia="黑体" w:cs="Times New Roman"/>
          <w:bCs/>
          <w:color w:val="auto"/>
          <w:sz w:val="32"/>
          <w:szCs w:val="32"/>
          <w:lang w:val="en-US" w:eastAsia="zh-CN"/>
        </w:rPr>
        <w:t>二、绩效评价工作开展情况</w:t>
      </w:r>
      <w:bookmarkEnd w:id="3"/>
    </w:p>
    <w:p>
      <w:pPr>
        <w:numPr>
          <w:ilvl w:val="0"/>
          <w:numId w:val="0"/>
        </w:numPr>
        <w:spacing w:line="560" w:lineRule="exact"/>
        <w:rPr>
          <w:rFonts w:hint="default" w:ascii="Times New Roman" w:hAnsi="Times New Roman" w:eastAsia="楷体_GB2312" w:cs="Times New Roman"/>
          <w:b/>
          <w:bCs/>
          <w:color w:val="auto"/>
          <w:sz w:val="32"/>
          <w:szCs w:val="32"/>
          <w:lang w:eastAsia="zh-CN"/>
        </w:rPr>
      </w:pPr>
      <w:bookmarkStart w:id="4" w:name="_Toc68703831"/>
      <w:r>
        <w:rPr>
          <w:rFonts w:hint="default" w:ascii="Times New Roman" w:hAnsi="Times New Roman" w:eastAsia="楷体_GB2312" w:cs="Times New Roman"/>
          <w:b/>
          <w:bCs/>
          <w:color w:val="auto"/>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　1.绩效评价目的</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项目在实施前向项目负责人提供财政支出绩效方面的资金管理信息，促进项目支出严格按照资金管理规定进行。</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（2）项目绩效管理财政支出运行提供及时、有效的信息。</w:t>
      </w:r>
    </w:p>
    <w:p>
      <w:pPr>
        <w:pStyle w:val="20"/>
        <w:spacing w:line="56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仿宋_GB2312" w:cs="Times New Roman"/>
          <w:color w:val="auto"/>
          <w:sz w:val="32"/>
          <w:szCs w:val="32"/>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cs="Times New Roman"/>
          <w:b/>
          <w:bCs/>
          <w:color w:val="auto"/>
          <w:sz w:val="30"/>
          <w:szCs w:val="30"/>
          <w:lang w:val="en-US" w:eastAsia="zh-CN"/>
        </w:rPr>
        <w:t>　</w:t>
      </w:r>
      <w:r>
        <w:rPr>
          <w:rFonts w:hint="default" w:ascii="Times New Roman" w:hAnsi="Times New Roman" w:eastAsia="仿宋_GB2312" w:cs="Times New Roman"/>
          <w:b w:val="0"/>
          <w:bCs w:val="0"/>
          <w:color w:val="auto"/>
          <w:sz w:val="32"/>
          <w:szCs w:val="32"/>
          <w:lang w:val="en-US" w:eastAsia="zh-CN"/>
        </w:rPr>
        <w:t>2.绩效评价对象：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4K制作播出系统密码测评及密码保护项目所包含的全部项目内容。</w:t>
      </w:r>
    </w:p>
    <w:p>
      <w:pPr>
        <w:spacing w:line="560" w:lineRule="exact"/>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本次评价从项目决策（包括绩效目标、决策过程）、项目管理（包括项目资金、项目实施）、项目产出（包括项目产出数量、产出质量、产出时效和产出成本）项目效益四个维度进行</w:t>
      </w:r>
      <w:r>
        <w:rPr>
          <w:rFonts w:hint="default" w:ascii="Times New Roman" w:hAnsi="Times New Roman" w:eastAsia="仿宋_GB2312" w:cs="Times New Roman"/>
          <w:color w:val="auto"/>
          <w:sz w:val="32"/>
          <w:szCs w:val="32"/>
        </w:rPr>
        <w:t>4K制作播出系统密码测评及密码保护项目</w:t>
      </w:r>
      <w:r>
        <w:rPr>
          <w:rFonts w:hint="default" w:ascii="Times New Roman" w:hAnsi="Times New Roman" w:cs="Times New Roman"/>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color w:val="auto"/>
          <w:kern w:val="2"/>
          <w:sz w:val="32"/>
          <w:szCs w:val="32"/>
          <w:lang w:val="en-US" w:eastAsia="zh-CN" w:bidi="ar-SA"/>
        </w:rPr>
      </w:pPr>
      <w:bookmarkStart w:id="5" w:name="_Toc68703832"/>
      <w:r>
        <w:rPr>
          <w:rFonts w:hint="default" w:ascii="Times New Roman" w:hAnsi="Times New Roman" w:eastAsia="楷体_GB2312" w:cs="Times New Roman"/>
          <w:b/>
          <w:bCs/>
          <w:color w:val="auto"/>
          <w:kern w:val="2"/>
          <w:sz w:val="32"/>
          <w:szCs w:val="32"/>
          <w:lang w:val="en-US" w:eastAsia="zh-CN" w:bidi="ar-SA"/>
        </w:rPr>
        <w:t>（二）绩效评价原则、评价指标体系</w:t>
      </w:r>
      <w:r>
        <w:rPr>
          <w:rFonts w:hint="default" w:ascii="Times New Roman" w:hAnsi="Times New Roman" w:eastAsia="楷体_GB2312" w:cs="Times New Roman"/>
          <w:b/>
          <w:bCs/>
          <w:color w:val="auto"/>
          <w:sz w:val="32"/>
          <w:szCs w:val="32"/>
        </w:rPr>
        <w:t>（详情见表1）</w:t>
      </w:r>
      <w:r>
        <w:rPr>
          <w:rFonts w:hint="default" w:ascii="Times New Roman" w:hAnsi="Times New Roman" w:eastAsia="楷体_GB2312" w:cs="Times New Roman"/>
          <w:b/>
          <w:bCs/>
          <w:color w:val="auto"/>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1</w:t>
      </w:r>
      <w:r>
        <w:rPr>
          <w:rFonts w:hint="default" w:ascii="Times New Roman" w:hAnsi="Times New Roman" w:cs="Times New Roman"/>
          <w:color w:val="auto"/>
          <w:sz w:val="32"/>
          <w:szCs w:val="32"/>
          <w:lang w:val="en-US" w:eastAsia="zh-CN"/>
        </w:rPr>
        <w:t>.</w:t>
      </w:r>
      <w:r>
        <w:rPr>
          <w:rFonts w:hint="default" w:ascii="Times New Roman" w:hAnsi="Times New Roman" w:cs="Times New Roman"/>
          <w:color w:val="auto"/>
          <w:sz w:val="32"/>
          <w:szCs w:val="32"/>
        </w:rPr>
        <w:t>绩效评价原则</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本次项目绩效评价遵循以下基本原则：</w:t>
      </w:r>
    </w:p>
    <w:p>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rPr>
          <w:rFonts w:hint="default" w:ascii="Times New Roman" w:hAnsi="Times New Roman" w:cs="Times New Roman"/>
          <w:color w:val="auto"/>
        </w:rPr>
      </w:pPr>
      <w:r>
        <w:rPr>
          <w:rFonts w:hint="default" w:ascii="Times New Roman" w:hAnsi="Times New Roman" w:eastAsia="仿宋_GB2312" w:cs="Times New Roman"/>
          <w:b w:val="0"/>
          <w:bCs w:val="0"/>
          <w:color w:val="auto"/>
        </w:rPr>
        <w:t>（4）公开透明。绩效评价结果应依法依规公开，并自觉接受社会监督。</w:t>
      </w:r>
    </w:p>
    <w:p>
      <w:pPr>
        <w:spacing w:line="360" w:lineRule="auto"/>
        <w:ind w:firstLine="600" w:firstLineChars="200"/>
        <w:jc w:val="left"/>
        <w:rPr>
          <w:rFonts w:hint="default" w:ascii="Times New Roman" w:hAnsi="Times New Roman" w:cs="Times New Roman"/>
          <w:color w:val="auto"/>
          <w:sz w:val="32"/>
          <w:szCs w:val="32"/>
        </w:rPr>
      </w:pPr>
      <w:r>
        <w:rPr>
          <w:rFonts w:hint="default" w:ascii="Times New Roman" w:hAnsi="Times New Roman" w:cs="Times New Roman"/>
          <w:color w:val="auto"/>
        </w:rPr>
        <w:t>2、</w:t>
      </w:r>
      <w:r>
        <w:rPr>
          <w:rFonts w:hint="default" w:ascii="Times New Roman" w:hAnsi="Times New Roman" w:cs="Times New Roman"/>
          <w:color w:val="auto"/>
          <w:sz w:val="32"/>
          <w:szCs w:val="32"/>
        </w:rPr>
        <w:t>评价指标体系</w:t>
      </w:r>
    </w:p>
    <w:p>
      <w:pPr>
        <w:spacing w:line="560" w:lineRule="exact"/>
        <w:ind w:firstLine="708" w:firstLineChars="200"/>
        <w:rPr>
          <w:rFonts w:hint="default" w:ascii="Times New Roman" w:hAnsi="Times New Roman" w:cs="Times New Roman"/>
          <w:color w:val="auto"/>
          <w:spacing w:val="17"/>
          <w:sz w:val="32"/>
          <w:szCs w:val="32"/>
        </w:rPr>
      </w:pPr>
      <w:r>
        <w:rPr>
          <w:rFonts w:hint="default" w:ascii="Times New Roman" w:hAnsi="Times New Roman" w:eastAsia="仿宋_GB2312" w:cs="Times New Roman"/>
          <w:color w:val="auto"/>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（1）确定评价指标</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（2）确定权重</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hint="default" w:ascii="Times New Roman" w:hAnsi="Times New Roman" w:eastAsia="仿宋_GB2312" w:cs="Times New Roman"/>
          <w:b w:val="0"/>
          <w:bCs w:val="0"/>
          <w:color w:val="auto"/>
          <w:spacing w:val="17"/>
          <w:kern w:val="2"/>
        </w:rPr>
      </w:pPr>
      <w:r>
        <w:rPr>
          <w:rFonts w:hint="default" w:ascii="Times New Roman" w:hAnsi="Times New Roman" w:eastAsia="仿宋_GB2312" w:cs="Times New Roman"/>
          <w:b w:val="0"/>
          <w:bCs w:val="0"/>
          <w:color w:val="auto"/>
          <w:spacing w:val="17"/>
          <w:kern w:val="2"/>
        </w:rPr>
        <w:t>绩效评价总分值100分，根据综合评分结果，评价计分90分-100分（含90分）对应的评分结果级别为优，80-90分（含80分）对应的评分结果级别为良，</w:t>
      </w:r>
    </w:p>
    <w:p>
      <w:pPr>
        <w:pStyle w:val="2"/>
        <w:spacing w:before="0" w:after="0" w:line="560" w:lineRule="exact"/>
        <w:ind w:firstLine="708" w:firstLineChars="200"/>
        <w:jc w:val="both"/>
        <w:rPr>
          <w:rFonts w:hint="default" w:ascii="Times New Roman" w:hAnsi="Times New Roman" w:eastAsia="仿宋_GB2312" w:cs="Times New Roman"/>
          <w:b w:val="0"/>
          <w:bCs w:val="0"/>
          <w:color w:val="auto"/>
          <w:spacing w:val="17"/>
          <w:kern w:val="2"/>
        </w:rPr>
      </w:pPr>
      <w:r>
        <w:rPr>
          <w:rFonts w:hint="default" w:ascii="Times New Roman" w:hAnsi="Times New Roman" w:eastAsia="仿宋_GB2312" w:cs="Times New Roman"/>
          <w:b w:val="0"/>
          <w:bCs w:val="0"/>
          <w:color w:val="auto"/>
          <w:spacing w:val="17"/>
          <w:kern w:val="2"/>
        </w:rPr>
        <w:t>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default" w:ascii="Times New Roman" w:hAnsi="Times New Roman" w:cs="Times New Roman"/>
          <w:color w:val="auto"/>
        </w:rPr>
      </w:pPr>
      <w:r>
        <w:rPr>
          <w:rFonts w:hint="default" w:ascii="Times New Roman" w:hAnsi="Times New Roman" w:eastAsia="仿宋_GB2312" w:cs="Times New Roman"/>
          <w:b w:val="0"/>
          <w:bCs w:val="0"/>
          <w:color w:val="auto"/>
          <w:spacing w:val="17"/>
        </w:rPr>
        <w:t>具体评价指标体系详情见附件1</w:t>
      </w:r>
    </w:p>
    <w:p>
      <w:pPr>
        <w:pStyle w:val="6"/>
        <w:rPr>
          <w:rFonts w:hint="default" w:ascii="Times New Roman" w:hAnsi="Times New Roman" w:cs="Times New Roman"/>
          <w:color w:val="auto"/>
          <w:sz w:val="32"/>
          <w:szCs w:val="32"/>
        </w:rPr>
      </w:pPr>
      <w:r>
        <w:rPr>
          <w:rFonts w:hint="default" w:ascii="Times New Roman" w:hAnsi="Times New Roman" w:cs="Times New Roman"/>
          <w:color w:val="auto"/>
          <w:sz w:val="32"/>
          <w:szCs w:val="32"/>
        </w:rPr>
        <w:t>3、评价方法</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bCs/>
          <w:color w:val="auto"/>
          <w:sz w:val="32"/>
          <w:szCs w:val="32"/>
          <w:lang w:eastAsia="zh-CN"/>
        </w:rPr>
      </w:pPr>
      <w:r>
        <w:rPr>
          <w:rFonts w:hint="default" w:ascii="Times New Roman" w:hAnsi="Times New Roman" w:eastAsia="仿宋_GB2312" w:cs="Times New Roman"/>
          <w:color w:val="auto"/>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w:t>
      </w:r>
      <w:r>
        <w:rPr>
          <w:rFonts w:hint="default" w:ascii="Times New Roman" w:hAnsi="Times New Roman" w:cs="Times New Roman"/>
          <w:color w:val="auto"/>
          <w:spacing w:val="17"/>
          <w:sz w:val="32"/>
          <w:szCs w:val="32"/>
          <w:lang w:val="en-US" w:eastAsia="zh-CN"/>
        </w:rPr>
        <w:t>1</w:t>
      </w:r>
      <w:r>
        <w:rPr>
          <w:rFonts w:hint="default" w:ascii="Times New Roman" w:hAnsi="Times New Roman" w:eastAsia="仿宋_GB2312" w:cs="Times New Roman"/>
          <w:color w:val="auto"/>
          <w:spacing w:val="17"/>
          <w:sz w:val="32"/>
          <w:szCs w:val="32"/>
        </w:rPr>
        <w:t>）因素分析法</w:t>
      </w:r>
    </w:p>
    <w:p>
      <w:pPr>
        <w:spacing w:line="560" w:lineRule="exact"/>
        <w:ind w:firstLine="708" w:firstLineChars="200"/>
        <w:rPr>
          <w:rFonts w:hint="default" w:ascii="Times New Roman" w:hAnsi="Times New Roman" w:eastAsia="仿宋_GB2312" w:cs="Times New Roman"/>
          <w:bCs/>
          <w:color w:val="auto"/>
          <w:sz w:val="32"/>
          <w:szCs w:val="32"/>
          <w:lang w:eastAsia="zh-CN"/>
        </w:rPr>
      </w:pPr>
      <w:r>
        <w:rPr>
          <w:rFonts w:hint="default" w:ascii="Times New Roman" w:hAnsi="Times New Roman" w:eastAsia="仿宋_GB2312" w:cs="Times New Roman"/>
          <w:color w:val="auto"/>
          <w:spacing w:val="17"/>
          <w:sz w:val="32"/>
          <w:szCs w:val="32"/>
        </w:rPr>
        <w:t>通过综合分析影响绩效目标实现、实施效果的内外因素，评价绩效目标实现程度。通过对</w:t>
      </w:r>
      <w:r>
        <w:rPr>
          <w:rFonts w:hint="default" w:ascii="Times New Roman" w:hAnsi="Times New Roman" w:eastAsia="仿宋_GB2312" w:cs="Times New Roman"/>
          <w:color w:val="auto"/>
          <w:sz w:val="32"/>
          <w:szCs w:val="32"/>
        </w:rPr>
        <w:t>项目</w:t>
      </w:r>
      <w:r>
        <w:rPr>
          <w:rFonts w:hint="default" w:ascii="Times New Roman" w:hAnsi="Times New Roman" w:eastAsia="仿宋_GB2312" w:cs="Times New Roman"/>
          <w:color w:val="auto"/>
          <w:spacing w:val="17"/>
          <w:sz w:val="32"/>
          <w:szCs w:val="32"/>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color w:val="auto"/>
        </w:rPr>
      </w:pPr>
      <w:r>
        <w:rPr>
          <w:rFonts w:hint="default" w:ascii="Times New Roman" w:hAnsi="Times New Roman" w:cs="Times New Roman"/>
          <w:color w:val="auto"/>
          <w:lang w:eastAsia="zh-CN"/>
        </w:rPr>
        <w:t>　　</w:t>
      </w:r>
      <w:r>
        <w:rPr>
          <w:rFonts w:hint="default" w:ascii="Times New Roman" w:hAnsi="Times New Roman" w:cs="Times New Roman"/>
          <w:color w:val="auto"/>
          <w:sz w:val="32"/>
          <w:szCs w:val="32"/>
        </w:rPr>
        <w:t>4</w:t>
      </w:r>
      <w:r>
        <w:rPr>
          <w:rFonts w:hint="default" w:ascii="Times New Roman" w:hAnsi="Times New Roman" w:cs="Times New Roman"/>
          <w:color w:val="auto"/>
          <w:sz w:val="32"/>
          <w:szCs w:val="32"/>
          <w:lang w:val="en-US" w:eastAsia="zh-CN"/>
        </w:rPr>
        <w:t>.</w:t>
      </w:r>
      <w:r>
        <w:rPr>
          <w:rFonts w:hint="default" w:ascii="Times New Roman" w:hAnsi="Times New Roman" w:cs="Times New Roman"/>
          <w:color w:val="auto"/>
          <w:sz w:val="32"/>
          <w:szCs w:val="32"/>
        </w:rPr>
        <w:t>评价标准</w:t>
      </w:r>
    </w:p>
    <w:p>
      <w:pPr>
        <w:spacing w:line="560" w:lineRule="exact"/>
        <w:ind w:firstLine="640"/>
        <w:rPr>
          <w:rFonts w:hint="default" w:ascii="Times New Roman" w:hAnsi="Times New Roman" w:cs="Times New Roman"/>
          <w:bCs/>
          <w:color w:val="auto"/>
          <w:sz w:val="32"/>
          <w:szCs w:val="32"/>
        </w:rPr>
      </w:pPr>
      <w:r>
        <w:rPr>
          <w:rFonts w:hint="default" w:ascii="Times New Roman" w:hAnsi="Times New Roman" w:cs="Times New Roman"/>
          <w:bCs/>
          <w:color w:val="auto"/>
          <w:sz w:val="32"/>
          <w:szCs w:val="32"/>
        </w:rPr>
        <w:t>绩效评价标准通常包括计划标准、行业标准、历史标准等，用于对绩效指标完成情况进行比较、分析、评价。本次评价主要采用了</w:t>
      </w:r>
      <w:r>
        <w:rPr>
          <w:rFonts w:hint="default" w:ascii="Times New Roman" w:hAnsi="Times New Roman" w:cs="Times New Roman"/>
          <w:bCs/>
          <w:color w:val="auto"/>
          <w:sz w:val="32"/>
          <w:szCs w:val="32"/>
          <w:lang w:val="en-US" w:eastAsia="zh-CN"/>
        </w:rPr>
        <w:t>计划</w:t>
      </w:r>
      <w:r>
        <w:rPr>
          <w:rFonts w:hint="default" w:ascii="Times New Roman" w:hAnsi="Times New Roman" w:cs="Times New Roman"/>
          <w:bCs/>
          <w:color w:val="auto"/>
          <w:sz w:val="32"/>
          <w:szCs w:val="32"/>
        </w:rPr>
        <w:t>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bCs/>
          <w:color w:val="auto"/>
          <w:sz w:val="32"/>
          <w:szCs w:val="32"/>
        </w:rPr>
      </w:pPr>
      <w:r>
        <w:rPr>
          <w:rFonts w:hint="default" w:ascii="Times New Roman" w:hAnsi="Times New Roman" w:cs="Times New Roman"/>
          <w:bCs/>
          <w:color w:val="auto"/>
          <w:sz w:val="32"/>
          <w:szCs w:val="32"/>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color w:val="auto"/>
          <w:kern w:val="2"/>
          <w:sz w:val="32"/>
          <w:szCs w:val="32"/>
          <w:lang w:val="en-US" w:eastAsia="zh-CN" w:bidi="ar-SA"/>
        </w:rPr>
      </w:pPr>
      <w:bookmarkStart w:id="6" w:name="_Toc68703833"/>
      <w:r>
        <w:rPr>
          <w:rFonts w:hint="default" w:ascii="Times New Roman" w:hAnsi="Times New Roman" w:eastAsia="楷体_GB2312" w:cs="Times New Roman"/>
          <w:b/>
          <w:bCs/>
          <w:color w:val="auto"/>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1</w:t>
      </w:r>
      <w:r>
        <w:rPr>
          <w:rFonts w:hint="default" w:ascii="Times New Roman" w:hAnsi="Times New Roman" w:cs="Times New Roman"/>
          <w:color w:val="auto"/>
          <w:sz w:val="32"/>
          <w:szCs w:val="32"/>
          <w:lang w:val="en-US" w:eastAsia="zh-CN"/>
        </w:rPr>
        <w:t>.</w:t>
      </w:r>
      <w:r>
        <w:rPr>
          <w:rFonts w:hint="default" w:ascii="Times New Roman" w:hAnsi="Times New Roman" w:cs="Times New Roman"/>
          <w:color w:val="auto"/>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2</w:t>
      </w:r>
      <w:r>
        <w:rPr>
          <w:rFonts w:hint="default" w:ascii="Times New Roman" w:hAnsi="Times New Roman" w:cs="Times New Roman"/>
          <w:color w:val="auto"/>
          <w:sz w:val="32"/>
          <w:szCs w:val="32"/>
          <w:lang w:val="en-US" w:eastAsia="zh-CN"/>
        </w:rPr>
        <w:t>.</w:t>
      </w:r>
      <w:r>
        <w:rPr>
          <w:rFonts w:hint="default" w:ascii="Times New Roman" w:hAnsi="Times New Roman" w:cs="Times New Roman"/>
          <w:color w:val="auto"/>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3</w:t>
      </w:r>
      <w:r>
        <w:rPr>
          <w:rFonts w:hint="default" w:ascii="Times New Roman" w:hAnsi="Times New Roman" w:cs="Times New Roman"/>
          <w:color w:val="auto"/>
          <w:sz w:val="32"/>
          <w:szCs w:val="32"/>
          <w:lang w:val="en-US" w:eastAsia="zh-CN"/>
        </w:rPr>
        <w:t>.</w:t>
      </w:r>
      <w:r>
        <w:rPr>
          <w:rFonts w:hint="default" w:ascii="Times New Roman" w:hAnsi="Times New Roman" w:cs="Times New Roman"/>
          <w:color w:val="auto"/>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color w:val="auto"/>
          <w:sz w:val="32"/>
          <w:szCs w:val="32"/>
        </w:rPr>
      </w:pPr>
      <w:bookmarkStart w:id="7" w:name="_Toc68703834"/>
      <w:r>
        <w:rPr>
          <w:rFonts w:hint="default" w:ascii="Times New Roman" w:hAnsi="Times New Roman" w:eastAsia="仿宋_GB2312" w:cs="Times New Roman"/>
          <w:bCs/>
          <w:color w:val="auto"/>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default" w:ascii="Times New Roman" w:hAnsi="Times New Roman" w:eastAsia="黑体" w:cs="Times New Roman"/>
          <w:bCs/>
          <w:color w:val="auto"/>
          <w:sz w:val="32"/>
          <w:szCs w:val="32"/>
          <w:lang w:val="en-US" w:eastAsia="zh-CN"/>
        </w:rPr>
      </w:pPr>
      <w:r>
        <w:rPr>
          <w:rFonts w:hint="default" w:ascii="Times New Roman" w:hAnsi="Times New Roman" w:eastAsia="黑体" w:cs="Times New Roman"/>
          <w:bCs/>
          <w:color w:val="auto"/>
          <w:sz w:val="32"/>
          <w:szCs w:val="32"/>
          <w:lang w:val="en-US" w:eastAsia="zh-CN"/>
        </w:rPr>
        <w:t>三、综合评价情况及评价结论</w:t>
      </w:r>
      <w:bookmarkEnd w:id="7"/>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color w:val="auto"/>
          <w:kern w:val="2"/>
          <w:sz w:val="32"/>
          <w:szCs w:val="32"/>
          <w:lang w:val="en-US" w:eastAsia="zh-CN" w:bidi="ar-SA"/>
        </w:rPr>
      </w:pPr>
      <w:bookmarkStart w:id="8" w:name="_Toc68703835"/>
      <w:r>
        <w:rPr>
          <w:rFonts w:hint="default" w:ascii="Times New Roman" w:hAnsi="Times New Roman" w:eastAsia="楷体_GB2312" w:cs="Times New Roman"/>
          <w:b/>
          <w:bCs/>
          <w:color w:val="auto"/>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eastAsia="仿宋_GB2312" w:cs="Times New Roman"/>
          <w:b w:val="0"/>
          <w:bCs w:val="0"/>
          <w:color w:val="auto"/>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楷体_GB2312" w:cs="Times New Roman"/>
          <w:b/>
          <w:bCs/>
          <w:color w:val="auto"/>
          <w:kern w:val="2"/>
          <w:sz w:val="32"/>
          <w:szCs w:val="32"/>
          <w:lang w:val="en-US" w:eastAsia="zh-CN" w:bidi="ar-SA"/>
        </w:rPr>
      </w:pPr>
      <w:bookmarkStart w:id="9" w:name="_Toc68703836"/>
      <w:r>
        <w:rPr>
          <w:rFonts w:hint="default" w:ascii="Times New Roman" w:hAnsi="Times New Roman" w:eastAsia="楷体_GB2312" w:cs="Times New Roman"/>
          <w:b/>
          <w:bCs/>
          <w:color w:val="auto"/>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outlineLvl w:val="9"/>
        <w:rPr>
          <w:rFonts w:hint="default" w:ascii="Times New Roman" w:hAnsi="Times New Roman" w:cs="Times New Roman"/>
          <w:color w:val="auto"/>
        </w:rPr>
      </w:pPr>
      <w:r>
        <w:rPr>
          <w:rFonts w:hint="default" w:ascii="Times New Roman" w:hAnsi="Times New Roman" w:eastAsia="仿宋_GB2312" w:cs="Times New Roman"/>
          <w:b w:val="0"/>
          <w:bCs w:val="0"/>
          <w:color w:val="auto"/>
          <w:lang w:eastAsia="zh-CN"/>
        </w:rPr>
        <w:t>　　</w:t>
      </w:r>
      <w:r>
        <w:rPr>
          <w:rFonts w:hint="default" w:ascii="Times New Roman" w:hAnsi="Times New Roman" w:eastAsia="仿宋_GB2312" w:cs="Times New Roman"/>
          <w:b w:val="0"/>
          <w:bCs w:val="0"/>
          <w:color w:val="auto"/>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color w:val="auto"/>
          <w:highlight w:val="none"/>
        </w:rPr>
        <w:t xml:space="preserve">总得分为 </w:t>
      </w:r>
      <w:r>
        <w:rPr>
          <w:rFonts w:hint="default"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 xml:space="preserve">分，属于“优”。其中，项目决策类指标权重为20分，得分为 </w:t>
      </w:r>
      <w:r>
        <w:rPr>
          <w:rFonts w:hint="default"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default"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default"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default"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%。项目产出类指标权重为40分，得分为</w:t>
      </w:r>
      <w:r>
        <w:rPr>
          <w:rFonts w:hint="default"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 xml:space="preserve">分，得分率为 </w:t>
      </w:r>
      <w:r>
        <w:rPr>
          <w:rFonts w:hint="default"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%。项目效益类指标权重为20分，得分为</w:t>
      </w:r>
      <w:r>
        <w:rPr>
          <w:rFonts w:hint="default"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default"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w:t>
      </w:r>
      <w:r>
        <w:rPr>
          <w:rFonts w:hint="default" w:ascii="Times New Roman" w:hAnsi="Times New Roman" w:eastAsia="仿宋_GB2312" w:cs="Times New Roman"/>
          <w:b w:val="0"/>
          <w:bCs w:val="0"/>
          <w:color w:val="auto"/>
        </w:rPr>
        <w:t>分情况详见：附件1综合评分表</w:t>
      </w:r>
      <w:r>
        <w:rPr>
          <w:rFonts w:hint="default" w:ascii="Times New Roman" w:hAnsi="Times New Roman" w:eastAsia="仿宋_GB2312" w:cs="Times New Roman"/>
          <w:b w:val="0"/>
          <w:bCs w:val="0"/>
          <w:color w:val="auto"/>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b w:val="0"/>
          <w:bCs w:val="0"/>
          <w:color w:val="auto"/>
          <w:kern w:val="28"/>
          <w:sz w:val="32"/>
          <w:szCs w:val="32"/>
          <w:lang w:val="en-US" w:eastAsia="zh-CN" w:bidi="ar-SA"/>
        </w:rPr>
      </w:pPr>
      <w:r>
        <w:rPr>
          <w:rFonts w:hint="default" w:ascii="Times New Roman" w:hAnsi="Times New Roman" w:cs="Times New Roman"/>
          <w:color w:val="auto"/>
          <w:sz w:val="30"/>
          <w:szCs w:val="30"/>
          <w:lang w:eastAsia="zh-CN"/>
        </w:rPr>
        <w:t>　　　　　　　　</w:t>
      </w:r>
      <w:r>
        <w:rPr>
          <w:rFonts w:hint="default" w:ascii="Times New Roman" w:hAnsi="Times New Roman" w:eastAsia="仿宋_GB2312" w:cs="Times New Roman"/>
          <w:b w:val="0"/>
          <w:bCs w:val="0"/>
          <w:color w:val="auto"/>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auto"/>
                <w:sz w:val="22"/>
              </w:rPr>
            </w:pPr>
            <w:r>
              <w:rPr>
                <w:rFonts w:hint="default" w:ascii="Times New Roman" w:hAnsi="Times New Roman" w:cs="Times New Roman"/>
                <w:b/>
                <w:bCs/>
                <w:color w:val="auto"/>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auto"/>
                <w:sz w:val="22"/>
              </w:rPr>
            </w:pPr>
            <w:r>
              <w:rPr>
                <w:rFonts w:hint="default" w:ascii="Times New Roman" w:hAnsi="Times New Roman" w:cs="Times New Roman"/>
                <w:b/>
                <w:bCs/>
                <w:color w:val="auto"/>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auto"/>
                <w:sz w:val="22"/>
              </w:rPr>
            </w:pPr>
            <w:r>
              <w:rPr>
                <w:rFonts w:hint="default" w:ascii="Times New Roman" w:hAnsi="Times New Roman" w:cs="Times New Roman"/>
                <w:b/>
                <w:bCs/>
                <w:color w:val="auto"/>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sz w:val="22"/>
              </w:rPr>
            </w:pPr>
            <w:r>
              <w:rPr>
                <w:rFonts w:hint="default" w:ascii="Times New Roman" w:hAnsi="Times New Roman" w:eastAsia="宋体" w:cs="Times New Roman"/>
                <w:color w:val="auto"/>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2"/>
                <w:lang w:val="en-US" w:eastAsia="zh-CN"/>
              </w:rPr>
            </w:pPr>
            <w:r>
              <w:rPr>
                <w:rFonts w:hint="default" w:ascii="Times New Roman" w:hAnsi="Times New Roman" w:cs="Times New Roman"/>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color w:val="auto"/>
                <w:sz w:val="22"/>
              </w:rPr>
            </w:pPr>
            <w:r>
              <w:rPr>
                <w:rFonts w:hint="default" w:ascii="Times New Roman" w:hAnsi="Times New Roman" w:cs="Times New Roman"/>
                <w:color w:val="auto"/>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sz w:val="22"/>
              </w:rPr>
            </w:pPr>
            <w:r>
              <w:rPr>
                <w:rFonts w:hint="default" w:ascii="Times New Roman" w:hAnsi="Times New Roman" w:eastAsia="宋体" w:cs="Times New Roman"/>
                <w:color w:val="auto"/>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2"/>
                <w:lang w:val="en-US" w:eastAsia="zh-CN"/>
              </w:rPr>
            </w:pPr>
            <w:r>
              <w:rPr>
                <w:rFonts w:hint="default" w:ascii="Times New Roman" w:hAnsi="Times New Roman" w:cs="Times New Roman"/>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color w:val="auto"/>
                <w:sz w:val="22"/>
              </w:rPr>
            </w:pPr>
            <w:r>
              <w:rPr>
                <w:rFonts w:hint="default" w:ascii="Times New Roman" w:hAnsi="Times New Roman" w:cs="Times New Roman"/>
                <w:color w:val="auto"/>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sz w:val="22"/>
              </w:rPr>
            </w:pPr>
            <w:r>
              <w:rPr>
                <w:rFonts w:hint="default" w:ascii="Times New Roman" w:hAnsi="Times New Roman" w:eastAsia="宋体" w:cs="Times New Roman"/>
                <w:color w:val="auto"/>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2"/>
                <w:lang w:val="en-US" w:eastAsia="zh-CN"/>
              </w:rPr>
            </w:pPr>
            <w:r>
              <w:rPr>
                <w:rFonts w:hint="default" w:ascii="Times New Roman" w:hAnsi="Times New Roman" w:cs="Times New Roman"/>
                <w:color w:val="auto"/>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color w:val="auto"/>
                <w:sz w:val="22"/>
              </w:rPr>
            </w:pPr>
            <w:r>
              <w:rPr>
                <w:rFonts w:hint="default" w:ascii="Times New Roman" w:hAnsi="Times New Roman" w:cs="Times New Roman"/>
                <w:color w:val="auto"/>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sz w:val="22"/>
              </w:rPr>
            </w:pPr>
            <w:r>
              <w:rPr>
                <w:rFonts w:hint="default" w:ascii="Times New Roman" w:hAnsi="Times New Roman" w:eastAsia="宋体" w:cs="Times New Roman"/>
                <w:color w:val="auto"/>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2"/>
                <w:lang w:val="en-US" w:eastAsia="zh-CN"/>
              </w:rPr>
            </w:pPr>
            <w:r>
              <w:rPr>
                <w:rFonts w:hint="default" w:ascii="Times New Roman" w:hAnsi="Times New Roman" w:cs="Times New Roman"/>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color w:val="auto"/>
                <w:sz w:val="22"/>
              </w:rPr>
            </w:pPr>
            <w:r>
              <w:rPr>
                <w:rFonts w:hint="default" w:ascii="Times New Roman" w:hAnsi="Times New Roman" w:cs="Times New Roman"/>
                <w:color w:val="auto"/>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auto"/>
                <w:sz w:val="22"/>
              </w:rPr>
            </w:pPr>
            <w:r>
              <w:rPr>
                <w:rFonts w:hint="default" w:ascii="Times New Roman" w:hAnsi="Times New Roman" w:cs="Times New Roman"/>
                <w:b/>
                <w:bCs/>
                <w:color w:val="auto"/>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auto"/>
                <w:sz w:val="22"/>
                <w:lang w:val="en-US" w:eastAsia="zh-CN"/>
              </w:rPr>
            </w:pPr>
            <w:r>
              <w:rPr>
                <w:rFonts w:hint="default" w:ascii="Times New Roman" w:hAnsi="Times New Roman" w:cs="Times New Roman"/>
                <w:b/>
                <w:bCs/>
                <w:color w:val="auto"/>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auto"/>
                <w:sz w:val="22"/>
              </w:rPr>
            </w:pPr>
            <w:r>
              <w:rPr>
                <w:rFonts w:hint="default" w:ascii="Times New Roman" w:hAnsi="Times New Roman" w:cs="Times New Roman"/>
                <w:b/>
                <w:bCs/>
                <w:color w:val="auto"/>
                <w:sz w:val="22"/>
                <w:lang w:val="en-US" w:eastAsia="zh-CN"/>
              </w:rPr>
              <w:t>100</w:t>
            </w:r>
          </w:p>
        </w:tc>
      </w:tr>
    </w:tbl>
    <w:p>
      <w:pPr>
        <w:spacing w:line="560" w:lineRule="exact"/>
        <w:rPr>
          <w:rFonts w:hint="default" w:ascii="Times New Roman" w:hAnsi="Times New Roman" w:eastAsia="黑体" w:cs="Times New Roman"/>
          <w:bCs/>
          <w:color w:val="auto"/>
          <w:sz w:val="32"/>
          <w:szCs w:val="32"/>
          <w:lang w:val="en-US" w:eastAsia="zh-CN"/>
        </w:rPr>
      </w:pPr>
      <w:bookmarkStart w:id="10" w:name="_Toc68703837"/>
      <w:r>
        <w:rPr>
          <w:rFonts w:hint="default" w:ascii="Times New Roman" w:hAnsi="Times New Roman" w:eastAsia="黑体" w:cs="Times New Roman"/>
          <w:bCs/>
          <w:color w:val="auto"/>
          <w:sz w:val="32"/>
          <w:szCs w:val="32"/>
          <w:lang w:val="en-US" w:eastAsia="zh-CN"/>
        </w:rPr>
        <w:t>四、绩效评价指标分析</w:t>
      </w:r>
      <w:bookmarkEnd w:id="10"/>
    </w:p>
    <w:p>
      <w:pPr>
        <w:spacing w:line="560" w:lineRule="exact"/>
        <w:rPr>
          <w:rFonts w:hint="default" w:ascii="Times New Roman" w:hAnsi="Times New Roman" w:eastAsia="楷体_GB2312" w:cs="Times New Roman"/>
          <w:b/>
          <w:bCs/>
          <w:color w:val="auto"/>
          <w:kern w:val="2"/>
          <w:sz w:val="32"/>
          <w:szCs w:val="32"/>
          <w:lang w:val="en-US" w:eastAsia="zh-CN" w:bidi="ar-SA"/>
        </w:rPr>
      </w:pPr>
      <w:bookmarkStart w:id="11" w:name="_Toc68703838"/>
      <w:r>
        <w:rPr>
          <w:rFonts w:hint="default" w:ascii="Times New Roman" w:hAnsi="Times New Roman" w:eastAsia="楷体_GB2312" w:cs="Times New Roman"/>
          <w:b/>
          <w:bCs/>
          <w:color w:val="auto"/>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color w:val="auto"/>
          <w:lang w:val="en-US" w:eastAsia="zh-CN"/>
        </w:rPr>
      </w:pPr>
      <w:r>
        <w:rPr>
          <w:rFonts w:hint="default" w:ascii="Times New Roman" w:hAnsi="Times New Roman" w:cs="Times New Roman"/>
          <w:b w:val="0"/>
          <w:bCs w:val="0"/>
          <w:color w:val="auto"/>
          <w:sz w:val="32"/>
          <w:szCs w:val="32"/>
          <w:lang w:val="en-US" w:eastAsia="zh-CN"/>
        </w:rPr>
        <w:t>　　项目决策类指标包括项目立项、绩效目标和资金投入三方面的内容，由6个三级指标构成，权重分值为20分，实际得分20分，得分率为100%。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cs="Times New Roman"/>
          <w:b/>
          <w:bCs/>
          <w:color w:val="auto"/>
          <w:sz w:val="32"/>
          <w:szCs w:val="32"/>
          <w:lang w:val="en-US" w:eastAsia="zh-CN"/>
        </w:rPr>
        <w:t>1.</w:t>
      </w:r>
      <w:r>
        <w:rPr>
          <w:rFonts w:hint="default" w:ascii="Times New Roman" w:hAnsi="Times New Roman" w:eastAsia="仿宋_GB2312" w:cs="Times New Roman"/>
          <w:b/>
          <w:bCs/>
          <w:color w:val="auto"/>
          <w:sz w:val="32"/>
          <w:szCs w:val="32"/>
          <w:lang w:val="en-US" w:eastAsia="zh-CN"/>
        </w:rPr>
        <w:t>项目立项</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（1）立项依据充分性</w:t>
      </w:r>
    </w:p>
    <w:p>
      <w:pPr>
        <w:shd w:val="clear"/>
        <w:spacing w:line="600" w:lineRule="exact"/>
        <w:ind w:firstLine="640" w:firstLineChars="200"/>
        <w:outlineLvl w:val="0"/>
        <w:rPr>
          <w:rFonts w:hint="default" w:ascii="Times New Roman" w:hAnsi="Times New Roman" w:cs="Times New Roman"/>
          <w:color w:val="auto"/>
          <w:sz w:val="32"/>
          <w:szCs w:val="32"/>
        </w:rPr>
      </w:pPr>
      <w:r>
        <w:rPr>
          <w:rFonts w:hint="default" w:ascii="Times New Roman" w:hAnsi="Times New Roman" w:eastAsia="仿宋_GB2312" w:cs="Times New Roman"/>
          <w:color w:val="auto"/>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b w:val="0"/>
          <w:bCs w:val="0"/>
          <w:color w:val="auto"/>
          <w:sz w:val="32"/>
          <w:szCs w:val="32"/>
        </w:rPr>
      </w:pPr>
      <w:r>
        <w:rPr>
          <w:rFonts w:hint="default" w:ascii="Times New Roman" w:hAnsi="Times New Roman" w:cs="Times New Roman"/>
          <w:b w:val="0"/>
          <w:bCs w:val="0"/>
          <w:color w:val="auto"/>
          <w:sz w:val="32"/>
          <w:szCs w:val="32"/>
        </w:rPr>
        <w:t>2</w:t>
      </w:r>
      <w:r>
        <w:rPr>
          <w:rFonts w:hint="default" w:ascii="Times New Roman" w:hAnsi="Times New Roman" w:cs="Times New Roman"/>
          <w:b w:val="0"/>
          <w:bCs w:val="0"/>
          <w:color w:val="auto"/>
          <w:sz w:val="32"/>
          <w:szCs w:val="32"/>
          <w:lang w:val="en-US" w:eastAsia="zh-CN"/>
        </w:rPr>
        <w:t>.</w:t>
      </w:r>
      <w:r>
        <w:rPr>
          <w:rFonts w:hint="default" w:ascii="Times New Roman" w:hAnsi="Times New Roman" w:cs="Times New Roman"/>
          <w:b w:val="0"/>
          <w:bCs w:val="0"/>
          <w:color w:val="auto"/>
          <w:sz w:val="32"/>
          <w:szCs w:val="32"/>
        </w:rPr>
        <w:t>立项程序规范性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项目申请、设立过程符合相关要求，</w:t>
      </w:r>
      <w:r>
        <w:rPr>
          <w:rFonts w:hint="default" w:ascii="Times New Roman" w:hAnsi="Times New Roman" w:eastAsia="仿宋_GB2312" w:cs="Times New Roman"/>
          <w:color w:val="auto"/>
          <w:sz w:val="32"/>
          <w:szCs w:val="32"/>
          <w:lang w:eastAsia="zh-Hans"/>
        </w:rPr>
        <w:t>严格按照审批流程准备符合要求的文件、材料；</w:t>
      </w:r>
      <w:r>
        <w:rPr>
          <w:rFonts w:hint="default" w:ascii="Times New Roman" w:hAnsi="Times New Roman" w:eastAsia="仿宋_GB2312" w:cs="Times New Roman"/>
          <w:color w:val="auto"/>
          <w:sz w:val="32"/>
          <w:szCs w:val="32"/>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cs="Times New Roman"/>
          <w:b w:val="0"/>
          <w:bCs w:val="0"/>
          <w:color w:val="auto"/>
          <w:sz w:val="32"/>
          <w:szCs w:val="32"/>
        </w:rPr>
      </w:pPr>
      <w:r>
        <w:rPr>
          <w:rFonts w:hint="default" w:ascii="Times New Roman" w:hAnsi="Times New Roman" w:eastAsia="仿宋_GB2312" w:cs="Times New Roman"/>
          <w:b/>
          <w:bCs/>
          <w:color w:val="auto"/>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Hans"/>
        </w:rPr>
        <w:t>年初结合实际工作内容</w:t>
      </w:r>
      <w:r>
        <w:rPr>
          <w:rFonts w:hint="default" w:ascii="Times New Roman" w:hAnsi="Times New Roman" w:eastAsia="仿宋_GB2312" w:cs="Times New Roman"/>
          <w:color w:val="auto"/>
          <w:sz w:val="32"/>
          <w:szCs w:val="32"/>
          <w:lang w:val="en-US" w:eastAsia="zh-CN"/>
        </w:rPr>
        <w:t>设定绩效目标</w:t>
      </w:r>
      <w:r>
        <w:rPr>
          <w:rFonts w:hint="default" w:ascii="Times New Roman" w:hAnsi="Times New Roman" w:eastAsia="仿宋_GB2312" w:cs="Times New Roman"/>
          <w:color w:val="auto"/>
          <w:sz w:val="32"/>
          <w:szCs w:val="32"/>
          <w:lang w:val="en-US" w:eastAsia="zh-Hans"/>
        </w:rPr>
        <w:t>，绩效目标</w:t>
      </w:r>
      <w:r>
        <w:rPr>
          <w:rFonts w:hint="default" w:ascii="Times New Roman" w:hAnsi="Times New Roman" w:eastAsia="仿宋_GB2312" w:cs="Times New Roman"/>
          <w:color w:val="auto"/>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bookmarkStart w:id="12" w:name="_Hlk68699917"/>
      <w:r>
        <w:rPr>
          <w:rFonts w:hint="default" w:ascii="Times New Roman" w:hAnsi="Times New Roman" w:eastAsia="仿宋_GB2312" w:cs="Times New Roman"/>
          <w:color w:val="auto"/>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cs="Times New Roman"/>
          <w:b/>
          <w:bCs/>
          <w:color w:val="auto"/>
          <w:sz w:val="32"/>
          <w:szCs w:val="32"/>
          <w:lang w:val="en-US" w:eastAsia="zh-CN"/>
        </w:rPr>
        <w:t>3.</w:t>
      </w:r>
      <w:r>
        <w:rPr>
          <w:rFonts w:hint="default" w:ascii="Times New Roman" w:hAnsi="Times New Roman" w:eastAsia="仿宋_GB2312" w:cs="Times New Roman"/>
          <w:b/>
          <w:bCs/>
          <w:color w:val="auto"/>
          <w:sz w:val="32"/>
          <w:szCs w:val="32"/>
          <w:lang w:val="en-US" w:eastAsia="zh-CN"/>
        </w:rPr>
        <w:t>资金投入</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（1）预算编制科学性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（2）资金分配合理性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hint="default" w:ascii="Times New Roman" w:hAnsi="Times New Roman" w:eastAsia="楷体" w:cs="Times New Roman"/>
          <w:color w:val="auto"/>
        </w:rPr>
      </w:pPr>
      <w:r>
        <w:rPr>
          <w:rFonts w:hint="default" w:ascii="Times New Roman" w:hAnsi="Times New Roman" w:eastAsia="楷体" w:cs="Times New Roman"/>
          <w:color w:val="auto"/>
          <w:lang w:eastAsia="zh-CN"/>
        </w:rPr>
        <w:t>（二）</w:t>
      </w:r>
      <w:r>
        <w:rPr>
          <w:rFonts w:hint="default" w:ascii="Times New Roman" w:hAnsi="Times New Roman" w:eastAsia="楷体" w:cs="Times New Roman"/>
          <w:color w:val="auto"/>
        </w:rPr>
        <w:t>项目过程情况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lang w:val="en-US" w:eastAsia="zh-CN"/>
        </w:rPr>
        <w:t>项目过程类指标包括资金管理和组织实施两方面的内容，由</w:t>
      </w:r>
      <w:r>
        <w:rPr>
          <w:rFonts w:hint="default" w:ascii="Times New Roman" w:hAnsi="Times New Roman" w:eastAsia="仿宋_GB2312" w:cs="Times New Roman"/>
          <w:color w:val="auto"/>
          <w:sz w:val="32"/>
          <w:szCs w:val="32"/>
          <w:highlight w:val="none"/>
          <w:lang w:val="en-US" w:eastAsia="zh-CN"/>
        </w:rPr>
        <w:t>5个</w:t>
      </w:r>
      <w:r>
        <w:rPr>
          <w:rFonts w:hint="default" w:ascii="Times New Roman" w:hAnsi="Times New Roman" w:eastAsia="仿宋_GB2312" w:cs="Times New Roman"/>
          <w:color w:val="auto"/>
          <w:sz w:val="32"/>
          <w:szCs w:val="32"/>
          <w:lang w:val="en-US" w:eastAsia="zh-CN"/>
        </w:rPr>
        <w:t>三级指标构成，权重分值为20分，</w:t>
      </w:r>
      <w:r>
        <w:rPr>
          <w:rFonts w:hint="default" w:ascii="Times New Roman" w:hAnsi="Times New Roman" w:eastAsia="仿宋_GB2312" w:cs="Times New Roman"/>
          <w:color w:val="auto"/>
          <w:sz w:val="32"/>
          <w:szCs w:val="32"/>
          <w:highlight w:val="none"/>
          <w:lang w:val="en-US" w:eastAsia="zh-CN"/>
        </w:rPr>
        <w:t>实际得分</w:t>
      </w:r>
      <w:r>
        <w:rPr>
          <w:rFonts w:hint="default" w:ascii="Times New Roman" w:hAnsi="Times New Roman"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default" w:ascii="Times New Roman" w:hAnsi="Times New Roman"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本项目</w:t>
      </w:r>
      <w:r>
        <w:rPr>
          <w:rFonts w:hint="default" w:ascii="Times New Roman" w:hAnsi="Times New Roman" w:eastAsia="仿宋_GB2312" w:cs="Times New Roman"/>
          <w:color w:val="auto"/>
          <w:sz w:val="32"/>
          <w:szCs w:val="32"/>
          <w:highlight w:val="none"/>
          <w:lang w:val="en-US" w:eastAsia="zh-CN"/>
        </w:rPr>
        <w:t>总投资</w:t>
      </w:r>
      <w:r>
        <w:rPr>
          <w:rFonts w:hint="default" w:ascii="Times New Roman" w:hAnsi="Times New Roman" w:cs="Times New Roman"/>
          <w:color w:val="auto"/>
          <w:sz w:val="32"/>
          <w:szCs w:val="32"/>
          <w:highlight w:val="none"/>
          <w:lang w:val="en-US" w:eastAsia="zh-CN"/>
        </w:rPr>
        <w:t>137.00</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default" w:ascii="Times New Roman" w:hAnsi="Times New Roman" w:cs="Times New Roman"/>
          <w:color w:val="auto"/>
          <w:sz w:val="32"/>
          <w:szCs w:val="32"/>
          <w:highlight w:val="none"/>
          <w:lang w:val="en-US" w:eastAsia="zh-CN"/>
        </w:rPr>
        <w:t>100.00</w:t>
      </w:r>
      <w:r>
        <w:rPr>
          <w:rFonts w:hint="default" w:ascii="Times New Roman" w:hAnsi="Times New Roman" w:eastAsia="仿宋_GB2312" w:cs="Times New Roman"/>
          <w:color w:val="auto"/>
          <w:sz w:val="32"/>
          <w:szCs w:val="32"/>
          <w:highlight w:val="none"/>
          <w:lang w:val="en-US" w:eastAsia="zh-CN"/>
        </w:rPr>
        <w:t>%，预算</w:t>
      </w:r>
      <w:r>
        <w:rPr>
          <w:rFonts w:hint="default" w:ascii="Times New Roman" w:hAnsi="Times New Roman" w:eastAsia="仿宋_GB2312" w:cs="Times New Roman"/>
          <w:color w:val="auto"/>
          <w:sz w:val="32"/>
          <w:szCs w:val="32"/>
          <w:lang w:val="en-US" w:eastAsia="zh-CN"/>
        </w:rPr>
        <w:t>资金按计划进度执行。</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预算编制较为详细，项目资金支出总体能够按照预算执行，</w:t>
      </w:r>
      <w:r>
        <w:rPr>
          <w:rFonts w:hint="default" w:ascii="Times New Roman" w:hAnsi="Times New Roman" w:eastAsia="仿宋_GB2312" w:cs="Times New Roman"/>
          <w:color w:val="auto"/>
          <w:sz w:val="32"/>
          <w:szCs w:val="32"/>
          <w:highlight w:val="none"/>
          <w:lang w:val="en-US" w:eastAsia="zh-CN"/>
        </w:rPr>
        <w:t>预算资金支出</w:t>
      </w:r>
      <w:r>
        <w:rPr>
          <w:rFonts w:hint="default" w:ascii="Times New Roman" w:hAnsi="Times New Roman" w:cs="Times New Roman"/>
          <w:color w:val="auto"/>
          <w:sz w:val="32"/>
          <w:szCs w:val="32"/>
          <w:highlight w:val="none"/>
          <w:lang w:val="en-US" w:eastAsia="zh-CN"/>
        </w:rPr>
        <w:t>137.00</w:t>
      </w:r>
      <w:r>
        <w:rPr>
          <w:rFonts w:hint="default" w:ascii="Times New Roman" w:hAnsi="Times New Roman" w:eastAsia="仿宋_GB2312" w:cs="Times New Roman"/>
          <w:color w:val="auto"/>
          <w:sz w:val="32"/>
          <w:szCs w:val="32"/>
          <w:highlight w:val="none"/>
          <w:lang w:val="en-US" w:eastAsia="zh-CN"/>
        </w:rPr>
        <w:t>万元，预算执行率为</w:t>
      </w:r>
      <w:r>
        <w:rPr>
          <w:rFonts w:hint="default" w:ascii="Times New Roman" w:hAnsi="Times New Roman" w:cs="Times New Roman"/>
          <w:color w:val="auto"/>
          <w:sz w:val="32"/>
          <w:szCs w:val="32"/>
          <w:highlight w:val="none"/>
          <w:lang w:val="en-US" w:eastAsia="zh-CN"/>
        </w:rPr>
        <w:t>100.00</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（3）资金使用合规性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（1）管理制度健全性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（2）制度执行有效性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numPr>
          <w:ilvl w:val="0"/>
          <w:numId w:val="0"/>
        </w:numPr>
        <w:rPr>
          <w:rFonts w:hint="default" w:ascii="Times New Roman" w:hAnsi="Times New Roman" w:eastAsia="楷体_GB2312" w:cs="Times New Roman"/>
          <w:b/>
          <w:bCs/>
          <w:color w:val="auto"/>
          <w:kern w:val="2"/>
          <w:sz w:val="32"/>
          <w:szCs w:val="32"/>
          <w:lang w:val="en-US" w:eastAsia="zh-CN" w:bidi="ar-SA"/>
        </w:rPr>
      </w:pPr>
      <w:bookmarkStart w:id="13" w:name="_Toc68703840"/>
      <w:r>
        <w:rPr>
          <w:rFonts w:hint="default" w:ascii="Times New Roman" w:hAnsi="Times New Roman" w:eastAsia="楷体_GB2312" w:cs="Times New Roman"/>
          <w:b/>
          <w:bCs/>
          <w:color w:val="auto"/>
          <w:kern w:val="2"/>
          <w:sz w:val="32"/>
          <w:szCs w:val="32"/>
          <w:lang w:val="en-US" w:eastAsia="zh-CN" w:bidi="ar-SA"/>
        </w:rPr>
        <w:t>（三）项目产出情况</w:t>
      </w:r>
      <w:bookmarkEnd w:id="13"/>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项目产出类指标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包括产出数量、产出质量、产出时效、产出成本四方面的内容，由</w:t>
      </w:r>
      <w:r>
        <w:rPr>
          <w:rFonts w:hint="eastAsia" w:ascii="Times New Roman" w:hAnsi="Times New Roman"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个三级指标构成，权重分为</w:t>
      </w:r>
      <w:r>
        <w:rPr>
          <w:rFonts w:hint="default" w:ascii="Times New Roman" w:hAnsi="Times New Roman"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0分，实际得分</w:t>
      </w:r>
      <w:r>
        <w:rPr>
          <w:rFonts w:hint="default" w:ascii="Times New Roman" w:hAnsi="Times New Roman"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w:t>
      </w:r>
      <w:r>
        <w:rPr>
          <w:rFonts w:hint="default" w:ascii="Times New Roman" w:hAnsi="Times New Roman"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w:t>
      </w:r>
      <w:r>
        <w:rPr>
          <w:rFonts w:hint="default" w:ascii="Times New Roman" w:hAnsi="Times New Roman" w:eastAsia="仿宋_GB2312" w:cs="Times New Roman"/>
          <w:color w:val="auto"/>
          <w:sz w:val="32"/>
          <w:szCs w:val="32"/>
          <w:lang w:val="en-US" w:eastAsia="zh-CN"/>
        </w:rPr>
        <w:t>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cs="Times New Roman"/>
          <w:color w:val="auto"/>
          <w:sz w:val="32"/>
          <w:szCs w:val="32"/>
        </w:rPr>
        <w:t>指标1：</w:t>
      </w:r>
      <w:r>
        <w:rPr>
          <w:rFonts w:hint="default" w:ascii="Times New Roman" w:hAnsi="Times New Roman" w:cs="Times New Roman"/>
          <w:color w:val="auto"/>
          <w:sz w:val="32"/>
          <w:szCs w:val="32"/>
          <w:lang w:eastAsia="zh-CN"/>
        </w:rPr>
        <w:t>购置密码保护设备</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4台</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4台</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cs="Times New Roman"/>
          <w:color w:val="auto"/>
          <w:sz w:val="32"/>
          <w:szCs w:val="32"/>
        </w:rPr>
        <w:t>指标2：</w:t>
      </w:r>
      <w:r>
        <w:rPr>
          <w:rFonts w:hint="default" w:ascii="Times New Roman" w:hAnsi="Times New Roman" w:cs="Times New Roman"/>
          <w:color w:val="auto"/>
          <w:sz w:val="32"/>
          <w:szCs w:val="32"/>
          <w:lang w:eastAsia="zh-CN"/>
        </w:rPr>
        <w:t>密码三级测评</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val="en-US" w:eastAsia="zh-CN"/>
        </w:rPr>
        <w:t>=1次</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1次</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lang w:eastAsia="zh-CN"/>
        </w:rPr>
      </w:pPr>
      <w:r>
        <w:rPr>
          <w:rFonts w:hint="default" w:ascii="Times New Roman" w:hAnsi="Times New Roman" w:cs="Times New Roman"/>
          <w:color w:val="auto"/>
          <w:sz w:val="32"/>
          <w:szCs w:val="32"/>
        </w:rPr>
        <w:t>指标1：</w:t>
      </w:r>
      <w:r>
        <w:rPr>
          <w:rFonts w:hint="default" w:ascii="Times New Roman" w:hAnsi="Times New Roman" w:cs="Times New Roman"/>
          <w:color w:val="auto"/>
          <w:sz w:val="32"/>
          <w:szCs w:val="32"/>
          <w:lang w:eastAsia="zh-CN"/>
        </w:rPr>
        <w:t>设备验收合格率</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lang w:eastAsia="zh-CN"/>
        </w:rPr>
      </w:pPr>
      <w:r>
        <w:rPr>
          <w:rFonts w:hint="default" w:ascii="Times New Roman" w:hAnsi="Times New Roman" w:cs="Times New Roman"/>
          <w:color w:val="auto"/>
          <w:sz w:val="32"/>
          <w:szCs w:val="32"/>
        </w:rPr>
        <w:t>指标2：</w:t>
      </w:r>
      <w:r>
        <w:rPr>
          <w:rFonts w:hint="default" w:ascii="Times New Roman" w:hAnsi="Times New Roman" w:cs="Times New Roman"/>
          <w:color w:val="auto"/>
          <w:sz w:val="32"/>
          <w:szCs w:val="32"/>
          <w:lang w:eastAsia="zh-CN"/>
        </w:rPr>
        <w:t>设备质量合格率</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lang w:eastAsia="zh-CN"/>
        </w:rPr>
      </w:pPr>
      <w:r>
        <w:rPr>
          <w:rFonts w:hint="default" w:ascii="Times New Roman" w:hAnsi="Times New Roman" w:cs="Times New Roman"/>
          <w:color w:val="auto"/>
          <w:sz w:val="32"/>
          <w:szCs w:val="32"/>
        </w:rPr>
        <w:t>指标</w:t>
      </w:r>
      <w:r>
        <w:rPr>
          <w:rFonts w:hint="default" w:ascii="Times New Roman" w:hAnsi="Times New Roman" w:cs="Times New Roman"/>
          <w:color w:val="auto"/>
          <w:sz w:val="32"/>
          <w:szCs w:val="32"/>
          <w:lang w:val="en-US" w:eastAsia="zh-CN"/>
        </w:rPr>
        <w:t>3</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政府采购率</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bookmarkStart w:id="14" w:name="_Toc68703841"/>
      <w:r>
        <w:rPr>
          <w:rFonts w:hint="default" w:ascii="Times New Roman" w:hAnsi="Times New Roman" w:cs="Times New Roman"/>
          <w:color w:val="auto"/>
          <w:sz w:val="32"/>
          <w:szCs w:val="32"/>
        </w:rPr>
        <w:t>指标1：</w:t>
      </w:r>
      <w:r>
        <w:rPr>
          <w:rFonts w:hint="default" w:ascii="Times New Roman" w:hAnsi="Times New Roman" w:cs="Times New Roman"/>
          <w:color w:val="auto"/>
          <w:sz w:val="32"/>
          <w:szCs w:val="32"/>
          <w:lang w:eastAsia="zh-CN"/>
        </w:rPr>
        <w:t>设备采购完成时间</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val="en-US" w:eastAsia="zh-CN"/>
        </w:rPr>
        <w:t>2023年12月31日</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2023年10月16日</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fldChar w:fldCharType="begin"/>
      </w:r>
      <w:r>
        <w:rPr>
          <w:rFonts w:hint="default" w:ascii="Times New Roman" w:hAnsi="Times New Roman" w:eastAsia="仿宋_GB2312" w:cs="Times New Roman"/>
          <w:color w:val="auto"/>
          <w:sz w:val="32"/>
          <w:szCs w:val="32"/>
          <w:highlight w:val="none"/>
          <w:lang w:val="en-US" w:eastAsia="zh-CN"/>
        </w:rPr>
        <w:instrText xml:space="preserve"> = 4 \* GB3 </w:instrText>
      </w:r>
      <w:r>
        <w:rPr>
          <w:rFonts w:hint="default" w:ascii="Times New Roman" w:hAnsi="Times New Roman" w:eastAsia="仿宋_GB2312" w:cs="Times New Roman"/>
          <w:color w:val="auto"/>
          <w:sz w:val="32"/>
          <w:szCs w:val="32"/>
          <w:highlight w:val="none"/>
          <w:lang w:val="en-US" w:eastAsia="zh-CN"/>
        </w:rPr>
        <w:fldChar w:fldCharType="separate"/>
      </w:r>
      <w:r>
        <w:rPr>
          <w:rFonts w:hint="default" w:ascii="Times New Roman" w:hAnsi="Times New Roman" w:eastAsia="仿宋_GB2312" w:cs="Times New Roman"/>
          <w:color w:val="auto"/>
          <w:sz w:val="32"/>
          <w:szCs w:val="32"/>
          <w:highlight w:val="none"/>
          <w:lang w:val="en-US" w:eastAsia="zh-CN"/>
        </w:rPr>
        <w:t>④</w:t>
      </w:r>
      <w:r>
        <w:rPr>
          <w:rFonts w:hint="default" w:ascii="Times New Roman" w:hAnsi="Times New Roman" w:eastAsia="仿宋_GB2312" w:cs="Times New Roman"/>
          <w:color w:val="auto"/>
          <w:sz w:val="32"/>
          <w:szCs w:val="32"/>
          <w:highlight w:val="none"/>
          <w:lang w:val="en-US" w:eastAsia="zh-CN"/>
        </w:rPr>
        <w:fldChar w:fldCharType="end"/>
      </w:r>
      <w:r>
        <w:rPr>
          <w:rFonts w:hint="default" w:ascii="Times New Roman" w:hAnsi="Times New Roman" w:eastAsia="仿宋_GB2312" w:cs="Times New Roman"/>
          <w:color w:val="auto"/>
          <w:sz w:val="32"/>
          <w:szCs w:val="32"/>
          <w:highlight w:val="none"/>
          <w:lang w:val="en-US" w:eastAsia="zh-CN"/>
        </w:rPr>
        <w:t>成本指标：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指标1：</w:t>
      </w:r>
      <w:r>
        <w:rPr>
          <w:rFonts w:hint="default" w:ascii="Times New Roman" w:hAnsi="Times New Roman" w:cs="Times New Roman"/>
          <w:color w:val="auto"/>
          <w:sz w:val="32"/>
          <w:szCs w:val="32"/>
          <w:lang w:eastAsia="zh-CN"/>
        </w:rPr>
        <w:t>购置密码保护设备成本</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val="en-US" w:eastAsia="zh-CN"/>
        </w:rPr>
        <w:t>≤124万元</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124万元</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cs="Times New Roman"/>
          <w:color w:val="auto"/>
          <w:sz w:val="32"/>
          <w:szCs w:val="32"/>
        </w:rPr>
        <w:t>指标</w:t>
      </w:r>
      <w:r>
        <w:rPr>
          <w:rFonts w:hint="default" w:ascii="Times New Roman" w:hAnsi="Times New Roman" w:cs="Times New Roman"/>
          <w:color w:val="auto"/>
          <w:sz w:val="32"/>
          <w:szCs w:val="32"/>
          <w:lang w:val="en-US" w:eastAsia="zh-CN"/>
        </w:rPr>
        <w:t>2</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密码三级测评成本</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val="en-US" w:eastAsia="zh-CN"/>
        </w:rPr>
        <w:t>≤13万元</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13万元</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default" w:ascii="Times New Roman" w:hAnsi="Times New Roman" w:eastAsia="楷体_GB2312" w:cs="Times New Roman"/>
          <w:b/>
          <w:bCs/>
          <w:color w:val="auto"/>
          <w:kern w:val="2"/>
          <w:sz w:val="32"/>
          <w:szCs w:val="32"/>
          <w:lang w:val="en-US" w:eastAsia="zh-CN" w:bidi="ar-SA"/>
        </w:rPr>
      </w:pPr>
      <w:r>
        <w:rPr>
          <w:rFonts w:hint="default" w:ascii="Times New Roman" w:hAnsi="Times New Roman" w:eastAsia="楷体_GB2312" w:cs="Times New Roman"/>
          <w:b/>
          <w:bCs/>
          <w:color w:val="auto"/>
          <w:kern w:val="2"/>
          <w:sz w:val="32"/>
          <w:szCs w:val="32"/>
          <w:lang w:val="en-US" w:eastAsia="zh-CN" w:bidi="ar-SA"/>
        </w:rPr>
        <w:t>（四）项目效益情况</w:t>
      </w:r>
      <w:bookmarkEnd w:id="14"/>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cs="Times New Roman"/>
          <w:color w:val="auto"/>
          <w:lang w:val="en-US" w:eastAsia="zh-CN"/>
        </w:rPr>
      </w:pPr>
      <w:r>
        <w:rPr>
          <w:rFonts w:hint="default" w:ascii="Times New Roman" w:hAnsi="Times New Roman" w:eastAsia="仿宋_GB2312" w:cs="Times New Roman"/>
          <w:color w:val="auto"/>
          <w:sz w:val="32"/>
          <w:szCs w:val="32"/>
          <w:lang w:val="en-US" w:eastAsia="zh-CN"/>
        </w:rPr>
        <w:t>项目效益类</w:t>
      </w:r>
      <w:r>
        <w:rPr>
          <w:rFonts w:hint="default" w:ascii="Times New Roman" w:hAnsi="Times New Roman" w:eastAsia="仿宋_GB2312" w:cs="Times New Roman"/>
          <w:color w:val="auto"/>
          <w:sz w:val="32"/>
          <w:szCs w:val="32"/>
          <w:highlight w:val="none"/>
          <w:lang w:val="en-US" w:eastAsia="zh-CN"/>
        </w:rPr>
        <w:t>指标包括项目实施效益和满意度两方面的内容，由</w:t>
      </w:r>
      <w:r>
        <w:rPr>
          <w:rFonts w:hint="default" w:ascii="Times New Roman" w:hAnsi="Times New Roman"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w:t>
      </w:r>
      <w:r>
        <w:rPr>
          <w:rFonts w:hint="default" w:ascii="Times New Roman" w:hAnsi="Times New Roman"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0分，实际得分</w:t>
      </w:r>
      <w:r>
        <w:rPr>
          <w:rFonts w:hint="default" w:ascii="Times New Roman" w:hAnsi="Times New Roman"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default" w:ascii="Times New Roman" w:hAnsi="Times New Roman"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w:t>
      </w:r>
      <w:r>
        <w:rPr>
          <w:rFonts w:hint="default" w:ascii="Times New Roman" w:hAnsi="Times New Roman" w:eastAsia="仿宋_GB2312" w:cs="Times New Roman"/>
          <w:color w:val="auto"/>
          <w:sz w:val="32"/>
          <w:szCs w:val="32"/>
          <w:lang w:val="en-US" w:eastAsia="zh-CN"/>
        </w:rPr>
        <w:t>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社会效益指标：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指标1：</w:t>
      </w:r>
      <w:r>
        <w:rPr>
          <w:rFonts w:hint="default" w:ascii="Times New Roman" w:hAnsi="Times New Roman" w:cs="Times New Roman"/>
          <w:color w:val="auto"/>
          <w:sz w:val="32"/>
          <w:szCs w:val="32"/>
          <w:lang w:eastAsia="zh-CN"/>
        </w:rPr>
        <w:t>商用密码使得设备得到密码保护</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①</w:t>
      </w:r>
      <w:r>
        <w:rPr>
          <w:rFonts w:hint="eastAsia" w:cs="Times New Roman"/>
          <w:color w:val="auto"/>
          <w:sz w:val="32"/>
          <w:szCs w:val="32"/>
          <w:highlight w:val="none"/>
          <w:lang w:val="en-US" w:eastAsia="zh-CN"/>
        </w:rPr>
        <w:t>满意度指标：</w:t>
      </w:r>
    </w:p>
    <w:p>
      <w:pPr>
        <w:shd w:val="clear"/>
        <w:spacing w:line="600" w:lineRule="exact"/>
        <w:ind w:firstLine="640" w:firstLineChars="200"/>
        <w:outlineLvl w:val="0"/>
        <w:rPr>
          <w:rFonts w:hint="default" w:ascii="Times New Roman" w:hAnsi="Times New Roman" w:cs="Times New Roman"/>
          <w:color w:val="auto"/>
          <w:sz w:val="32"/>
          <w:szCs w:val="32"/>
          <w:highlight w:val="none"/>
          <w:lang w:val="en-US" w:eastAsia="zh-CN"/>
        </w:rPr>
      </w:pPr>
      <w:r>
        <w:rPr>
          <w:rFonts w:hint="eastAsia" w:ascii="Times New Roman" w:hAnsi="Times New Roman" w:cs="Times New Roman"/>
          <w:color w:val="auto"/>
          <w:sz w:val="32"/>
          <w:szCs w:val="32"/>
          <w:highlight w:val="none"/>
          <w:lang w:val="en-US" w:eastAsia="zh-CN"/>
        </w:rPr>
        <w:t>指标1：</w:t>
      </w:r>
      <w:r>
        <w:rPr>
          <w:rFonts w:hint="default" w:ascii="Times New Roman" w:hAnsi="Times New Roman" w:cs="Times New Roman"/>
          <w:color w:val="auto"/>
          <w:sz w:val="32"/>
          <w:szCs w:val="32"/>
          <w:highlight w:val="none"/>
          <w:lang w:val="en-US" w:eastAsia="zh-CN"/>
        </w:rPr>
        <w:t>使用人员满意</w:t>
      </w:r>
      <w:r>
        <w:rPr>
          <w:rFonts w:hint="default" w:ascii="Times New Roman" w:hAnsi="Times New Roman" w:eastAsia="仿宋_GB2312" w:cs="Times New Roman"/>
          <w:color w:val="auto"/>
          <w:sz w:val="32"/>
          <w:szCs w:val="32"/>
          <w:highlight w:val="none"/>
          <w:lang w:val="en-US" w:eastAsia="zh-CN"/>
        </w:rPr>
        <w:t>度</w:t>
      </w:r>
      <w:r>
        <w:rPr>
          <w:rFonts w:hint="eastAsia" w:cs="Times New Roman"/>
          <w:color w:val="auto"/>
          <w:sz w:val="32"/>
          <w:szCs w:val="32"/>
          <w:highlight w:val="none"/>
          <w:lang w:val="en-US" w:eastAsia="zh-CN"/>
        </w:rPr>
        <w:t>，指标值：≥95%，</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w:t>
      </w:r>
      <w:r>
        <w:rPr>
          <w:rFonts w:hint="eastAsia" w:cs="Times New Roman"/>
          <w:color w:val="auto"/>
          <w:sz w:val="32"/>
          <w:szCs w:val="32"/>
          <w:lang w:val="en-US" w:eastAsia="zh-CN"/>
        </w:rPr>
        <w:t>95</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highlight w:val="none"/>
          <w:lang w:val="en-US" w:eastAsia="zh-CN"/>
        </w:rPr>
        <w:t>。</w:t>
      </w:r>
    </w:p>
    <w:p>
      <w:pPr>
        <w:spacing w:line="560" w:lineRule="exact"/>
        <w:rPr>
          <w:rFonts w:hint="default" w:ascii="Times New Roman" w:hAnsi="Times New Roman" w:eastAsia="黑体" w:cs="Times New Roman"/>
          <w:color w:val="auto"/>
          <w:sz w:val="32"/>
          <w:szCs w:val="32"/>
          <w:lang w:eastAsia="zh-Hans"/>
        </w:rPr>
      </w:pPr>
      <w:r>
        <w:rPr>
          <w:rFonts w:hint="default" w:ascii="Times New Roman" w:hAnsi="Times New Roman" w:eastAsia="黑体" w:cs="Times New Roman"/>
          <w:color w:val="auto"/>
          <w:sz w:val="32"/>
          <w:szCs w:val="32"/>
          <w:lang w:eastAsia="zh-Hans"/>
        </w:rPr>
        <w:t>五、预算执行进度与绩效指标总体完成率偏差</w:t>
      </w:r>
    </w:p>
    <w:p>
      <w:pPr>
        <w:pStyle w:val="20"/>
        <w:spacing w:line="560" w:lineRule="exact"/>
        <w:ind w:firstLine="64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4K制作播出系统密码测评及密码保护项目年初预算</w:t>
      </w:r>
      <w:r>
        <w:rPr>
          <w:rFonts w:hint="default" w:ascii="Times New Roman" w:hAnsi="Times New Roman" w:cs="Times New Roman"/>
          <w:color w:val="auto"/>
          <w:kern w:val="2"/>
          <w:sz w:val="32"/>
          <w:szCs w:val="32"/>
          <w:lang w:val="en-US" w:eastAsia="zh-CN" w:bidi="ar-SA"/>
        </w:rPr>
        <w:t>0</w:t>
      </w:r>
      <w:r>
        <w:rPr>
          <w:rFonts w:hint="default" w:ascii="Times New Roman" w:hAnsi="Times New Roman" w:eastAsia="仿宋_GB2312" w:cs="Times New Roman"/>
          <w:color w:val="auto"/>
          <w:kern w:val="2"/>
          <w:sz w:val="32"/>
          <w:szCs w:val="32"/>
          <w:lang w:val="en-US" w:eastAsia="zh-CN" w:bidi="ar-SA"/>
        </w:rPr>
        <w:t>万元，全年预算</w:t>
      </w:r>
      <w:r>
        <w:rPr>
          <w:rFonts w:hint="default" w:ascii="Times New Roman" w:hAnsi="Times New Roman" w:cs="Times New Roman"/>
          <w:color w:val="auto"/>
          <w:kern w:val="2"/>
          <w:sz w:val="32"/>
          <w:szCs w:val="32"/>
          <w:lang w:val="en-US" w:eastAsia="zh-CN" w:bidi="ar-SA"/>
        </w:rPr>
        <w:t>137.00</w:t>
      </w:r>
      <w:r>
        <w:rPr>
          <w:rFonts w:hint="default" w:ascii="Times New Roman" w:hAnsi="Times New Roman" w:eastAsia="仿宋_GB2312" w:cs="Times New Roman"/>
          <w:color w:val="auto"/>
          <w:kern w:val="2"/>
          <w:sz w:val="32"/>
          <w:szCs w:val="32"/>
          <w:lang w:val="en-US" w:eastAsia="zh-CN" w:bidi="ar-SA"/>
        </w:rPr>
        <w:t>万元，实际支出</w:t>
      </w:r>
      <w:r>
        <w:rPr>
          <w:rFonts w:hint="default" w:ascii="Times New Roman" w:hAnsi="Times New Roman" w:cs="Times New Roman"/>
          <w:color w:val="auto"/>
          <w:kern w:val="2"/>
          <w:sz w:val="32"/>
          <w:szCs w:val="32"/>
          <w:lang w:val="en-US" w:eastAsia="zh-CN" w:bidi="ar-SA"/>
        </w:rPr>
        <w:t>137.00</w:t>
      </w:r>
      <w:r>
        <w:rPr>
          <w:rFonts w:hint="default" w:ascii="Times New Roman" w:hAnsi="Times New Roman" w:eastAsia="仿宋_GB2312" w:cs="Times New Roman"/>
          <w:color w:val="auto"/>
          <w:kern w:val="2"/>
          <w:sz w:val="32"/>
          <w:szCs w:val="32"/>
          <w:lang w:val="en-US" w:eastAsia="zh-CN" w:bidi="ar-SA"/>
        </w:rPr>
        <w:t>万元，预算执行率为</w:t>
      </w:r>
      <w:r>
        <w:rPr>
          <w:rFonts w:hint="default" w:ascii="Times New Roman" w:hAnsi="Times New Roman" w:cs="Times New Roman"/>
          <w:color w:val="auto"/>
          <w:kern w:val="2"/>
          <w:sz w:val="32"/>
          <w:szCs w:val="32"/>
          <w:lang w:val="en-US" w:eastAsia="zh-CN" w:bidi="ar-SA"/>
        </w:rPr>
        <w:t>100.00</w:t>
      </w:r>
      <w:r>
        <w:rPr>
          <w:rFonts w:hint="default" w:ascii="Times New Roman" w:hAnsi="Times New Roman" w:eastAsia="仿宋_GB2312" w:cs="Times New Roman"/>
          <w:color w:val="auto"/>
          <w:kern w:val="2"/>
          <w:sz w:val="32"/>
          <w:szCs w:val="32"/>
          <w:lang w:val="en-US" w:eastAsia="zh-CN" w:bidi="ar-SA"/>
        </w:rPr>
        <w:t>%，项目绩效指标总体完成率为</w:t>
      </w:r>
      <w:r>
        <w:rPr>
          <w:rFonts w:hint="default" w:ascii="Times New Roman" w:hAnsi="Times New Roman" w:cs="Times New Roman"/>
          <w:color w:val="auto"/>
          <w:kern w:val="2"/>
          <w:sz w:val="32"/>
          <w:szCs w:val="32"/>
          <w:lang w:val="en-US" w:eastAsia="zh-CN" w:bidi="ar-SA"/>
        </w:rPr>
        <w:t>100.00</w:t>
      </w:r>
      <w:r>
        <w:rPr>
          <w:rFonts w:hint="default" w:ascii="Times New Roman" w:hAnsi="Times New Roman" w:eastAsia="仿宋_GB2312"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Hans" w:bidi="ar-SA"/>
        </w:rPr>
        <w:t>总体</w:t>
      </w:r>
      <w:r>
        <w:rPr>
          <w:rFonts w:hint="default" w:ascii="Times New Roman" w:hAnsi="Times New Roman" w:eastAsia="仿宋_GB2312" w:cs="Times New Roman"/>
          <w:color w:val="auto"/>
          <w:kern w:val="2"/>
          <w:sz w:val="32"/>
          <w:szCs w:val="32"/>
          <w:lang w:val="en-US" w:eastAsia="zh-CN" w:bidi="ar-SA"/>
        </w:rPr>
        <w:t>偏差率为</w:t>
      </w:r>
      <w:r>
        <w:rPr>
          <w:rFonts w:hint="default" w:ascii="Times New Roman" w:hAnsi="Times New Roman" w:cs="Times New Roman"/>
          <w:color w:val="auto"/>
          <w:kern w:val="2"/>
          <w:sz w:val="32"/>
          <w:szCs w:val="32"/>
          <w:lang w:val="en-US" w:eastAsia="zh-CN" w:bidi="ar-SA"/>
        </w:rPr>
        <w:t>0.00</w:t>
      </w:r>
      <w:r>
        <w:rPr>
          <w:rFonts w:hint="default" w:ascii="Times New Roman" w:hAnsi="Times New Roman" w:eastAsia="仿宋_GB2312"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Hans" w:bidi="ar-SA"/>
        </w:rPr>
        <w:t>偏差</w:t>
      </w:r>
      <w:r>
        <w:rPr>
          <w:rFonts w:hint="default" w:ascii="Times New Roman" w:hAnsi="Times New Roman" w:eastAsia="仿宋_GB2312" w:cs="Times New Roman"/>
          <w:color w:val="auto"/>
          <w:kern w:val="2"/>
          <w:sz w:val="32"/>
          <w:szCs w:val="32"/>
          <w:lang w:val="en-US" w:eastAsia="zh-CN" w:bidi="ar-SA"/>
        </w:rPr>
        <w:t>原因</w:t>
      </w:r>
      <w:r>
        <w:rPr>
          <w:rFonts w:hint="default" w:ascii="Times New Roman" w:hAnsi="Times New Roman" w:cs="Times New Roman"/>
          <w:color w:val="auto"/>
          <w:kern w:val="2"/>
          <w:sz w:val="32"/>
          <w:szCs w:val="32"/>
          <w:lang w:val="en-US" w:eastAsia="zh-CN" w:bidi="ar-SA"/>
        </w:rPr>
        <w:t>：无偏差</w:t>
      </w:r>
      <w:r>
        <w:rPr>
          <w:rFonts w:hint="default" w:ascii="Times New Roman" w:hAnsi="Times New Roman" w:eastAsia="仿宋_GB2312" w:cs="Times New Roman"/>
          <w:color w:val="auto"/>
          <w:kern w:val="2"/>
          <w:sz w:val="32"/>
          <w:szCs w:val="32"/>
          <w:lang w:val="en-US" w:eastAsia="zh-CN" w:bidi="ar-SA"/>
        </w:rPr>
        <w:t>。</w:t>
      </w:r>
    </w:p>
    <w:p>
      <w:pPr>
        <w:rPr>
          <w:rFonts w:hint="default" w:ascii="Times New Roman" w:hAnsi="Times New Roman" w:cs="Times New Roman"/>
          <w:color w:val="auto"/>
        </w:rPr>
      </w:pPr>
    </w:p>
    <w:p>
      <w:pPr>
        <w:spacing w:line="560" w:lineRule="exact"/>
        <w:rPr>
          <w:rFonts w:hint="default" w:ascii="Times New Roman" w:hAnsi="Times New Roman" w:eastAsia="黑体" w:cs="Times New Roman"/>
          <w:bCs/>
          <w:color w:val="auto"/>
          <w:sz w:val="32"/>
          <w:szCs w:val="32"/>
          <w:lang w:val="en-US" w:eastAsia="zh-CN"/>
        </w:rPr>
      </w:pPr>
      <w:bookmarkStart w:id="15" w:name="_Toc68703842"/>
      <w:r>
        <w:rPr>
          <w:rFonts w:hint="default" w:ascii="Times New Roman" w:hAnsi="Times New Roman" w:eastAsia="黑体" w:cs="Times New Roman"/>
          <w:bCs/>
          <w:color w:val="auto"/>
          <w:sz w:val="32"/>
          <w:szCs w:val="32"/>
          <w:lang w:val="en-US" w:eastAsia="zh-CN"/>
        </w:rPr>
        <w:t>六、主要经验及做法、存在的问题及原因分析</w:t>
      </w:r>
      <w:bookmarkEnd w:id="15"/>
    </w:p>
    <w:p>
      <w:pPr>
        <w:spacing w:line="560" w:lineRule="exact"/>
        <w:rPr>
          <w:rFonts w:hint="default" w:ascii="Times New Roman" w:hAnsi="Times New Roman" w:eastAsia="楷体_GB2312" w:cs="Times New Roman"/>
          <w:b/>
          <w:bCs/>
          <w:color w:val="auto"/>
          <w:kern w:val="2"/>
          <w:sz w:val="32"/>
          <w:szCs w:val="32"/>
          <w:lang w:val="en-US" w:eastAsia="zh-CN" w:bidi="ar-SA"/>
        </w:rPr>
      </w:pPr>
      <w:bookmarkStart w:id="16" w:name="_Toc68703843"/>
      <w:r>
        <w:rPr>
          <w:rFonts w:hint="default" w:ascii="Times New Roman" w:hAnsi="Times New Roman" w:eastAsia="楷体_GB2312" w:cs="Times New Roman"/>
          <w:b/>
          <w:bCs/>
          <w:color w:val="auto"/>
          <w:kern w:val="2"/>
          <w:sz w:val="32"/>
          <w:szCs w:val="32"/>
          <w:lang w:val="en-US" w:eastAsia="zh-CN" w:bidi="ar-SA"/>
        </w:rPr>
        <w:t>（一）主要经验及做法</w:t>
      </w:r>
      <w:bookmarkEnd w:id="16"/>
    </w:p>
    <w:p>
      <w:pPr>
        <w:spacing w:line="560" w:lineRule="exact"/>
        <w:ind w:firstLine="640" w:firstLineChars="200"/>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rPr>
          <w:rFonts w:hint="default" w:ascii="Times New Roman" w:hAnsi="Times New Roman" w:cs="Times New Roman"/>
          <w:color w:val="auto"/>
        </w:rPr>
      </w:pPr>
      <w:r>
        <w:rPr>
          <w:rFonts w:hint="default" w:ascii="Times New Roman" w:hAnsi="Times New Roman" w:eastAsia="仿宋_GB2312" w:cs="Times New Roman"/>
          <w:b w:val="0"/>
          <w:bCs w:val="0"/>
          <w:color w:val="auto"/>
          <w:kern w:val="2"/>
          <w:sz w:val="32"/>
          <w:szCs w:val="32"/>
          <w:lang w:val="en-US" w:eastAsia="zh-CN" w:bidi="ar-SA"/>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default" w:ascii="Times New Roman" w:hAnsi="Times New Roman" w:eastAsia="仿宋_GB2312" w:cs="Times New Roman"/>
          <w:b w:val="0"/>
          <w:bCs w:val="0"/>
          <w:color w:val="auto"/>
          <w:kern w:val="2"/>
        </w:rPr>
        <w:t>。</w:t>
      </w:r>
    </w:p>
    <w:p>
      <w:pPr>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楷体_GB2312" w:cs="Times New Roman"/>
          <w:b/>
          <w:bCs/>
          <w:color w:val="auto"/>
          <w:kern w:val="2"/>
          <w:sz w:val="32"/>
          <w:szCs w:val="32"/>
          <w:lang w:val="en-US" w:eastAsia="zh-CN" w:bidi="ar-SA"/>
        </w:rPr>
      </w:pPr>
      <w:bookmarkStart w:id="17" w:name="_Toc68703844"/>
      <w:r>
        <w:rPr>
          <w:rFonts w:hint="default" w:ascii="Times New Roman" w:hAnsi="Times New Roman" w:eastAsia="楷体_GB2312" w:cs="Times New Roman"/>
          <w:b/>
          <w:bCs/>
          <w:color w:val="auto"/>
          <w:kern w:val="2"/>
          <w:sz w:val="32"/>
          <w:szCs w:val="32"/>
          <w:lang w:val="en-US" w:eastAsia="zh-CN" w:bidi="ar-SA"/>
        </w:rPr>
        <w:t>（二）存在的问题及原因分析</w:t>
      </w:r>
      <w:bookmarkEnd w:id="17"/>
      <w:r>
        <w:rPr>
          <w:rFonts w:hint="default" w:ascii="Times New Roman" w:hAnsi="Times New Roman" w:eastAsia="楷体_GB2312" w:cs="Times New Roman"/>
          <w:b/>
          <w:bCs/>
          <w:color w:val="auto"/>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2.因</w:t>
      </w:r>
      <w:r>
        <w:rPr>
          <w:rFonts w:hint="default" w:ascii="Times New Roman" w:hAnsi="Times New Roman" w:cs="Times New Roman"/>
          <w:color w:val="auto"/>
          <w:sz w:val="32"/>
          <w:szCs w:val="32"/>
          <w:highlight w:val="none"/>
          <w:lang w:val="en-US" w:eastAsia="zh-CN"/>
        </w:rPr>
        <w:t>人手不足</w:t>
      </w:r>
      <w:r>
        <w:rPr>
          <w:rFonts w:hint="default" w:ascii="Times New Roman" w:hAnsi="Times New Roman" w:eastAsia="仿宋_GB2312" w:cs="Times New Roman"/>
          <w:color w:val="auto"/>
          <w:sz w:val="32"/>
          <w:szCs w:val="32"/>
          <w:highlight w:val="none"/>
          <w:lang w:val="en-US" w:eastAsia="zh-CN"/>
        </w:rPr>
        <w:t>等因素使我单位绩效工作人员</w:t>
      </w:r>
      <w:r>
        <w:rPr>
          <w:rFonts w:hint="default" w:ascii="Times New Roman" w:hAnsi="Times New Roman" w:cs="Times New Roman"/>
          <w:color w:val="auto"/>
          <w:sz w:val="32"/>
          <w:szCs w:val="32"/>
          <w:highlight w:val="none"/>
          <w:lang w:val="en-US" w:eastAsia="zh-CN"/>
        </w:rPr>
        <w:t>不固定</w:t>
      </w:r>
      <w:r>
        <w:rPr>
          <w:rFonts w:hint="default" w:ascii="Times New Roman" w:hAnsi="Times New Roman" w:eastAsia="仿宋_GB2312" w:cs="Times New Roman"/>
          <w:color w:val="auto"/>
          <w:sz w:val="32"/>
          <w:szCs w:val="32"/>
          <w:highlight w:val="none"/>
          <w:lang w:val="en-US" w:eastAsia="zh-CN"/>
        </w:rPr>
        <w:t>，造成了工作衔接不到位的情况。</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default" w:ascii="Times New Roman" w:hAnsi="Times New Roman" w:eastAsia="仿宋_GB2312" w:cs="Times New Roman"/>
          <w:b w:val="0"/>
          <w:bCs w:val="0"/>
          <w:color w:val="auto"/>
          <w:kern w:val="2"/>
          <w:sz w:val="32"/>
          <w:szCs w:val="32"/>
          <w:lang w:val="en-US" w:eastAsia="zh-CN" w:bidi="ar-SA"/>
        </w:rPr>
      </w:pPr>
      <w:bookmarkStart w:id="18" w:name="_Toc68703845"/>
      <w:r>
        <w:rPr>
          <w:rFonts w:hint="default" w:ascii="Times New Roman" w:hAnsi="Times New Roman" w:eastAsia="黑体" w:cs="Times New Roman"/>
          <w:b w:val="0"/>
          <w:bCs/>
          <w:color w:val="auto"/>
          <w:kern w:val="2"/>
          <w:sz w:val="32"/>
          <w:szCs w:val="32"/>
          <w:lang w:val="en-US" w:eastAsia="zh-CN" w:bidi="ar-SA"/>
        </w:rPr>
        <w:t>七、有关建议</w:t>
      </w:r>
      <w:bookmarkEnd w:id="18"/>
      <w:r>
        <w:rPr>
          <w:rFonts w:hint="default" w:ascii="Times New Roman" w:hAnsi="Times New Roman" w:eastAsia="黑体" w:cs="Times New Roman"/>
          <w:b w:val="0"/>
          <w:bCs/>
          <w:color w:val="auto"/>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cs="Times New Roman"/>
          <w:color w:val="auto"/>
        </w:rPr>
      </w:pPr>
      <w:r>
        <w:rPr>
          <w:rFonts w:hint="default" w:ascii="Times New Roman" w:hAnsi="Times New Roman"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.进一步加强对绩效管理工作的组织领导，提高对预算绩效管理工作重要性的认识，总结经验</w:t>
      </w:r>
      <w:r>
        <w:rPr>
          <w:rFonts w:hint="default" w:ascii="Times New Roman" w:hAnsi="Times New Roman"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查找问题，抓紧研究制定更全面更完善的绩效评价管理办法。结合</w:t>
      </w:r>
      <w:r>
        <w:rPr>
          <w:rFonts w:hint="default" w:ascii="Times New Roman" w:hAnsi="Times New Roman" w:cs="Times New Roman"/>
          <w:color w:val="auto"/>
          <w:sz w:val="32"/>
          <w:szCs w:val="32"/>
          <w:highlight w:val="none"/>
          <w:lang w:val="en-US" w:eastAsia="zh-CN"/>
        </w:rPr>
        <w:t>日常工作</w:t>
      </w:r>
      <w:r>
        <w:rPr>
          <w:rFonts w:hint="default" w:ascii="Times New Roman" w:hAnsi="Times New Roman" w:eastAsia="仿宋_GB2312" w:cs="Times New Roman"/>
          <w:color w:val="auto"/>
          <w:sz w:val="32"/>
          <w:szCs w:val="32"/>
          <w:highlight w:val="none"/>
          <w:lang w:val="en-US" w:eastAsia="zh-CN"/>
        </w:rPr>
        <w:t>考核建立绩效工作考核制度，加大全</w:t>
      </w:r>
      <w:r>
        <w:rPr>
          <w:rFonts w:hint="default" w:ascii="Times New Roman" w:hAnsi="Times New Roman"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val="en-US" w:eastAsia="zh-CN"/>
        </w:rPr>
        <w:t>对全面实施预算绩效管理和绩效管理工作的学习力度，让“花钱必问效，无效必问责”的理念深入工作每个环节。</w:t>
      </w:r>
    </w:p>
    <w:p>
      <w:pPr>
        <w:pStyle w:val="3"/>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color w:val="auto"/>
          <w:sz w:val="32"/>
          <w:szCs w:val="32"/>
        </w:rPr>
      </w:pPr>
      <w:bookmarkStart w:id="19" w:name="_Toc68703846"/>
      <w:r>
        <w:rPr>
          <w:rFonts w:hint="default" w:ascii="Times New Roman" w:hAnsi="Times New Roman" w:eastAsia="宋体" w:cs="Times New Roman"/>
          <w:color w:val="auto"/>
          <w:sz w:val="32"/>
          <w:szCs w:val="32"/>
          <w:lang w:eastAsia="zh-CN"/>
        </w:rPr>
        <w:t>八</w:t>
      </w:r>
      <w:r>
        <w:rPr>
          <w:rFonts w:hint="default" w:ascii="Times New Roman" w:hAnsi="Times New Roman" w:eastAsia="宋体" w:cs="Times New Roman"/>
          <w:color w:val="auto"/>
          <w:sz w:val="32"/>
          <w:szCs w:val="32"/>
        </w:rPr>
        <w:t>、其他需要说明的问题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lang w:eastAsia="zh-CN"/>
        </w:rPr>
        <w:t>　</w:t>
      </w:r>
      <w:r>
        <w:rPr>
          <w:rFonts w:hint="default" w:ascii="Times New Roman" w:hAnsi="Times New Roman" w:eastAsia="仿宋_GB2312" w:cs="Times New Roman"/>
          <w:color w:val="auto"/>
          <w:sz w:val="32"/>
          <w:szCs w:val="32"/>
          <w:lang w:eastAsia="zh-Hans"/>
        </w:rPr>
        <w:t>本项目无其他需说明的问题</w:t>
      </w:r>
      <w:r>
        <w:rPr>
          <w:rFonts w:hint="default" w:ascii="Times New Roman" w:hAnsi="Times New Roman" w:cs="Times New Roman"/>
          <w:color w:val="auto"/>
          <w:sz w:val="32"/>
          <w:szCs w:val="32"/>
          <w:lang w:eastAsia="zh-CN"/>
        </w:rPr>
        <w:t>。</w:t>
      </w:r>
    </w:p>
    <w:p>
      <w:pPr>
        <w:rPr>
          <w:rFonts w:hint="default" w:ascii="Times New Roman" w:hAnsi="Times New Roman" w:cs="Times New Roman"/>
          <w:color w:val="auto"/>
        </w:rPr>
      </w:pPr>
    </w:p>
    <w:p>
      <w:pPr>
        <w:pStyle w:val="2"/>
        <w:rPr>
          <w:rFonts w:hint="default" w:ascii="Times New Roman" w:hAnsi="Times New Roman" w:cs="Times New Roman"/>
          <w:color w:val="auto"/>
        </w:rPr>
      </w:pPr>
    </w:p>
    <w:p>
      <w:pPr>
        <w:rPr>
          <w:rFonts w:hint="default" w:ascii="Times New Roman" w:hAnsi="Times New Roman" w:cs="Times New Roman"/>
          <w:color w:val="auto"/>
        </w:rPr>
      </w:pPr>
    </w:p>
    <w:p>
      <w:pPr>
        <w:pStyle w:val="2"/>
        <w:rPr>
          <w:rFonts w:hint="default" w:ascii="Times New Roman" w:hAnsi="Times New Roman" w:cs="Times New Roman"/>
        </w:rPr>
      </w:pPr>
    </w:p>
    <w:p>
      <w:pPr>
        <w:rPr>
          <w:rFonts w:hint="default" w:ascii="Times New Roman" w:hAnsi="Times New Roman" w:cs="Times New Roman"/>
        </w:rPr>
      </w:pPr>
    </w:p>
    <w:p>
      <w:pPr>
        <w:pStyle w:val="2"/>
        <w:rPr>
          <w:rFonts w:hint="default" w:ascii="Times New Roman" w:hAnsi="Times New Roman" w:cs="Times New Roman"/>
        </w:rPr>
      </w:pPr>
    </w:p>
    <w:p>
      <w:pPr>
        <w:rPr>
          <w:rFonts w:hint="default" w:ascii="Times New Roman" w:hAnsi="Times New Roman" w:cs="Times New Roman"/>
        </w:rPr>
      </w:pPr>
    </w:p>
    <w:p>
      <w:pPr>
        <w:pStyle w:val="2"/>
        <w:rPr>
          <w:rFonts w:hint="default"/>
        </w:rPr>
      </w:pPr>
      <w:bookmarkStart w:id="22" w:name="_GoBack"/>
      <w:bookmarkEnd w:id="22"/>
    </w:p>
    <w:p>
      <w:pPr>
        <w:rPr>
          <w:rFonts w:hint="default"/>
        </w:rPr>
      </w:pPr>
    </w:p>
    <w:tbl>
      <w:tblPr>
        <w:tblStyle w:val="11"/>
        <w:tblpPr w:leftFromText="180" w:rightFromText="180" w:vertAnchor="text" w:horzAnchor="page" w:tblpX="650" w:tblpY="288"/>
        <w:tblOverlap w:val="never"/>
        <w:tblW w:w="10140" w:type="dxa"/>
        <w:tblInd w:w="0" w:type="dxa"/>
        <w:shd w:val="clear" w:color="auto" w:fill="auto"/>
        <w:tblLayout w:type="fixed"/>
        <w:tblCellMar>
          <w:top w:w="0" w:type="dxa"/>
          <w:left w:w="0" w:type="dxa"/>
          <w:bottom w:w="0" w:type="dxa"/>
          <w:right w:w="0" w:type="dxa"/>
        </w:tblCellMar>
      </w:tblPr>
      <w:tblGrid>
        <w:gridCol w:w="781"/>
        <w:gridCol w:w="782"/>
        <w:gridCol w:w="855"/>
        <w:gridCol w:w="729"/>
        <w:gridCol w:w="885"/>
        <w:gridCol w:w="464"/>
        <w:gridCol w:w="1091"/>
        <w:gridCol w:w="971"/>
        <w:gridCol w:w="627"/>
        <w:gridCol w:w="564"/>
        <w:gridCol w:w="638"/>
        <w:gridCol w:w="450"/>
        <w:gridCol w:w="513"/>
        <w:gridCol w:w="790"/>
      </w:tblGrid>
      <w:tr>
        <w:tblPrEx>
          <w:tblLayout w:type="fixed"/>
          <w:tblCellMar>
            <w:top w:w="0" w:type="dxa"/>
            <w:left w:w="0" w:type="dxa"/>
            <w:bottom w:w="0" w:type="dxa"/>
            <w:right w:w="0" w:type="dxa"/>
          </w:tblCellMar>
        </w:tblPrEx>
        <w:trPr>
          <w:trHeight w:val="530" w:hRule="atLeast"/>
        </w:trPr>
        <w:tc>
          <w:tcPr>
            <w:tcW w:w="1014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32"/>
                <w:szCs w:val="32"/>
                <w:u w:val="none"/>
              </w:rPr>
            </w:pPr>
            <w:r>
              <w:rPr>
                <w:rFonts w:hint="default" w:ascii="Times New Roman" w:hAnsi="Times New Roman" w:eastAsia="宋体" w:cs="Times New Roman"/>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70" w:hRule="atLeast"/>
        </w:trPr>
        <w:tc>
          <w:tcPr>
            <w:tcW w:w="1014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5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项目名称</w:t>
            </w:r>
          </w:p>
        </w:tc>
        <w:tc>
          <w:tcPr>
            <w:tcW w:w="8577"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4K制作播出系统密码测评及密码保护项目</w:t>
            </w:r>
          </w:p>
        </w:tc>
      </w:tr>
      <w:tr>
        <w:tblPrEx>
          <w:tblLayout w:type="fixed"/>
          <w:tblCellMar>
            <w:top w:w="0" w:type="dxa"/>
            <w:left w:w="0" w:type="dxa"/>
            <w:bottom w:w="0" w:type="dxa"/>
            <w:right w:w="0" w:type="dxa"/>
          </w:tblCellMar>
        </w:tblPrEx>
        <w:trPr>
          <w:trHeight w:val="276" w:hRule="atLeast"/>
        </w:trPr>
        <w:tc>
          <w:tcPr>
            <w:tcW w:w="15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主管部门</w:t>
            </w:r>
          </w:p>
        </w:tc>
        <w:tc>
          <w:tcPr>
            <w:tcW w:w="402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霍尔果斯市融媒体中心</w:t>
            </w:r>
          </w:p>
        </w:tc>
        <w:tc>
          <w:tcPr>
            <w:tcW w:w="15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实施单位</w:t>
            </w:r>
          </w:p>
        </w:tc>
        <w:tc>
          <w:tcPr>
            <w:tcW w:w="295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霍尔果斯市融媒体中心</w:t>
            </w:r>
          </w:p>
        </w:tc>
      </w:tr>
      <w:tr>
        <w:tblPrEx>
          <w:tblLayout w:type="fixed"/>
          <w:tblCellMar>
            <w:top w:w="0" w:type="dxa"/>
            <w:left w:w="0" w:type="dxa"/>
            <w:bottom w:w="0" w:type="dxa"/>
            <w:right w:w="0" w:type="dxa"/>
          </w:tblCellMar>
        </w:tblPrEx>
        <w:trPr>
          <w:trHeight w:val="322" w:hRule="atLeast"/>
        </w:trPr>
        <w:tc>
          <w:tcPr>
            <w:tcW w:w="15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项目资金</w:t>
            </w:r>
            <w:r>
              <w:rPr>
                <w:rFonts w:hint="default" w:ascii="Times New Roman" w:hAnsi="Times New Roman" w:eastAsia="宋体" w:cs="Times New Roman"/>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（万元）</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年初预算数</w:t>
            </w:r>
          </w:p>
        </w:tc>
        <w:tc>
          <w:tcPr>
            <w:tcW w:w="15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全年预算数</w:t>
            </w:r>
          </w:p>
        </w:tc>
        <w:tc>
          <w:tcPr>
            <w:tcW w:w="15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全年执行数</w:t>
            </w:r>
          </w:p>
        </w:tc>
        <w:tc>
          <w:tcPr>
            <w:tcW w:w="12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分值</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执行率</w:t>
            </w:r>
          </w:p>
        </w:tc>
        <w:tc>
          <w:tcPr>
            <w:tcW w:w="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296" w:hRule="atLeast"/>
        </w:trPr>
        <w:tc>
          <w:tcPr>
            <w:tcW w:w="15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年度资金总额</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137.00</w:t>
            </w:r>
          </w:p>
        </w:tc>
        <w:tc>
          <w:tcPr>
            <w:tcW w:w="15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137</w:t>
            </w:r>
          </w:p>
        </w:tc>
        <w:tc>
          <w:tcPr>
            <w:tcW w:w="15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137.00</w:t>
            </w:r>
          </w:p>
        </w:tc>
        <w:tc>
          <w:tcPr>
            <w:tcW w:w="12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100.00%</w:t>
            </w:r>
          </w:p>
        </w:tc>
        <w:tc>
          <w:tcPr>
            <w:tcW w:w="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10.00分</w:t>
            </w:r>
          </w:p>
        </w:tc>
      </w:tr>
      <w:tr>
        <w:tblPrEx>
          <w:shd w:val="clear" w:color="auto" w:fill="auto"/>
          <w:tblLayout w:type="fixed"/>
          <w:tblCellMar>
            <w:top w:w="0" w:type="dxa"/>
            <w:left w:w="0" w:type="dxa"/>
            <w:bottom w:w="0" w:type="dxa"/>
            <w:right w:w="0" w:type="dxa"/>
          </w:tblCellMar>
        </w:tblPrEx>
        <w:trPr>
          <w:trHeight w:val="296" w:hRule="atLeast"/>
        </w:trPr>
        <w:tc>
          <w:tcPr>
            <w:tcW w:w="15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其中：当年财政拨款</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137</w:t>
            </w:r>
          </w:p>
        </w:tc>
        <w:tc>
          <w:tcPr>
            <w:tcW w:w="15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137</w:t>
            </w:r>
          </w:p>
        </w:tc>
        <w:tc>
          <w:tcPr>
            <w:tcW w:w="15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137</w:t>
            </w:r>
          </w:p>
        </w:tc>
        <w:tc>
          <w:tcPr>
            <w:tcW w:w="12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c>
          <w:tcPr>
            <w:tcW w:w="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r>
      <w:tr>
        <w:tblPrEx>
          <w:shd w:val="clear" w:color="auto" w:fill="auto"/>
          <w:tblLayout w:type="fixed"/>
          <w:tblCellMar>
            <w:top w:w="0" w:type="dxa"/>
            <w:left w:w="0" w:type="dxa"/>
            <w:bottom w:w="0" w:type="dxa"/>
            <w:right w:w="0" w:type="dxa"/>
          </w:tblCellMar>
        </w:tblPrEx>
        <w:trPr>
          <w:trHeight w:val="296" w:hRule="atLeast"/>
        </w:trPr>
        <w:tc>
          <w:tcPr>
            <w:tcW w:w="15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上年结转资金</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15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15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2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c>
          <w:tcPr>
            <w:tcW w:w="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96" w:hRule="atLeast"/>
        </w:trPr>
        <w:tc>
          <w:tcPr>
            <w:tcW w:w="15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其他资金</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15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15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2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c>
          <w:tcPr>
            <w:tcW w:w="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7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年度总体目标</w:t>
            </w:r>
          </w:p>
        </w:tc>
        <w:tc>
          <w:tcPr>
            <w:tcW w:w="480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预期目标</w:t>
            </w:r>
          </w:p>
        </w:tc>
        <w:tc>
          <w:tcPr>
            <w:tcW w:w="455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209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80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根据《网络安全等级保护条例》第四十七条【非涉密网络密码保护】非涉密网络应当按照国家密码管理法律法规和标准的要求，使用密码技术、产品和服务。第三级以上网络应当采用密码保护，并使用国家密码管理部门认可的密码技术、产品和服务。《商用密码应用安全性评估管理办法（试行）》--2017年国家密码管理局发布施行，第三条涉及国家安全和社会公共利益的重要领域网络和信息系统的建设、使用、管理单位（责任单位），应当健全密码保障体系，实施商用密码应用安全性评估。我中心播出制作系统于2022年已备案第三级等级保护并通过测评。</w:t>
            </w:r>
          </w:p>
        </w:tc>
        <w:tc>
          <w:tcPr>
            <w:tcW w:w="455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根据《商用密码应用安全性评估管理办法（试行）》相关管理规定，按时按相关技术指标完成符合第三等级密码保护的国产门禁系统、服务器密码机、SSL VPN安全网关、签名验签服务器、时间戳服务器、数据戳服务器等设备的系统安装，并通过第三等级密码保护测评。</w:t>
            </w:r>
          </w:p>
        </w:tc>
      </w:tr>
      <w:tr>
        <w:tblPrEx>
          <w:shd w:val="clear" w:color="auto" w:fill="auto"/>
          <w:tblLayout w:type="fixed"/>
          <w:tblCellMar>
            <w:top w:w="0" w:type="dxa"/>
            <w:left w:w="0" w:type="dxa"/>
            <w:bottom w:w="0" w:type="dxa"/>
            <w:right w:w="0" w:type="dxa"/>
          </w:tblCellMar>
        </w:tblPrEx>
        <w:trPr>
          <w:trHeight w:val="312" w:hRule="atLeast"/>
        </w:trPr>
        <w:tc>
          <w:tcPr>
            <w:tcW w:w="7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8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一级指标</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二级指标</w:t>
            </w:r>
          </w:p>
        </w:tc>
        <w:tc>
          <w:tcPr>
            <w:tcW w:w="207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三级指标</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年度指标值</w:t>
            </w:r>
          </w:p>
        </w:tc>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实际完成值</w:t>
            </w:r>
          </w:p>
        </w:tc>
        <w:tc>
          <w:tcPr>
            <w:tcW w:w="119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分值</w:t>
            </w:r>
          </w:p>
        </w:tc>
        <w:tc>
          <w:tcPr>
            <w:tcW w:w="108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得分</w:t>
            </w:r>
          </w:p>
        </w:tc>
        <w:tc>
          <w:tcPr>
            <w:tcW w:w="130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偏差原因分析及改进措施</w:t>
            </w:r>
          </w:p>
        </w:tc>
      </w:tr>
      <w:tr>
        <w:tblPrEx>
          <w:shd w:val="clear" w:color="auto" w:fill="auto"/>
          <w:tblLayout w:type="fixed"/>
          <w:tblCellMar>
            <w:top w:w="0" w:type="dxa"/>
            <w:left w:w="0" w:type="dxa"/>
            <w:bottom w:w="0" w:type="dxa"/>
            <w:right w:w="0" w:type="dxa"/>
          </w:tblCellMar>
        </w:tblPrEx>
        <w:trPr>
          <w:trHeight w:val="348"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207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1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0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3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276" w:hRule="atLeast"/>
        </w:trPr>
        <w:tc>
          <w:tcPr>
            <w:tcW w:w="7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年度绩效指标完成情况</w:t>
            </w:r>
          </w:p>
        </w:tc>
        <w:tc>
          <w:tcPr>
            <w:tcW w:w="78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产出指标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数量指标</w:t>
            </w: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购置密码保护设备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&gt;=4台</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4台</w:t>
            </w: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lang w:eastAsia="zh-CN"/>
              </w:rPr>
            </w:pPr>
            <w:r>
              <w:rPr>
                <w:rFonts w:hint="default" w:ascii="Times New Roman" w:hAnsi="Times New Roman" w:eastAsia="宋体" w:cs="Times New Roman"/>
                <w:i w:val="0"/>
                <w:color w:val="000000"/>
                <w:sz w:val="20"/>
                <w:szCs w:val="20"/>
                <w:u w:val="none"/>
                <w:lang w:eastAsia="zh-CN"/>
              </w:rPr>
              <w:t>无</w:t>
            </w:r>
          </w:p>
        </w:tc>
      </w:tr>
      <w:tr>
        <w:tblPrEx>
          <w:shd w:val="clear" w:color="auto" w:fill="auto"/>
          <w:tblLayout w:type="fixed"/>
          <w:tblCellMar>
            <w:top w:w="0" w:type="dxa"/>
            <w:left w:w="0" w:type="dxa"/>
            <w:bottom w:w="0" w:type="dxa"/>
            <w:right w:w="0" w:type="dxa"/>
          </w:tblCellMar>
        </w:tblPrEx>
        <w:trPr>
          <w:trHeight w:val="27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数量指标</w:t>
            </w: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密码三级测评</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=1次</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1次</w:t>
            </w: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sz w:val="20"/>
                <w:szCs w:val="20"/>
                <w:u w:val="none"/>
                <w:lang w:eastAsia="zh-CN"/>
              </w:rPr>
              <w:t>无</w:t>
            </w:r>
          </w:p>
        </w:tc>
      </w:tr>
      <w:tr>
        <w:tblPrEx>
          <w:tblLayout w:type="fixed"/>
          <w:tblCellMar>
            <w:top w:w="0" w:type="dxa"/>
            <w:left w:w="0" w:type="dxa"/>
            <w:bottom w:w="0" w:type="dxa"/>
            <w:right w:w="0" w:type="dxa"/>
          </w:tblCellMar>
        </w:tblPrEx>
        <w:trPr>
          <w:trHeight w:val="27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质量指标</w:t>
            </w: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设备验收合格率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w:t>
            </w: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sz w:val="20"/>
                <w:szCs w:val="20"/>
                <w:u w:val="none"/>
                <w:lang w:eastAsia="zh-CN"/>
              </w:rPr>
              <w:t>无</w:t>
            </w:r>
          </w:p>
        </w:tc>
      </w:tr>
      <w:tr>
        <w:tblPrEx>
          <w:tblLayout w:type="fixed"/>
          <w:tblCellMar>
            <w:top w:w="0" w:type="dxa"/>
            <w:left w:w="0" w:type="dxa"/>
            <w:bottom w:w="0" w:type="dxa"/>
            <w:right w:w="0" w:type="dxa"/>
          </w:tblCellMar>
        </w:tblPrEx>
        <w:trPr>
          <w:trHeight w:val="619"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质量指标</w:t>
            </w: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设备质量合格率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w:t>
            </w: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sz w:val="20"/>
                <w:szCs w:val="20"/>
                <w:u w:val="none"/>
                <w:lang w:eastAsia="zh-CN"/>
              </w:rPr>
              <w:t>无</w:t>
            </w:r>
          </w:p>
        </w:tc>
      </w:tr>
      <w:tr>
        <w:tblPrEx>
          <w:tblLayout w:type="fixed"/>
          <w:tblCellMar>
            <w:top w:w="0" w:type="dxa"/>
            <w:left w:w="0" w:type="dxa"/>
            <w:bottom w:w="0" w:type="dxa"/>
            <w:right w:w="0" w:type="dxa"/>
          </w:tblCellMar>
        </w:tblPrEx>
        <w:trPr>
          <w:trHeight w:val="601"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质量指标</w:t>
            </w: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政府采购率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w:t>
            </w: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sz w:val="20"/>
                <w:szCs w:val="20"/>
                <w:u w:val="none"/>
                <w:lang w:eastAsia="zh-CN"/>
              </w:rPr>
              <w:t>无</w:t>
            </w:r>
          </w:p>
        </w:tc>
      </w:tr>
      <w:tr>
        <w:tblPrEx>
          <w:shd w:val="clear" w:color="auto" w:fill="auto"/>
          <w:tblLayout w:type="fixed"/>
          <w:tblCellMar>
            <w:top w:w="0" w:type="dxa"/>
            <w:left w:w="0" w:type="dxa"/>
            <w:bottom w:w="0" w:type="dxa"/>
            <w:right w:w="0" w:type="dxa"/>
          </w:tblCellMar>
        </w:tblPrEx>
        <w:trPr>
          <w:trHeight w:val="53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时效指标</w:t>
            </w: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设备采购完成时间</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2023年12月31日前</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2023年10月16日</w:t>
            </w: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sz w:val="20"/>
                <w:szCs w:val="20"/>
                <w:u w:val="none"/>
                <w:lang w:eastAsia="zh-CN"/>
              </w:rPr>
              <w:t>无</w:t>
            </w:r>
          </w:p>
        </w:tc>
      </w:tr>
      <w:tr>
        <w:tblPrEx>
          <w:tblLayout w:type="fixed"/>
          <w:tblCellMar>
            <w:top w:w="0" w:type="dxa"/>
            <w:left w:w="0" w:type="dxa"/>
            <w:bottom w:w="0" w:type="dxa"/>
            <w:right w:w="0" w:type="dxa"/>
          </w:tblCellMar>
        </w:tblPrEx>
        <w:trPr>
          <w:trHeight w:val="53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8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成本指标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经济成本指标</w:t>
            </w: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购置密码保护设备成本</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&lt;=124万元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124万元</w:t>
            </w: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sz w:val="20"/>
                <w:szCs w:val="20"/>
                <w:u w:val="none"/>
                <w:lang w:eastAsia="zh-CN"/>
              </w:rPr>
              <w:t>无</w:t>
            </w:r>
          </w:p>
        </w:tc>
      </w:tr>
      <w:tr>
        <w:tblPrEx>
          <w:shd w:val="clear" w:color="auto" w:fill="auto"/>
          <w:tblLayout w:type="fixed"/>
          <w:tblCellMar>
            <w:top w:w="0" w:type="dxa"/>
            <w:left w:w="0" w:type="dxa"/>
            <w:bottom w:w="0" w:type="dxa"/>
            <w:right w:w="0" w:type="dxa"/>
          </w:tblCellMar>
        </w:tblPrEx>
        <w:trPr>
          <w:trHeight w:val="53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经济成本指标</w:t>
            </w: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密码三级测评成本</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&lt;=13万元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13万元</w:t>
            </w: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sz w:val="20"/>
                <w:szCs w:val="20"/>
                <w:u w:val="none"/>
                <w:lang w:eastAsia="zh-CN"/>
              </w:rPr>
              <w:t>无</w:t>
            </w:r>
          </w:p>
        </w:tc>
      </w:tr>
      <w:tr>
        <w:tblPrEx>
          <w:shd w:val="clear" w:color="auto" w:fill="auto"/>
          <w:tblLayout w:type="fixed"/>
          <w:tblCellMar>
            <w:top w:w="0" w:type="dxa"/>
            <w:left w:w="0" w:type="dxa"/>
            <w:bottom w:w="0" w:type="dxa"/>
            <w:right w:w="0" w:type="dxa"/>
          </w:tblCellMar>
        </w:tblPrEx>
        <w:trPr>
          <w:trHeight w:val="53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效益指标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社会效益指标</w:t>
            </w: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商用密码使得设备得到密码保护</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100%</w:t>
            </w: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sz w:val="20"/>
                <w:szCs w:val="20"/>
                <w:u w:val="none"/>
                <w:lang w:eastAsia="zh-CN"/>
              </w:rPr>
              <w:t>无</w:t>
            </w:r>
          </w:p>
        </w:tc>
      </w:tr>
      <w:tr>
        <w:tblPrEx>
          <w:shd w:val="clear" w:color="auto" w:fill="auto"/>
          <w:tblLayout w:type="fixed"/>
          <w:tblCellMar>
            <w:top w:w="0" w:type="dxa"/>
            <w:left w:w="0" w:type="dxa"/>
            <w:bottom w:w="0" w:type="dxa"/>
            <w:right w:w="0" w:type="dxa"/>
          </w:tblCellMar>
        </w:tblPrEx>
        <w:trPr>
          <w:trHeight w:val="283"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满意度指标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满意度指标</w:t>
            </w: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使用人员满意度</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&gt;=95%</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w:t>
            </w:r>
          </w:p>
        </w:tc>
        <w:tc>
          <w:tcPr>
            <w:tcW w:w="10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sz w:val="20"/>
                <w:szCs w:val="20"/>
                <w:u w:val="none"/>
                <w:lang w:eastAsia="zh-CN"/>
              </w:rPr>
              <w:t>无</w:t>
            </w:r>
          </w:p>
        </w:tc>
      </w:tr>
    </w:tbl>
    <w:p>
      <w:pPr>
        <w:rPr>
          <w:rFonts w:hint="default" w:ascii="Times New Roman" w:hAnsi="Times New Roman" w:cs="Times New Roman"/>
          <w:color w:val="auto"/>
        </w:rPr>
      </w:pPr>
    </w:p>
    <w:p>
      <w:pPr>
        <w:pStyle w:val="2"/>
        <w:jc w:val="both"/>
        <w:rPr>
          <w:rFonts w:hint="default" w:ascii="Times New Roman" w:hAnsi="Times New Roman" w:cs="Times New Roman"/>
          <w:color w:val="auto"/>
        </w:rPr>
      </w:pPr>
    </w:p>
    <w:p>
      <w:pPr>
        <w:spacing w:line="600" w:lineRule="exact"/>
        <w:rPr>
          <w:rFonts w:hint="default" w:ascii="Times New Roman" w:hAnsi="Times New Roman" w:eastAsia="黑体" w:cs="Times New Roman"/>
          <w:bCs/>
          <w:color w:val="auto"/>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0"/>
        <w:ind w:firstLine="562"/>
        <w:jc w:val="center"/>
        <w:rPr>
          <w:rFonts w:hint="default" w:ascii="Times New Roman" w:hAnsi="Times New Roman" w:cs="Times New Roman"/>
          <w:color w:val="auto"/>
          <w:sz w:val="28"/>
          <w:szCs w:val="40"/>
        </w:rPr>
      </w:pPr>
      <w:bookmarkStart w:id="20" w:name="_Toc26499_WPSOffice_Level2"/>
      <w:bookmarkStart w:id="21" w:name="_Toc30064_WPSOffice_Level1"/>
      <w:r>
        <w:rPr>
          <w:rFonts w:hint="default" w:ascii="Times New Roman" w:hAnsi="Times New Roman" w:cs="Times New Roman"/>
          <w:b/>
          <w:bCs/>
          <w:color w:val="auto"/>
          <w:sz w:val="28"/>
          <w:szCs w:val="40"/>
          <w:lang w:val="en-US" w:eastAsia="zh-CN"/>
        </w:rPr>
        <w:t>4K制作播出系统密码测评及密码保护</w:t>
      </w:r>
      <w:r>
        <w:rPr>
          <w:rFonts w:hint="default" w:ascii="Times New Roman" w:hAnsi="Times New Roman" w:cs="Times New Roman"/>
          <w:b/>
          <w:bCs/>
          <w:color w:val="auto"/>
          <w:sz w:val="28"/>
          <w:szCs w:val="40"/>
        </w:rPr>
        <w:t>项目绩效评价指标体系及综合评分表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一级指标</w:t>
            </w:r>
          </w:p>
        </w:tc>
        <w:tc>
          <w:tcPr>
            <w:tcW w:w="764"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二级指标</w:t>
            </w:r>
          </w:p>
        </w:tc>
        <w:tc>
          <w:tcPr>
            <w:tcW w:w="873"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三级指标</w:t>
            </w:r>
          </w:p>
        </w:tc>
        <w:tc>
          <w:tcPr>
            <w:tcW w:w="2353"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指标解释</w:t>
            </w:r>
          </w:p>
        </w:tc>
        <w:tc>
          <w:tcPr>
            <w:tcW w:w="5198"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指标说明</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权重</w:t>
            </w:r>
          </w:p>
        </w:tc>
        <w:tc>
          <w:tcPr>
            <w:tcW w:w="1363"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p>
            <w:pPr>
              <w:widowControl/>
              <w:spacing w:line="0" w:lineRule="atLeast"/>
              <w:jc w:val="center"/>
              <w:rPr>
                <w:rFonts w:hint="default" w:ascii="Times New Roman" w:hAnsi="Times New Roman" w:cs="Times New Roman"/>
                <w:color w:val="auto"/>
                <w:kern w:val="0"/>
                <w:sz w:val="22"/>
                <w:szCs w:val="22"/>
              </w:rPr>
            </w:pPr>
          </w:p>
          <w:p>
            <w:pPr>
              <w:widowControl/>
              <w:spacing w:line="0" w:lineRule="atLeast"/>
              <w:jc w:val="center"/>
              <w:rPr>
                <w:rFonts w:hint="default" w:ascii="Times New Roman" w:hAnsi="Times New Roman" w:cs="Times New Roman"/>
                <w:color w:val="auto"/>
                <w:kern w:val="0"/>
                <w:sz w:val="22"/>
                <w:szCs w:val="22"/>
              </w:rPr>
            </w:pPr>
          </w:p>
          <w:p>
            <w:pPr>
              <w:widowControl/>
              <w:spacing w:line="0" w:lineRule="atLeast"/>
              <w:jc w:val="center"/>
              <w:rPr>
                <w:rFonts w:hint="default" w:ascii="Times New Roman" w:hAnsi="Times New Roman" w:cs="Times New Roman"/>
                <w:color w:val="auto"/>
                <w:kern w:val="0"/>
                <w:sz w:val="22"/>
                <w:szCs w:val="22"/>
              </w:rPr>
            </w:pPr>
          </w:p>
          <w:p>
            <w:pPr>
              <w:widowControl/>
              <w:spacing w:line="0" w:lineRule="atLeast"/>
              <w:jc w:val="center"/>
              <w:rPr>
                <w:rFonts w:hint="default" w:ascii="Times New Roman" w:hAnsi="Times New Roman" w:cs="Times New Roman"/>
                <w:color w:val="auto"/>
                <w:kern w:val="0"/>
                <w:sz w:val="22"/>
                <w:szCs w:val="22"/>
              </w:rPr>
            </w:pPr>
          </w:p>
          <w:p>
            <w:pPr>
              <w:widowControl/>
              <w:spacing w:line="0" w:lineRule="atLeast"/>
              <w:jc w:val="center"/>
              <w:rPr>
                <w:rFonts w:hint="default" w:ascii="Times New Roman" w:hAnsi="Times New Roman" w:cs="Times New Roman"/>
                <w:color w:val="auto"/>
                <w:kern w:val="0"/>
                <w:sz w:val="22"/>
                <w:szCs w:val="22"/>
              </w:rPr>
            </w:pP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决策　</w:t>
            </w: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项目立项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立项依据</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充分性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①项目立项是否符合国家法律法规、国民经济发展规划和相关政策；</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②项目立项是否符合行业发展规划和政策要求；</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③项目立项是否与部门职责范围相符，属于部门履职所需；</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④项目是否属于公共财政支持范围，是否符合中央、地方事权支出责任划分原则；</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3</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val="en-US" w:eastAsia="zh-CN"/>
              </w:rPr>
            </w:pPr>
            <w:r>
              <w:rPr>
                <w:rFonts w:hint="default" w:ascii="Times New Roman" w:hAnsi="Times New Roman" w:cs="Times New Roman"/>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立项程序</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规范性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①项目是否按照规定的程序申请设立；</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②审批文件、材料是否符合相关要求；</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3</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绩效目标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绩效目标</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合理性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（如未设定预算绩效目标，也可考核其他工作任务目标）</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①项目是否有绩效目标；</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②项目绩效目标与实际工作内容是否具有相关性；</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③项目预期产出效益和效果是否符合正常的业绩水平；</w:t>
            </w:r>
          </w:p>
          <w:p>
            <w:pPr>
              <w:widowControl/>
              <w:spacing w:line="0" w:lineRule="atLeast"/>
              <w:jc w:val="lef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3</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绩效指标</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明确性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①是否将项目绩效目标细化分解为具体的绩效指标；</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②是否通过清晰、可衡量的指标值予以体现；</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③是否与项目目标任务数或计划数相对应。</w:t>
            </w:r>
            <w:r>
              <w:rPr>
                <w:rFonts w:hint="default" w:ascii="Times New Roman" w:hAnsi="Times New Roman" w:cs="Times New Roman"/>
                <w:color w:val="auto"/>
                <w:kern w:val="0"/>
                <w:sz w:val="22"/>
                <w:szCs w:val="22"/>
              </w:rPr>
              <w:br w:type="textWrapping"/>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3</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资金投入</w:t>
            </w:r>
          </w:p>
          <w:p>
            <w:pPr>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预算编制</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科学性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①预算编制是否经过科学论证；</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②预算内容与项目内容是否匹配；</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③预算额度测算依据是否充分，是否按照标准编制；</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资金分配</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合理性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①预算资金分配依据是否充分；</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过程</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　　</w:t>
            </w: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资金管理</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资金到位率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资金到位率=（实际到位资金/预算资金）×100%。</w:t>
            </w:r>
          </w:p>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实际到位资金：一定时期（本年度或项目期）内落实到具体项目的资金。</w:t>
            </w:r>
          </w:p>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4"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预算执行率</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预算执行率=（实际支出资金/实际到位资金）×100%。</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资金管理</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资金使用</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合规性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①是否符合国家财经法规和财务管理制度以及有关专项资金管理办法的规定；</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②资金的拨付是否有完整的审批程序和手续；</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③是否符合项目预算批复或合同规定的用途；</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组织实施</w:t>
            </w:r>
          </w:p>
          <w:p>
            <w:pPr>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管理制度</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健全性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①是否已制定或具有相应的财务和业务管理制度；</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制度执行</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有效性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①是否遵守相关法律法规和相关管理规定；</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②项目调整及支出调整手续是否完备；</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③项目合同书、验收报告、技术鉴定等资料是否齐全并及时归档；</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w:t>
            </w: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产出数量</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实际完成率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实际完成率=（实际产出数/计划产出数）×100%。</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实际产出数：一定时期（本年度或项目期）内项目实际产出的产品或提供的服务数量。</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val="en-US" w:eastAsia="zh-CN"/>
              </w:rPr>
            </w:pPr>
            <w:r>
              <w:rPr>
                <w:rFonts w:hint="default" w:ascii="Times New Roman" w:hAnsi="Times New Roman" w:cs="Times New Roman"/>
                <w:b/>
                <w:bCs/>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产出质量</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质量达标率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质量达标率=（质量达标产出数/实际产出数）×100%。</w:t>
            </w:r>
          </w:p>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val="en-US" w:eastAsia="zh-CN"/>
              </w:rPr>
            </w:pPr>
            <w:r>
              <w:rPr>
                <w:rFonts w:hint="default" w:ascii="Times New Roman" w:hAnsi="Times New Roman" w:cs="Times New Roman"/>
                <w:b/>
                <w:bCs/>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4" w:type="dxa"/>
            <w:shd w:val="clear" w:color="auto" w:fill="FFFFFF"/>
            <w:vAlign w:val="center"/>
          </w:tcPr>
          <w:p>
            <w:pPr>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产出时效</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完成及时性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实际完成时间：项目实施单位完成该项目实际所耗用的时间。</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val="en-US" w:eastAsia="zh-CN"/>
              </w:rPr>
            </w:pPr>
            <w:r>
              <w:rPr>
                <w:rFonts w:hint="default" w:ascii="Times New Roman" w:hAnsi="Times New Roman" w:cs="Times New Roman"/>
                <w:b/>
                <w:bCs/>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产出成本</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成本节约率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成本节约率=[（计划成本-实际成本）/计划成本]×100%。</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实际成本：项目实施单位如期、保质、保量完成既定工作目标实际所耗费的支出。</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val="en-US" w:eastAsia="zh-CN"/>
              </w:rPr>
            </w:pPr>
            <w:r>
              <w:rPr>
                <w:rFonts w:hint="default" w:ascii="Times New Roman" w:hAnsi="Times New Roman" w:cs="Times New Roman"/>
                <w:b/>
                <w:bCs/>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效益　</w:t>
            </w: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项目效益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实施效益</w:t>
            </w:r>
          </w:p>
        </w:tc>
        <w:tc>
          <w:tcPr>
            <w:tcW w:w="2353" w:type="dxa"/>
            <w:shd w:val="clear" w:color="auto" w:fill="FFFFFF"/>
            <w:vAlign w:val="center"/>
          </w:tcPr>
          <w:p>
            <w:pPr>
              <w:widowControl/>
              <w:spacing w:line="0" w:lineRule="atLeast"/>
              <w:jc w:val="lef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项目实施所产生的效益。</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10</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val="en-US" w:eastAsia="zh-CN"/>
              </w:rPr>
            </w:pPr>
            <w:r>
              <w:rPr>
                <w:rFonts w:hint="default" w:ascii="Times New Roman" w:hAnsi="Times New Roman" w:cs="Times New Roman"/>
                <w:b/>
                <w:bCs/>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满意度</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社会公众或服务对象对项目实施效果的满意程度。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val="en-US" w:eastAsia="zh-CN"/>
              </w:rPr>
            </w:pPr>
            <w:r>
              <w:rPr>
                <w:rFonts w:hint="default" w:ascii="Times New Roman" w:hAnsi="Times New Roman" w:cs="Times New Roman"/>
                <w:b/>
                <w:bCs/>
                <w:color w:val="auto"/>
                <w:kern w:val="0"/>
                <w:sz w:val="22"/>
                <w:szCs w:val="22"/>
              </w:rPr>
              <w:t>10</w:t>
            </w:r>
          </w:p>
        </w:tc>
      </w:tr>
    </w:tbl>
    <w:p>
      <w:pPr>
        <w:rPr>
          <w:rFonts w:hint="default" w:ascii="Times New Roman" w:hAnsi="Times New Roman" w:cs="Times New Roman"/>
          <w:color w:val="auto"/>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WM2OWI1ZWI0MDQzZjY5YzE4ZTJiNjRmZjMxZmI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6543F10"/>
    <w:rsid w:val="068C40D2"/>
    <w:rsid w:val="068D22BA"/>
    <w:rsid w:val="07D5567F"/>
    <w:rsid w:val="0E751831"/>
    <w:rsid w:val="0F2A6BF7"/>
    <w:rsid w:val="109627EE"/>
    <w:rsid w:val="14444D66"/>
    <w:rsid w:val="15DE0717"/>
    <w:rsid w:val="17136327"/>
    <w:rsid w:val="181871E2"/>
    <w:rsid w:val="19166846"/>
    <w:rsid w:val="20E92B23"/>
    <w:rsid w:val="20F841DC"/>
    <w:rsid w:val="22AC2218"/>
    <w:rsid w:val="2729052F"/>
    <w:rsid w:val="28C14634"/>
    <w:rsid w:val="28CE5192"/>
    <w:rsid w:val="2BB658E6"/>
    <w:rsid w:val="2EC724D4"/>
    <w:rsid w:val="2EE30257"/>
    <w:rsid w:val="30073B18"/>
    <w:rsid w:val="34DA27CE"/>
    <w:rsid w:val="359B69A2"/>
    <w:rsid w:val="36122B89"/>
    <w:rsid w:val="36411DC5"/>
    <w:rsid w:val="3681743F"/>
    <w:rsid w:val="36B72533"/>
    <w:rsid w:val="3B5F02D3"/>
    <w:rsid w:val="4057649F"/>
    <w:rsid w:val="450B6AE4"/>
    <w:rsid w:val="47C03A05"/>
    <w:rsid w:val="4ACC6887"/>
    <w:rsid w:val="4DAD5295"/>
    <w:rsid w:val="54873A1A"/>
    <w:rsid w:val="56796849"/>
    <w:rsid w:val="568F383B"/>
    <w:rsid w:val="583C1636"/>
    <w:rsid w:val="5D555EEF"/>
    <w:rsid w:val="5DA95371"/>
    <w:rsid w:val="5F9155E4"/>
    <w:rsid w:val="616C41E7"/>
    <w:rsid w:val="686F7714"/>
    <w:rsid w:val="6A862BA8"/>
    <w:rsid w:val="6B1C4BC4"/>
    <w:rsid w:val="6DFC1C65"/>
    <w:rsid w:val="71131A54"/>
    <w:rsid w:val="75FA041F"/>
    <w:rsid w:val="760F49BD"/>
    <w:rsid w:val="76E870A0"/>
    <w:rsid w:val="77A6067C"/>
    <w:rsid w:val="7A0443F3"/>
    <w:rsid w:val="7AE40DD7"/>
    <w:rsid w:val="7B904EA5"/>
    <w:rsid w:val="7E6A4A91"/>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5042</Words>
  <Characters>5242</Characters>
  <Lines>37</Lines>
  <Paragraphs>10</Paragraphs>
  <TotalTime>2</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2024-06-11T13:13:11Z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