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eastAsia="宋体" w:cs="Times New Roman"/>
          <w:b/>
          <w:bCs/>
          <w:sz w:val="48"/>
          <w:szCs w:val="48"/>
        </w:rPr>
      </w:pPr>
    </w:p>
    <w:p>
      <w:pPr>
        <w:jc w:val="center"/>
        <w:rPr>
          <w:rFonts w:hint="default" w:ascii="Times New Roman" w:hAnsi="Times New Roman" w:eastAsia="宋体" w:cs="Times New Roman"/>
          <w:b/>
          <w:bCs/>
          <w:sz w:val="48"/>
          <w:szCs w:val="48"/>
        </w:rPr>
      </w:pPr>
    </w:p>
    <w:p>
      <w:pPr>
        <w:jc w:val="center"/>
        <w:rPr>
          <w:rFonts w:hint="default" w:ascii="Times New Roman" w:hAnsi="Times New Roman" w:eastAsia="方正小标宋简体" w:cs="Times New Roman"/>
          <w:b/>
          <w:bCs/>
          <w:sz w:val="44"/>
          <w:szCs w:val="44"/>
        </w:rPr>
      </w:pPr>
    </w:p>
    <w:p>
      <w:pPr>
        <w:spacing w:line="540" w:lineRule="exact"/>
        <w:jc w:val="center"/>
        <w:rPr>
          <w:rFonts w:hint="default" w:ascii="Times New Roman" w:hAnsi="Times New Roman" w:eastAsia="方正小标宋简体" w:cs="Times New Roman"/>
          <w:kern w:val="0"/>
          <w:sz w:val="44"/>
          <w:szCs w:val="44"/>
          <w:lang w:val="en-US" w:eastAsia="zh-CN"/>
        </w:rPr>
      </w:pPr>
      <w:r>
        <w:rPr>
          <w:rFonts w:hint="default" w:ascii="Times New Roman" w:hAnsi="Times New Roman" w:eastAsia="方正小标宋简体" w:cs="Times New Roman"/>
          <w:kern w:val="0"/>
          <w:sz w:val="44"/>
          <w:szCs w:val="44"/>
          <w:lang w:val="en-US" w:eastAsia="zh-CN"/>
        </w:rPr>
        <w:t>霍尔果斯经济开发区集中供暖环保技改</w:t>
      </w:r>
    </w:p>
    <w:p>
      <w:pPr>
        <w:spacing w:line="540" w:lineRule="exact"/>
        <w:jc w:val="center"/>
        <w:rPr>
          <w:rFonts w:hint="default" w:ascii="Times New Roman" w:hAnsi="Times New Roman" w:eastAsia="方正小标宋简体" w:cs="Times New Roman"/>
          <w:kern w:val="0"/>
          <w:sz w:val="44"/>
          <w:szCs w:val="44"/>
        </w:rPr>
      </w:pPr>
      <w:r>
        <w:rPr>
          <w:rFonts w:hint="default" w:ascii="Times New Roman" w:hAnsi="Times New Roman" w:eastAsia="方正小标宋简体" w:cs="Times New Roman"/>
          <w:kern w:val="0"/>
          <w:sz w:val="44"/>
          <w:szCs w:val="44"/>
          <w:lang w:val="en-US" w:eastAsia="zh-CN"/>
        </w:rPr>
        <w:t>提升</w:t>
      </w:r>
      <w:r>
        <w:rPr>
          <w:rFonts w:hint="default" w:ascii="Times New Roman" w:hAnsi="Times New Roman" w:eastAsia="方正小标宋简体" w:cs="Times New Roman"/>
          <w:kern w:val="0"/>
          <w:sz w:val="44"/>
          <w:szCs w:val="44"/>
        </w:rPr>
        <w:t>资金项目支出绩效评价报告</w:t>
      </w:r>
    </w:p>
    <w:p>
      <w:pPr>
        <w:jc w:val="center"/>
        <w:rPr>
          <w:rFonts w:hint="default" w:ascii="Times New Roman" w:hAnsi="Times New Roman" w:eastAsia="宋体" w:cs="Times New Roman"/>
          <w:b/>
          <w:bCs/>
          <w:sz w:val="48"/>
          <w:szCs w:val="48"/>
        </w:rPr>
      </w:pPr>
    </w:p>
    <w:p>
      <w:pPr>
        <w:widowControl/>
        <w:spacing w:line="560" w:lineRule="exact"/>
        <w:jc w:val="center"/>
        <w:rPr>
          <w:rFonts w:hint="default" w:ascii="Times New Roman" w:hAnsi="Times New Roman" w:cs="Times New Roman"/>
          <w:b/>
          <w:kern w:val="0"/>
          <w:sz w:val="50"/>
          <w:szCs w:val="50"/>
          <w:lang w:bidi="en-US"/>
        </w:rPr>
      </w:pPr>
      <w:r>
        <w:rPr>
          <w:rFonts w:hint="default" w:ascii="Times New Roman" w:hAnsi="Times New Roman" w:eastAsia="红豆小标宋简体" w:cs="Times New Roman"/>
          <w:color w:val="000000"/>
          <w:kern w:val="0"/>
          <w:sz w:val="36"/>
          <w:szCs w:val="36"/>
        </w:rPr>
        <w:t>（202</w:t>
      </w:r>
      <w:r>
        <w:rPr>
          <w:rFonts w:hint="default" w:ascii="Times New Roman" w:hAnsi="Times New Roman" w:eastAsia="红豆小标宋简体" w:cs="Times New Roman"/>
          <w:color w:val="000000"/>
          <w:kern w:val="0"/>
          <w:sz w:val="36"/>
          <w:szCs w:val="36"/>
          <w:lang w:val="en-US" w:eastAsia="zh-CN"/>
        </w:rPr>
        <w:t>3</w:t>
      </w:r>
      <w:r>
        <w:rPr>
          <w:rFonts w:hint="default" w:ascii="Times New Roman" w:hAnsi="Times New Roman" w:eastAsia="红豆小标宋简体" w:cs="Times New Roman"/>
          <w:color w:val="000000"/>
          <w:kern w:val="0"/>
          <w:sz w:val="36"/>
          <w:szCs w:val="36"/>
        </w:rPr>
        <w:t>年度）</w:t>
      </w:r>
    </w:p>
    <w:p>
      <w:pPr>
        <w:spacing w:line="480" w:lineRule="auto"/>
        <w:jc w:val="center"/>
        <w:rPr>
          <w:rFonts w:hint="default" w:ascii="Times New Roman" w:hAnsi="Times New Roman" w:cs="Times New Roman"/>
          <w:b/>
          <w:kern w:val="0"/>
          <w:sz w:val="50"/>
          <w:szCs w:val="50"/>
          <w:lang w:bidi="en-US"/>
        </w:rPr>
      </w:pPr>
    </w:p>
    <w:p>
      <w:pPr>
        <w:spacing w:line="480" w:lineRule="auto"/>
        <w:jc w:val="center"/>
        <w:rPr>
          <w:rFonts w:hint="default" w:ascii="Times New Roman" w:hAnsi="Times New Roman" w:cs="Times New Roman"/>
          <w:b/>
          <w:kern w:val="0"/>
          <w:sz w:val="50"/>
          <w:szCs w:val="50"/>
          <w:lang w:bidi="en-US"/>
        </w:rPr>
      </w:pPr>
    </w:p>
    <w:p>
      <w:pPr>
        <w:spacing w:line="480" w:lineRule="auto"/>
        <w:jc w:val="center"/>
        <w:rPr>
          <w:rFonts w:hint="default" w:ascii="Times New Roman" w:hAnsi="Times New Roman" w:cs="Times New Roman"/>
          <w:b/>
          <w:kern w:val="0"/>
          <w:sz w:val="50"/>
          <w:szCs w:val="50"/>
          <w:lang w:bidi="en-US"/>
        </w:rPr>
      </w:pPr>
    </w:p>
    <w:p>
      <w:pPr>
        <w:spacing w:line="480" w:lineRule="auto"/>
        <w:jc w:val="center"/>
        <w:rPr>
          <w:rFonts w:hint="default" w:ascii="Times New Roman" w:hAnsi="Times New Roman" w:cs="Times New Roman"/>
          <w:b/>
          <w:kern w:val="0"/>
          <w:sz w:val="50"/>
          <w:szCs w:val="50"/>
          <w:lang w:bidi="en-US"/>
        </w:rPr>
      </w:pPr>
    </w:p>
    <w:p>
      <w:pPr>
        <w:spacing w:line="480" w:lineRule="auto"/>
        <w:jc w:val="center"/>
        <w:rPr>
          <w:rFonts w:hint="default" w:ascii="Times New Roman" w:hAnsi="Times New Roman" w:cs="Times New Roman"/>
          <w:b/>
          <w:kern w:val="0"/>
          <w:sz w:val="50"/>
          <w:szCs w:val="50"/>
          <w:lang w:bidi="en-US"/>
        </w:rPr>
      </w:pPr>
    </w:p>
    <w:p>
      <w:pPr>
        <w:spacing w:line="560" w:lineRule="exact"/>
        <w:ind w:firstLine="321" w:firstLineChars="100"/>
        <w:jc w:val="both"/>
        <w:rPr>
          <w:rFonts w:hint="default" w:ascii="Times New Roman" w:hAnsi="Times New Roman" w:eastAsia="宋体" w:cs="Times New Roman"/>
          <w:kern w:val="0"/>
          <w:sz w:val="32"/>
          <w:szCs w:val="32"/>
        </w:rPr>
      </w:pPr>
      <w:r>
        <w:rPr>
          <w:rFonts w:hint="default" w:ascii="Times New Roman" w:hAnsi="Times New Roman" w:eastAsia="宋体" w:cs="Times New Roman"/>
          <w:b/>
          <w:bCs/>
          <w:color w:val="000000"/>
          <w:kern w:val="0"/>
          <w:sz w:val="32"/>
          <w:szCs w:val="32"/>
          <w:lang w:eastAsia="zh-CN"/>
        </w:rPr>
        <w:t>　</w:t>
      </w:r>
      <w:r>
        <w:rPr>
          <w:rFonts w:hint="default" w:ascii="Times New Roman" w:hAnsi="Times New Roman" w:eastAsia="宋体" w:cs="Times New Roman"/>
          <w:b/>
          <w:bCs/>
          <w:color w:val="000000"/>
          <w:kern w:val="0"/>
          <w:sz w:val="32"/>
          <w:szCs w:val="32"/>
        </w:rPr>
        <w:t>项目名称：</w:t>
      </w:r>
      <w:r>
        <w:rPr>
          <w:rFonts w:hint="default" w:ascii="Times New Roman" w:hAnsi="Times New Roman" w:eastAsia="宋体" w:cs="Times New Roman"/>
          <w:b/>
          <w:bCs/>
          <w:color w:val="000000"/>
          <w:kern w:val="0"/>
          <w:sz w:val="32"/>
          <w:szCs w:val="32"/>
          <w:lang w:val="en-US" w:eastAsia="zh-CN"/>
        </w:rPr>
        <w:t>霍尔果斯经济开发区集中供暖环保技改提升项目</w:t>
      </w:r>
    </w:p>
    <w:p>
      <w:pPr>
        <w:spacing w:line="560" w:lineRule="exact"/>
        <w:ind w:firstLine="321" w:firstLineChars="100"/>
        <w:rPr>
          <w:rFonts w:hint="default" w:ascii="Times New Roman" w:hAnsi="Times New Roman" w:eastAsia="宋体" w:cs="Times New Roman"/>
          <w:kern w:val="0"/>
          <w:sz w:val="32"/>
          <w:szCs w:val="32"/>
        </w:rPr>
      </w:pPr>
      <w:r>
        <w:rPr>
          <w:rFonts w:hint="default" w:ascii="Times New Roman" w:hAnsi="Times New Roman" w:eastAsia="宋体" w:cs="Times New Roman"/>
          <w:b/>
          <w:bCs/>
          <w:color w:val="000000"/>
          <w:kern w:val="0"/>
          <w:sz w:val="32"/>
          <w:szCs w:val="32"/>
          <w:lang w:eastAsia="zh-CN"/>
        </w:rPr>
        <w:t>　</w:t>
      </w:r>
      <w:r>
        <w:rPr>
          <w:rFonts w:hint="default" w:ascii="Times New Roman" w:hAnsi="Times New Roman" w:eastAsia="宋体" w:cs="Times New Roman"/>
          <w:b/>
          <w:bCs/>
          <w:color w:val="000000"/>
          <w:kern w:val="0"/>
          <w:sz w:val="32"/>
          <w:szCs w:val="32"/>
        </w:rPr>
        <w:t>实施单位（公章）：</w:t>
      </w:r>
      <w:r>
        <w:rPr>
          <w:rFonts w:hint="default" w:ascii="Times New Roman" w:hAnsi="Times New Roman" w:eastAsia="宋体" w:cs="Times New Roman"/>
          <w:b/>
          <w:bCs/>
          <w:color w:val="000000"/>
          <w:kern w:val="0"/>
          <w:sz w:val="32"/>
          <w:szCs w:val="32"/>
          <w:lang w:val="en-US" w:eastAsia="zh-CN"/>
        </w:rPr>
        <w:t>霍尔果斯经济开发区源能热力有限公司</w:t>
      </w:r>
    </w:p>
    <w:p>
      <w:pPr>
        <w:spacing w:line="560" w:lineRule="exact"/>
        <w:jc w:val="both"/>
        <w:rPr>
          <w:rFonts w:hint="default" w:ascii="Times New Roman" w:hAnsi="Times New Roman" w:eastAsia="宋体" w:cs="Times New Roman"/>
          <w:kern w:val="0"/>
          <w:sz w:val="32"/>
          <w:szCs w:val="32"/>
        </w:rPr>
      </w:pPr>
      <w:r>
        <w:rPr>
          <w:rFonts w:hint="default" w:ascii="Times New Roman" w:hAnsi="Times New Roman" w:eastAsia="宋体" w:cs="Times New Roman"/>
          <w:b/>
          <w:bCs/>
          <w:color w:val="000000"/>
          <w:kern w:val="0"/>
          <w:sz w:val="32"/>
          <w:szCs w:val="32"/>
          <w:lang w:eastAsia="zh-CN"/>
        </w:rPr>
        <w:t>　　</w:t>
      </w:r>
      <w:r>
        <w:rPr>
          <w:rFonts w:hint="default" w:ascii="Times New Roman" w:hAnsi="Times New Roman" w:eastAsia="宋体" w:cs="Times New Roman"/>
          <w:b/>
          <w:bCs/>
          <w:color w:val="000000"/>
          <w:kern w:val="0"/>
          <w:sz w:val="32"/>
          <w:szCs w:val="32"/>
        </w:rPr>
        <w:t>主管部门（公章）：</w:t>
      </w:r>
      <w:r>
        <w:rPr>
          <w:rFonts w:hint="default" w:ascii="Times New Roman" w:hAnsi="Times New Roman" w:eastAsia="宋体" w:cs="Times New Roman"/>
          <w:b/>
          <w:bCs/>
          <w:color w:val="000000"/>
          <w:kern w:val="0"/>
          <w:sz w:val="32"/>
          <w:szCs w:val="32"/>
          <w:lang w:val="en-US" w:eastAsia="zh-CN"/>
        </w:rPr>
        <w:t>伊犁州生态环境局</w:t>
      </w:r>
    </w:p>
    <w:p>
      <w:pPr>
        <w:spacing w:line="560" w:lineRule="exact"/>
        <w:ind w:firstLine="321" w:firstLineChars="100"/>
        <w:rPr>
          <w:rFonts w:hint="default" w:ascii="Times New Roman" w:hAnsi="Times New Roman" w:eastAsia="宋体" w:cs="Times New Roman"/>
          <w:b/>
          <w:bCs/>
          <w:color w:val="000000"/>
          <w:kern w:val="0"/>
          <w:sz w:val="32"/>
          <w:szCs w:val="32"/>
          <w:lang w:eastAsia="zh-CN"/>
        </w:rPr>
      </w:pPr>
      <w:r>
        <w:rPr>
          <w:rFonts w:hint="default" w:ascii="Times New Roman" w:hAnsi="Times New Roman" w:eastAsia="宋体" w:cs="Times New Roman"/>
          <w:b/>
          <w:bCs/>
          <w:color w:val="000000"/>
          <w:kern w:val="0"/>
          <w:sz w:val="32"/>
          <w:szCs w:val="32"/>
          <w:lang w:eastAsia="zh-CN"/>
        </w:rPr>
        <w:t>　</w:t>
      </w:r>
      <w:r>
        <w:rPr>
          <w:rFonts w:hint="default" w:ascii="Times New Roman" w:hAnsi="Times New Roman" w:eastAsia="宋体" w:cs="Times New Roman"/>
          <w:b/>
          <w:bCs/>
          <w:color w:val="000000"/>
          <w:kern w:val="0"/>
          <w:sz w:val="32"/>
          <w:szCs w:val="32"/>
        </w:rPr>
        <w:t>项目负责人（签章）：</w:t>
      </w:r>
      <w:r>
        <w:rPr>
          <w:rFonts w:hint="default" w:ascii="Times New Roman" w:hAnsi="Times New Roman" w:eastAsia="宋体" w:cs="Times New Roman"/>
          <w:b/>
          <w:bCs/>
          <w:color w:val="000000"/>
          <w:kern w:val="0"/>
          <w:sz w:val="32"/>
          <w:szCs w:val="32"/>
          <w:lang w:eastAsia="zh-CN"/>
        </w:rPr>
        <w:t>张新安</w:t>
      </w:r>
    </w:p>
    <w:p>
      <w:pPr>
        <w:spacing w:line="560" w:lineRule="exact"/>
        <w:ind w:firstLine="321" w:firstLineChars="100"/>
        <w:jc w:val="both"/>
        <w:rPr>
          <w:rFonts w:hint="default" w:ascii="Times New Roman" w:hAnsi="Times New Roman" w:eastAsia="宋体" w:cs="Times New Roman"/>
          <w:color w:val="000000"/>
          <w:kern w:val="0"/>
          <w:sz w:val="32"/>
          <w:szCs w:val="32"/>
        </w:rPr>
      </w:pPr>
      <w:r>
        <w:rPr>
          <w:rFonts w:hint="default" w:ascii="Times New Roman" w:hAnsi="Times New Roman" w:eastAsia="宋体" w:cs="Times New Roman"/>
          <w:b/>
          <w:bCs/>
          <w:color w:val="000000"/>
          <w:kern w:val="0"/>
          <w:sz w:val="32"/>
          <w:szCs w:val="32"/>
          <w:lang w:eastAsia="zh-CN"/>
        </w:rPr>
        <w:t>　</w:t>
      </w:r>
      <w:r>
        <w:rPr>
          <w:rFonts w:hint="default" w:ascii="Times New Roman" w:hAnsi="Times New Roman" w:eastAsia="宋体" w:cs="Times New Roman"/>
          <w:b/>
          <w:bCs/>
          <w:color w:val="000000"/>
          <w:kern w:val="0"/>
          <w:sz w:val="32"/>
          <w:szCs w:val="32"/>
        </w:rPr>
        <w:t>填报时间：</w:t>
      </w:r>
      <w:r>
        <w:rPr>
          <w:rFonts w:hint="default" w:ascii="Times New Roman" w:hAnsi="Times New Roman" w:eastAsia="宋体" w:cs="Times New Roman"/>
          <w:color w:val="000000"/>
          <w:kern w:val="0"/>
          <w:sz w:val="32"/>
          <w:szCs w:val="32"/>
        </w:rPr>
        <w:t>202</w:t>
      </w:r>
      <w:r>
        <w:rPr>
          <w:rFonts w:hint="default" w:ascii="Times New Roman" w:hAnsi="Times New Roman" w:eastAsia="宋体" w:cs="Times New Roman"/>
          <w:color w:val="000000"/>
          <w:kern w:val="0"/>
          <w:sz w:val="32"/>
          <w:szCs w:val="32"/>
          <w:lang w:val="en-US" w:eastAsia="zh-CN"/>
        </w:rPr>
        <w:t>4</w:t>
      </w:r>
      <w:r>
        <w:rPr>
          <w:rFonts w:hint="default" w:ascii="Times New Roman" w:hAnsi="Times New Roman" w:eastAsia="宋体" w:cs="Times New Roman"/>
          <w:color w:val="000000"/>
          <w:kern w:val="0"/>
          <w:sz w:val="32"/>
          <w:szCs w:val="32"/>
        </w:rPr>
        <w:t>年</w:t>
      </w:r>
      <w:r>
        <w:rPr>
          <w:rFonts w:hint="default" w:ascii="Times New Roman" w:hAnsi="Times New Roman" w:eastAsia="宋体" w:cs="Times New Roman"/>
          <w:color w:val="000000"/>
          <w:kern w:val="0"/>
          <w:sz w:val="32"/>
          <w:szCs w:val="32"/>
          <w:lang w:val="en-US" w:eastAsia="zh-CN"/>
        </w:rPr>
        <w:t>4</w:t>
      </w:r>
      <w:r>
        <w:rPr>
          <w:rFonts w:hint="default" w:ascii="Times New Roman" w:hAnsi="Times New Roman" w:eastAsia="宋体" w:cs="Times New Roman"/>
          <w:color w:val="000000"/>
          <w:kern w:val="0"/>
          <w:sz w:val="32"/>
          <w:szCs w:val="32"/>
        </w:rPr>
        <w:t>月</w:t>
      </w:r>
      <w:r>
        <w:rPr>
          <w:rFonts w:hint="default" w:ascii="Times New Roman" w:hAnsi="Times New Roman" w:eastAsia="宋体" w:cs="Times New Roman"/>
          <w:color w:val="000000"/>
          <w:kern w:val="0"/>
          <w:sz w:val="32"/>
          <w:szCs w:val="32"/>
          <w:lang w:val="en-US" w:eastAsia="zh-CN"/>
        </w:rPr>
        <w:t>18</w:t>
      </w:r>
      <w:r>
        <w:rPr>
          <w:rFonts w:hint="default" w:ascii="Times New Roman" w:hAnsi="Times New Roman" w:eastAsia="宋体" w:cs="Times New Roman"/>
          <w:color w:val="000000"/>
          <w:kern w:val="0"/>
          <w:sz w:val="32"/>
          <w:szCs w:val="32"/>
        </w:rPr>
        <w:t>日</w:t>
      </w:r>
    </w:p>
    <w:p>
      <w:pPr>
        <w:widowControl/>
        <w:jc w:val="left"/>
        <w:rPr>
          <w:rFonts w:hint="default" w:ascii="Times New Roman" w:hAnsi="Times New Roman" w:eastAsia="宋体" w:cs="Times New Roman"/>
          <w:b/>
          <w:bCs/>
          <w:sz w:val="36"/>
          <w:szCs w:val="36"/>
        </w:rPr>
      </w:pPr>
      <w:r>
        <w:rPr>
          <w:rFonts w:hint="default" w:ascii="Times New Roman" w:hAnsi="Times New Roman" w:eastAsia="宋体" w:cs="Times New Roman"/>
          <w:b/>
          <w:bCs/>
          <w:sz w:val="36"/>
          <w:szCs w:val="36"/>
        </w:rPr>
        <w:br w:type="page"/>
      </w:r>
    </w:p>
    <w:p>
      <w:pPr>
        <w:pageBreakBefore w:val="0"/>
        <w:numPr>
          <w:ilvl w:val="0"/>
          <w:numId w:val="1"/>
        </w:numPr>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bCs/>
          <w:sz w:val="32"/>
          <w:szCs w:val="32"/>
        </w:rPr>
      </w:pPr>
      <w:bookmarkStart w:id="0" w:name="_Toc68703827"/>
      <w:r>
        <w:rPr>
          <w:rFonts w:hint="default" w:ascii="Times New Roman" w:hAnsi="Times New Roman" w:eastAsia="黑体" w:cs="Times New Roman"/>
          <w:bCs/>
          <w:sz w:val="32"/>
          <w:szCs w:val="32"/>
        </w:rPr>
        <w:t>基本情况</w:t>
      </w:r>
      <w:bookmarkEnd w:id="0"/>
      <w:bookmarkStart w:id="1" w:name="_Toc68703828"/>
    </w:p>
    <w:p>
      <w:pPr>
        <w:pageBreakBefore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sz w:val="32"/>
          <w:szCs w:val="32"/>
          <w:lang w:eastAsia="zh-CN"/>
        </w:rPr>
      </w:pPr>
      <w:r>
        <w:rPr>
          <w:rFonts w:hint="default" w:ascii="Times New Roman" w:hAnsi="Times New Roman" w:eastAsia="楷体_GB2312" w:cs="Times New Roman"/>
          <w:b/>
          <w:bCs/>
          <w:sz w:val="32"/>
          <w:szCs w:val="32"/>
          <w:lang w:eastAsia="zh-CN"/>
        </w:rPr>
        <w:t>（一）</w:t>
      </w:r>
      <w:r>
        <w:rPr>
          <w:rFonts w:hint="default" w:ascii="Times New Roman" w:hAnsi="Times New Roman" w:eastAsia="楷体_GB2312" w:cs="Times New Roman"/>
          <w:b/>
          <w:bCs/>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cs="Times New Roman"/>
          <w:lang w:eastAsia="zh-CN"/>
        </w:rPr>
      </w:pPr>
      <w:r>
        <w:rPr>
          <w:rFonts w:hint="default" w:ascii="Times New Roman" w:hAnsi="Times New Roman"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1.项目背景：</w:t>
      </w: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FF0000"/>
          <w:sz w:val="32"/>
          <w:szCs w:val="32"/>
        </w:rPr>
      </w:pPr>
      <w:r>
        <w:rPr>
          <w:rFonts w:hint="default" w:ascii="Times New Roman" w:hAnsi="Times New Roman" w:eastAsia="仿宋_GB2312" w:cs="Times New Roman"/>
          <w:b w:val="0"/>
          <w:bCs w:val="0"/>
          <w:sz w:val="32"/>
          <w:szCs w:val="32"/>
          <w:lang w:val="en-US" w:eastAsia="zh-CN"/>
        </w:rPr>
        <w:t>《中华人民共和国环境保护法》已由中华人民共和国第十二届全国人民代表大会常务委员会第八次会议于2014年4月24日修订通过，修订后的《中华人民共和国环境保护法》公布，自2015年</w:t>
      </w:r>
      <w:r>
        <w:rPr>
          <w:rFonts w:hint="default" w:ascii="Times New Roman" w:hAnsi="Times New Roman" w:cs="Times New Roman"/>
          <w:b w:val="0"/>
          <w:bCs w:val="0"/>
          <w:sz w:val="32"/>
          <w:szCs w:val="32"/>
          <w:lang w:val="en-US" w:eastAsia="zh-CN"/>
        </w:rPr>
        <w:t>1</w:t>
      </w:r>
      <w:r>
        <w:rPr>
          <w:rFonts w:hint="default" w:ascii="Times New Roman" w:hAnsi="Times New Roman" w:eastAsia="仿宋_GB2312" w:cs="Times New Roman"/>
          <w:b w:val="0"/>
          <w:bCs w:val="0"/>
          <w:sz w:val="32"/>
          <w:szCs w:val="32"/>
          <w:lang w:val="en-US" w:eastAsia="zh-CN"/>
        </w:rPr>
        <w:t>月</w:t>
      </w:r>
      <w:r>
        <w:rPr>
          <w:rFonts w:hint="default" w:ascii="Times New Roman" w:hAnsi="Times New Roman" w:cs="Times New Roman"/>
          <w:b w:val="0"/>
          <w:bCs w:val="0"/>
          <w:sz w:val="32"/>
          <w:szCs w:val="32"/>
          <w:lang w:val="en-US" w:eastAsia="zh-CN"/>
        </w:rPr>
        <w:t>1</w:t>
      </w:r>
      <w:r>
        <w:rPr>
          <w:rFonts w:hint="default" w:ascii="Times New Roman" w:hAnsi="Times New Roman" w:eastAsia="仿宋_GB2312" w:cs="Times New Roman"/>
          <w:b w:val="0"/>
          <w:bCs w:val="0"/>
          <w:sz w:val="32"/>
          <w:szCs w:val="32"/>
          <w:lang w:val="en-US" w:eastAsia="zh-CN"/>
        </w:rPr>
        <w:t>日起施行。新的《中华人民共和国环境保护法》对锅炉房的排放物有了更加严格的要求，从而提高空气质量。燃煤锅炉房的脱硝的改造工程对促进改造空气质量，降低能耗有着至关重要的作用。项目实施后，减少污染物的排放量，对全疆进一步推进节能减排工作起到推动作用，产生积极的影响。根据伊犁州人民政府关于《印发&lt;2021年伊犁州直大气污染防治行动计划&gt;的通知》（伊州政办发&lt;2021&gt;6号）精神，再次对燃煤锅炉污染排放提出了更高的目标和要求。根据州人民政府《2021年伊犁州直大气污染防治行动计划》（伊州政发办（2021）6号文）《伊犁州直清洁取暖实施方案（2018-2021年）》伊州政发办（2019）15号、《自治区清洁能源取暖方案（2018-2021年）》新发改能源（2018）747号）《关于加快推进燃煤锅炉超低排放改造的函》要求，2021年底前城市建成区燃煤供暖锅炉完成超低排放改造，州直区域内每小时65蒸吨及以上燃煤锅炉全部实施节能和超低排放改造。现有2台65t/h锅炉以及1台100t/h 锅炉环保设施采用布袋除尘+湿法脱硫+SNCR脱硝工艺，排放设计指标为SO2＜35mg/Nm3</w:t>
      </w:r>
      <w:r>
        <w:rPr>
          <w:rFonts w:hint="default" w:ascii="Times New Roman" w:hAnsi="Times New Roman" w:cs="Times New Roman"/>
          <w:b w:val="0"/>
          <w:bCs w:val="0"/>
          <w:sz w:val="32"/>
          <w:szCs w:val="32"/>
          <w:lang w:val="en-US" w:eastAsia="zh-CN"/>
        </w:rPr>
        <w:t>，</w:t>
      </w:r>
      <w:r>
        <w:rPr>
          <w:rFonts w:hint="default" w:ascii="Times New Roman" w:hAnsi="Times New Roman" w:eastAsia="仿宋_GB2312" w:cs="Times New Roman"/>
          <w:b w:val="0"/>
          <w:bCs w:val="0"/>
          <w:sz w:val="32"/>
          <w:szCs w:val="32"/>
          <w:lang w:val="en-US" w:eastAsia="zh-CN"/>
        </w:rPr>
        <w:t>颗粒物＜10mg/Nm3，NOX＜200mg/Nm3。随着对环境要求的日益提高的实施，《锅炉大气污染物标准》（GB13271-2014）中对锅炉大气污染物中的氮氧化物已无法满足环保需求。随着对环境要求的日益提高的实施，根据《关于加快推进燃煤锅炉超低排放改造的函》要求至2021年底所有65蒸吨锅炉全部达到超低排放要求，即达到颗粒物＜10mg/Nm3、SO2＜35mg/Nm3、NOx＜50mg/Nm3的排放要求，现有的热源脱硝环保设施需进行提标改造，否则无法达到超低排放要求。项目建设符合集中供热相关产业政策，原有供热单位具备特种业经营许可，本项目改造工程采用的锅炉污染物排放治理设施技术先进，满足伊犁哈萨克自治州生态环境局下发文件《关于加快推进燃煤锅炉超低排放改造的函》要求。项目符合相关行业准入标准。</w:t>
      </w: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sz w:val="32"/>
          <w:szCs w:val="32"/>
          <w:lang w:eastAsia="zh-CN"/>
        </w:rPr>
      </w:pPr>
      <w:r>
        <w:rPr>
          <w:rFonts w:hint="default" w:ascii="Times New Roman" w:hAnsi="Times New Roman" w:eastAsia="仿宋_GB2312" w:cs="Times New Roman"/>
          <w:b w:val="0"/>
          <w:bCs w:val="0"/>
          <w:sz w:val="32"/>
          <w:szCs w:val="32"/>
          <w:lang w:eastAsia="zh-CN"/>
        </w:rPr>
        <w:t>2</w:t>
      </w:r>
      <w:r>
        <w:rPr>
          <w:rFonts w:hint="default"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b w:val="0"/>
          <w:bCs w:val="0"/>
          <w:sz w:val="32"/>
          <w:szCs w:val="32"/>
          <w:lang w:eastAsia="zh-CN"/>
        </w:rPr>
        <w:t>主要内容及实施情况</w:t>
      </w: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FF0000"/>
          <w:sz w:val="32"/>
          <w:szCs w:val="32"/>
        </w:rPr>
      </w:pPr>
      <w:r>
        <w:rPr>
          <w:rFonts w:hint="default" w:ascii="Times New Roman" w:hAnsi="Times New Roman" w:eastAsia="仿宋_GB2312" w:cs="Times New Roman"/>
          <w:b w:val="0"/>
          <w:bCs w:val="0"/>
          <w:sz w:val="32"/>
          <w:szCs w:val="32"/>
          <w:lang w:val="en-US" w:eastAsia="zh-CN"/>
        </w:rPr>
        <w:t>主要内容：提升改造现有2×65t/h燃煤热水锅炉、1×100t/h燃煤热水锅炉的环保设施系统</w:t>
      </w:r>
      <w:r>
        <w:rPr>
          <w:rFonts w:hint="default" w:ascii="Times New Roman" w:hAnsi="Times New Roman" w:cs="Times New Roman"/>
          <w:b w:val="0"/>
          <w:bCs w:val="0"/>
          <w:sz w:val="32"/>
          <w:szCs w:val="32"/>
          <w:lang w:val="en-US" w:eastAsia="zh-CN"/>
        </w:rPr>
        <w:t>，</w:t>
      </w:r>
      <w:r>
        <w:rPr>
          <w:rFonts w:hint="default" w:ascii="Times New Roman" w:hAnsi="Times New Roman" w:eastAsia="仿宋_GB2312" w:cs="Times New Roman"/>
          <w:b w:val="0"/>
          <w:bCs w:val="0"/>
          <w:sz w:val="32"/>
          <w:szCs w:val="32"/>
          <w:lang w:val="en-US" w:eastAsia="zh-CN"/>
        </w:rPr>
        <w:t>对原有的SNCR设备进行检修，升级改造处理，新增SCR脱硝系统。</w:t>
      </w: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cs="Times New Roman"/>
          <w:sz w:val="32"/>
          <w:szCs w:val="32"/>
        </w:rPr>
        <w:t>实施情况：</w:t>
      </w:r>
      <w:r>
        <w:rPr>
          <w:rFonts w:hint="default" w:ascii="Times New Roman" w:hAnsi="Times New Roman" w:eastAsia="仿宋_GB2312" w:cs="Times New Roman"/>
          <w:sz w:val="32"/>
          <w:szCs w:val="32"/>
        </w:rPr>
        <w:t>项目目前已经完成提升改造现有2×65t/h燃煤热水锅炉、1×100t/h燃煤热水锅炉的环保设施系统，对原有的SNCR设备进行检修</w:t>
      </w:r>
      <w:r>
        <w:rPr>
          <w:rFonts w:hint="default" w:ascii="Times New Roman" w:hAnsi="Times New Roman" w:cs="Times New Roman"/>
          <w:sz w:val="32"/>
          <w:szCs w:val="32"/>
          <w:lang w:eastAsia="zh-CN"/>
        </w:rPr>
        <w:t>，</w:t>
      </w:r>
      <w:r>
        <w:rPr>
          <w:rFonts w:hint="default" w:ascii="Times New Roman" w:hAnsi="Times New Roman" w:eastAsia="仿宋_GB2312" w:cs="Times New Roman"/>
          <w:sz w:val="32"/>
          <w:szCs w:val="32"/>
        </w:rPr>
        <w:t>升级改造处理，新增SCR脱硝系统</w:t>
      </w:r>
      <w:r>
        <w:rPr>
          <w:rFonts w:hint="default" w:ascii="Times New Roman" w:hAnsi="Times New Roman" w:eastAsia="仿宋_GB2312" w:cs="Times New Roman"/>
          <w:sz w:val="32"/>
          <w:szCs w:val="32"/>
          <w:lang w:val="en-US" w:eastAsia="zh-CN"/>
        </w:rPr>
        <w:t>的所有工程量</w:t>
      </w:r>
      <w:r>
        <w:rPr>
          <w:rFonts w:hint="default" w:ascii="Times New Roman" w:hAnsi="Times New Roman" w:eastAsia="仿宋_GB2312" w:cs="Times New Roman"/>
          <w:sz w:val="32"/>
          <w:szCs w:val="32"/>
        </w:rPr>
        <w:t>，项目在实施过程中严格按照目标设立的各阶段任务进行开展工作，在前期立项过程中严格把质量关，建立安全防护机制，保证项目实施各阶段安全顺利进行。</w:t>
      </w: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b w:val="0"/>
          <w:bCs w:val="0"/>
          <w:sz w:val="32"/>
          <w:szCs w:val="32"/>
          <w:lang w:eastAsia="zh-CN"/>
        </w:rPr>
      </w:pPr>
      <w:r>
        <w:rPr>
          <w:rFonts w:hint="default" w:ascii="Times New Roman" w:hAnsi="Times New Roman" w:cs="Times New Roman"/>
          <w:b w:val="0"/>
          <w:bCs w:val="0"/>
          <w:sz w:val="32"/>
          <w:szCs w:val="32"/>
          <w:lang w:eastAsia="zh-CN"/>
        </w:rPr>
        <w:t>3</w:t>
      </w:r>
      <w:r>
        <w:rPr>
          <w:rFonts w:hint="default" w:ascii="Times New Roman" w:hAnsi="Times New Roman" w:cs="Times New Roman"/>
          <w:b w:val="0"/>
          <w:bCs w:val="0"/>
          <w:sz w:val="32"/>
          <w:szCs w:val="32"/>
          <w:lang w:val="en-US" w:eastAsia="zh-CN"/>
        </w:rPr>
        <w:t>.</w:t>
      </w:r>
      <w:r>
        <w:rPr>
          <w:rFonts w:hint="default" w:ascii="Times New Roman" w:hAnsi="Times New Roman" w:cs="Times New Roman"/>
          <w:b w:val="0"/>
          <w:bCs w:val="0"/>
          <w:sz w:val="32"/>
          <w:szCs w:val="32"/>
          <w:lang w:eastAsia="zh-CN"/>
        </w:rPr>
        <w:t>资金投入和使用情况</w:t>
      </w: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资金投入情况：该项目年初预算数</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万元，全年预算数</w:t>
      </w:r>
      <w:r>
        <w:rPr>
          <w:rFonts w:hint="default" w:ascii="Times New Roman" w:hAnsi="Times New Roman" w:eastAsia="仿宋_GB2312" w:cs="Times New Roman"/>
          <w:sz w:val="32"/>
          <w:szCs w:val="32"/>
          <w:lang w:val="en-US" w:eastAsia="zh-CN"/>
        </w:rPr>
        <w:t>600</w:t>
      </w:r>
      <w:r>
        <w:rPr>
          <w:rFonts w:hint="default" w:ascii="Times New Roman" w:hAnsi="Times New Roman" w:eastAsia="仿宋_GB2312" w:cs="Times New Roman"/>
          <w:sz w:val="32"/>
          <w:szCs w:val="32"/>
        </w:rPr>
        <w:t>万元，实际总投入</w:t>
      </w:r>
      <w:r>
        <w:rPr>
          <w:rFonts w:hint="default" w:ascii="Times New Roman" w:hAnsi="Times New Roman" w:eastAsia="仿宋_GB2312" w:cs="Times New Roman"/>
          <w:sz w:val="32"/>
          <w:szCs w:val="32"/>
          <w:lang w:val="en-US" w:eastAsia="zh-CN"/>
        </w:rPr>
        <w:t>600</w:t>
      </w:r>
      <w:r>
        <w:rPr>
          <w:rFonts w:hint="default" w:ascii="Times New Roman" w:hAnsi="Times New Roman" w:eastAsia="仿宋_GB2312" w:cs="Times New Roman"/>
          <w:sz w:val="32"/>
          <w:szCs w:val="32"/>
        </w:rPr>
        <w:t>万元，该项目资金已全部落实到位，资金来源为</w:t>
      </w:r>
      <w:r>
        <w:rPr>
          <w:rFonts w:hint="default" w:ascii="Times New Roman" w:hAnsi="Times New Roman" w:eastAsia="仿宋_GB2312" w:cs="Times New Roman"/>
          <w:sz w:val="32"/>
          <w:szCs w:val="32"/>
          <w:lang w:val="en-US" w:eastAsia="zh-CN"/>
        </w:rPr>
        <w:t>中央转移支付资金</w:t>
      </w:r>
      <w:r>
        <w:rPr>
          <w:rFonts w:hint="default" w:ascii="Times New Roman" w:hAnsi="Times New Roman" w:eastAsia="仿宋_GB2312" w:cs="Times New Roman"/>
          <w:sz w:val="32"/>
          <w:szCs w:val="32"/>
        </w:rPr>
        <w:t>。</w:t>
      </w: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资金使用情况：该项目年初预算数</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万元，全年预算数</w:t>
      </w:r>
      <w:r>
        <w:rPr>
          <w:rFonts w:hint="default" w:ascii="Times New Roman" w:hAnsi="Times New Roman" w:eastAsia="仿宋_GB2312" w:cs="Times New Roman"/>
          <w:sz w:val="32"/>
          <w:szCs w:val="32"/>
          <w:lang w:val="en-US" w:eastAsia="zh-CN"/>
        </w:rPr>
        <w:t>600</w:t>
      </w:r>
      <w:r>
        <w:rPr>
          <w:rFonts w:hint="default" w:ascii="Times New Roman" w:hAnsi="Times New Roman" w:eastAsia="仿宋_GB2312" w:cs="Times New Roman"/>
          <w:sz w:val="32"/>
          <w:szCs w:val="32"/>
        </w:rPr>
        <w:t>万元，全年执行数</w:t>
      </w:r>
      <w:r>
        <w:rPr>
          <w:rFonts w:hint="default" w:ascii="Times New Roman" w:hAnsi="Times New Roman" w:eastAsia="仿宋_GB2312" w:cs="Times New Roman"/>
          <w:sz w:val="32"/>
          <w:szCs w:val="32"/>
          <w:lang w:val="en-US" w:eastAsia="zh-CN"/>
        </w:rPr>
        <w:t>600</w:t>
      </w:r>
      <w:r>
        <w:rPr>
          <w:rFonts w:hint="default" w:ascii="Times New Roman" w:hAnsi="Times New Roman" w:eastAsia="仿宋_GB2312" w:cs="Times New Roman"/>
          <w:sz w:val="32"/>
          <w:szCs w:val="32"/>
        </w:rPr>
        <w:t>万元，预算执行率为</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主要</w:t>
      </w:r>
      <w:r>
        <w:rPr>
          <w:rFonts w:hint="default" w:ascii="Times New Roman" w:hAnsi="Times New Roman" w:eastAsia="仿宋_GB2312" w:cs="Times New Roman"/>
          <w:sz w:val="32"/>
          <w:szCs w:val="32"/>
        </w:rPr>
        <w:t>用于：</w:t>
      </w:r>
      <w:r>
        <w:rPr>
          <w:rFonts w:hint="default" w:ascii="Times New Roman" w:hAnsi="Times New Roman" w:eastAsia="仿宋_GB2312" w:cs="Times New Roman"/>
          <w:sz w:val="32"/>
          <w:szCs w:val="32"/>
          <w:lang w:val="en-US" w:eastAsia="zh-CN"/>
        </w:rPr>
        <w:t>2台65t/h锅炉以及1台100t/h 锅炉环保设施改造600</w:t>
      </w:r>
      <w:r>
        <w:rPr>
          <w:rFonts w:hint="default" w:ascii="Times New Roman" w:hAnsi="Times New Roman" w:eastAsia="仿宋_GB2312" w:cs="Times New Roman"/>
          <w:sz w:val="32"/>
          <w:szCs w:val="32"/>
        </w:rPr>
        <w:t>万元。</w:t>
      </w:r>
      <w:bookmarkStart w:id="2" w:name="_Toc68703829"/>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cs="Times New Roman"/>
          <w:color w:val="FF0000"/>
          <w:sz w:val="32"/>
          <w:szCs w:val="32"/>
        </w:rPr>
      </w:pPr>
      <w:r>
        <w:rPr>
          <w:rFonts w:hint="default" w:ascii="Times New Roman" w:hAnsi="Times New Roman" w:eastAsia="楷体_GB2312" w:cs="Times New Roman"/>
          <w:b/>
          <w:bCs/>
          <w:sz w:val="32"/>
          <w:szCs w:val="32"/>
          <w:lang w:eastAsia="zh-CN"/>
        </w:rPr>
        <w:t>（二）项目绩效目标</w:t>
      </w:r>
      <w:bookmarkEnd w:id="2"/>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1.总体目标：</w:t>
      </w:r>
      <w:r>
        <w:rPr>
          <w:rFonts w:hint="default" w:ascii="Times New Roman" w:hAnsi="Times New Roman" w:eastAsia="仿宋_GB2312" w:cs="Times New Roman"/>
          <w:sz w:val="32"/>
          <w:szCs w:val="32"/>
        </w:rPr>
        <w:t>将霍尔果斯经济开发区热源厂内两台65吨锅炉和一台100吨锅炉（三台锅炉总蒸吨数为230吨）环保提升为超低排，改造前采用工艺：布袋除尘+石灰石膏法+SNCR脱销</w:t>
      </w:r>
      <w:r>
        <w:rPr>
          <w:rFonts w:hint="default" w:ascii="Times New Roman" w:hAnsi="Times New Roman" w:eastAsia="仿宋_GB2312" w:cs="Times New Roman"/>
          <w:sz w:val="32"/>
          <w:szCs w:val="32"/>
          <w:lang w:eastAsia="zh-CN"/>
        </w:rPr>
        <w:t>。</w:t>
      </w: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2.阶段性目标：</w:t>
      </w:r>
      <w:bookmarkStart w:id="3" w:name="_Toc68703830"/>
      <w:r>
        <w:rPr>
          <w:rFonts w:hint="default" w:ascii="Times New Roman" w:hAnsi="Times New Roman" w:eastAsia="仿宋_GB2312" w:cs="Times New Roman"/>
          <w:sz w:val="32"/>
          <w:szCs w:val="32"/>
          <w:lang w:val="en-US" w:eastAsia="zh-CN"/>
        </w:rPr>
        <w:t>在项目开始初期一个月时间，完成对现有SNCR设备的检修工作，并同时采购需要改造的脱硝设备。</w:t>
      </w:r>
      <w:r>
        <w:rPr>
          <w:rFonts w:hint="default" w:ascii="Times New Roman" w:hAnsi="Times New Roman" w:cs="Times New Roman"/>
          <w:sz w:val="32"/>
          <w:szCs w:val="32"/>
          <w:lang w:val="en-US" w:eastAsia="zh-CN"/>
        </w:rPr>
        <w:t>现已</w:t>
      </w:r>
      <w:r>
        <w:rPr>
          <w:rFonts w:hint="default" w:ascii="Times New Roman" w:hAnsi="Times New Roman" w:eastAsia="仿宋_GB2312" w:cs="Times New Roman"/>
          <w:sz w:val="32"/>
          <w:szCs w:val="32"/>
          <w:lang w:val="en-US" w:eastAsia="zh-CN"/>
        </w:rPr>
        <w:t>完成对三台锅炉的环保设施系统升级改造工作并同时完成新增的SCR脱硝系统的建设工作。</w:t>
      </w: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bCs/>
          <w:sz w:val="32"/>
          <w:szCs w:val="32"/>
          <w:lang w:val="en-US" w:eastAsia="zh-CN"/>
        </w:rPr>
      </w:pPr>
      <w:r>
        <w:rPr>
          <w:rFonts w:hint="default" w:ascii="Times New Roman" w:hAnsi="Times New Roman" w:eastAsia="黑体" w:cs="Times New Roman"/>
          <w:bCs/>
          <w:sz w:val="32"/>
          <w:szCs w:val="32"/>
          <w:lang w:val="en-US" w:eastAsia="zh-CN"/>
        </w:rPr>
        <w:t>二、绩效评价工作开展情况</w:t>
      </w:r>
      <w:bookmarkEnd w:id="3"/>
    </w:p>
    <w:p>
      <w:pPr>
        <w:pageBreakBefore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sz w:val="32"/>
          <w:szCs w:val="32"/>
          <w:lang w:eastAsia="zh-CN"/>
        </w:rPr>
      </w:pPr>
      <w:bookmarkStart w:id="4" w:name="_Toc68703831"/>
      <w:r>
        <w:rPr>
          <w:rFonts w:hint="default" w:ascii="Times New Roman" w:hAnsi="Times New Roman" w:eastAsia="楷体_GB2312" w:cs="Times New Roman"/>
          <w:b/>
          <w:bCs/>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　1.绩效评价目的</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2"/>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（2）项目绩效管理财政支出运行提供及时、有效的信息。</w:t>
      </w:r>
    </w:p>
    <w:p>
      <w:pPr>
        <w:pStyle w:val="21"/>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仿宋_GB2312" w:cs="Times New Roman"/>
          <w:sz w:val="32"/>
          <w:szCs w:val="32"/>
        </w:rPr>
        <w:t>综合来看，通过开展有效的财政支出绩效评价管理，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cs="Times New Roman"/>
          <w:b/>
          <w:bCs/>
          <w:sz w:val="30"/>
          <w:szCs w:val="30"/>
          <w:lang w:val="en-US" w:eastAsia="zh-CN"/>
        </w:rPr>
        <w:t xml:space="preserve">　  </w:t>
      </w:r>
      <w:r>
        <w:rPr>
          <w:rFonts w:hint="default" w:ascii="Times New Roman" w:hAnsi="Times New Roman" w:eastAsia="仿宋_GB2312" w:cs="Times New Roman"/>
          <w:b w:val="0"/>
          <w:bCs w:val="0"/>
          <w:sz w:val="32"/>
          <w:szCs w:val="32"/>
          <w:lang w:val="en-US" w:eastAsia="zh-CN"/>
        </w:rPr>
        <w:t>2.绩效评价对象：</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FF0000"/>
          <w:sz w:val="32"/>
          <w:szCs w:val="32"/>
        </w:rPr>
      </w:pPr>
      <w:r>
        <w:rPr>
          <w:rFonts w:hint="default" w:ascii="Times New Roman" w:hAnsi="Times New Roman" w:eastAsia="仿宋_GB2312" w:cs="Times New Roman"/>
          <w:sz w:val="32"/>
          <w:szCs w:val="32"/>
          <w:lang w:val="en-US" w:eastAsia="zh-CN"/>
        </w:rPr>
        <w:t>霍尔果斯经济开发区集中供暖环保技改提升项目</w:t>
      </w:r>
      <w:r>
        <w:rPr>
          <w:rFonts w:hint="default" w:ascii="Times New Roman" w:hAnsi="Times New Roman" w:eastAsia="仿宋_GB2312" w:cs="Times New Roman"/>
          <w:sz w:val="32"/>
          <w:szCs w:val="32"/>
        </w:rPr>
        <w:t>项目所包含的全部项目内容。</w:t>
      </w: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　</w:t>
      </w:r>
      <w:r>
        <w:rPr>
          <w:rFonts w:hint="default" w:ascii="Times New Roman" w:hAnsi="Times New Roman"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rPr>
      </w:pPr>
      <w:r>
        <w:rPr>
          <w:rFonts w:hint="default" w:ascii="Times New Roman" w:hAnsi="Times New Roman" w:cs="Times New Roman"/>
          <w:color w:val="auto"/>
          <w:sz w:val="32"/>
          <w:szCs w:val="32"/>
        </w:rPr>
        <w:t>本次评价从项目决策（包括绩效目标、决策过程）、项目管理（包括项目资金、项目实施）、项目产出（包括项目产出数量、产出质量、产出时效和产出成本）项目效益四个维度进行</w:t>
      </w:r>
      <w:r>
        <w:rPr>
          <w:rFonts w:hint="default" w:ascii="Times New Roman" w:hAnsi="Times New Roman" w:cs="Times New Roman"/>
          <w:color w:val="auto"/>
          <w:sz w:val="32"/>
          <w:szCs w:val="32"/>
          <w:lang w:val="en-US" w:eastAsia="zh-CN"/>
        </w:rPr>
        <w:t>霍尔果斯经济开发区集中供暖环保技改提升项目</w:t>
      </w:r>
      <w:r>
        <w:rPr>
          <w:rFonts w:hint="default" w:ascii="Times New Roman" w:hAnsi="Times New Roman" w:cs="Times New Roman"/>
          <w:color w:val="auto"/>
          <w:sz w:val="32"/>
          <w:szCs w:val="32"/>
        </w:rPr>
        <w:t>评价，评价核心为资金的支出完成情况和效果。</w:t>
      </w:r>
    </w:p>
    <w:p>
      <w:pPr>
        <w:pStyle w:val="4"/>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kern w:val="2"/>
          <w:sz w:val="32"/>
          <w:szCs w:val="32"/>
          <w:lang w:val="en-US" w:eastAsia="zh-CN" w:bidi="ar-SA"/>
        </w:rPr>
      </w:pPr>
      <w:bookmarkStart w:id="5" w:name="_Toc68703832"/>
      <w:r>
        <w:rPr>
          <w:rFonts w:hint="default" w:ascii="Times New Roman" w:hAnsi="Times New Roman" w:eastAsia="楷体_GB2312" w:cs="Times New Roman"/>
          <w:b/>
          <w:bCs/>
          <w:kern w:val="2"/>
          <w:sz w:val="32"/>
          <w:szCs w:val="32"/>
          <w:lang w:val="en-US" w:eastAsia="zh-CN" w:bidi="ar-SA"/>
        </w:rPr>
        <w:t>（二）绩效评价原则、评价指标体系</w:t>
      </w:r>
      <w:r>
        <w:rPr>
          <w:rFonts w:hint="default" w:ascii="Times New Roman" w:hAnsi="Times New Roman" w:eastAsia="楷体_GB2312" w:cs="Times New Roman"/>
          <w:b/>
          <w:bCs/>
          <w:sz w:val="32"/>
          <w:szCs w:val="32"/>
        </w:rPr>
        <w:t>（详情见表1）</w:t>
      </w:r>
      <w:r>
        <w:rPr>
          <w:rFonts w:hint="default" w:ascii="Times New Roman" w:hAnsi="Times New Roman" w:eastAsia="楷体_GB2312" w:cs="Times New Roman"/>
          <w:b/>
          <w:bCs/>
          <w:kern w:val="2"/>
          <w:sz w:val="32"/>
          <w:szCs w:val="32"/>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cs="Times New Roman"/>
          <w:sz w:val="32"/>
          <w:szCs w:val="32"/>
        </w:rPr>
      </w:pPr>
      <w:r>
        <w:rPr>
          <w:rFonts w:hint="default" w:ascii="Times New Roman" w:hAnsi="Times New Roman" w:cs="Times New Roman"/>
          <w:sz w:val="32"/>
          <w:szCs w:val="32"/>
        </w:rPr>
        <w:t>1</w:t>
      </w:r>
      <w:r>
        <w:rPr>
          <w:rFonts w:hint="default" w:ascii="Times New Roman" w:hAnsi="Times New Roman" w:cs="Times New Roman"/>
          <w:sz w:val="32"/>
          <w:szCs w:val="32"/>
          <w:lang w:val="en-US" w:eastAsia="zh-CN"/>
        </w:rPr>
        <w:t>.</w:t>
      </w:r>
      <w:r>
        <w:rPr>
          <w:rFonts w:hint="default" w:ascii="Times New Roman" w:hAnsi="Times New Roman" w:cs="Times New Roman"/>
          <w:sz w:val="32"/>
          <w:szCs w:val="32"/>
        </w:rPr>
        <w:t>绩效评价原则</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cs="Times New Roman"/>
        </w:rPr>
      </w:pPr>
      <w:r>
        <w:rPr>
          <w:rFonts w:hint="default" w:ascii="Times New Roman" w:hAnsi="Times New Roman" w:eastAsia="仿宋_GB2312" w:cs="Times New Roman"/>
          <w:b w:val="0"/>
          <w:bCs w:val="0"/>
        </w:rPr>
        <w:t>（4）公开透明。绩效评价结果应依法依规公开，并自觉接受社会监督。</w:t>
      </w:r>
    </w:p>
    <w:p>
      <w:pPr>
        <w:pageBreakBefore w:val="0"/>
        <w:kinsoku/>
        <w:wordWrap/>
        <w:overflowPunct/>
        <w:topLinePunct w:val="0"/>
        <w:autoSpaceDE/>
        <w:autoSpaceDN/>
        <w:bidi w:val="0"/>
        <w:adjustRightInd/>
        <w:snapToGrid/>
        <w:spacing w:line="560" w:lineRule="exact"/>
        <w:ind w:firstLine="600" w:firstLineChars="200"/>
        <w:jc w:val="left"/>
        <w:textAlignment w:val="auto"/>
        <w:rPr>
          <w:rFonts w:hint="default" w:ascii="Times New Roman" w:hAnsi="Times New Roman" w:cs="Times New Roman"/>
          <w:sz w:val="32"/>
          <w:szCs w:val="32"/>
        </w:rPr>
      </w:pPr>
      <w:r>
        <w:rPr>
          <w:rFonts w:hint="default" w:ascii="Times New Roman" w:hAnsi="Times New Roman" w:cs="Times New Roman"/>
        </w:rPr>
        <w:t>2、</w:t>
      </w:r>
      <w:r>
        <w:rPr>
          <w:rFonts w:hint="default" w:ascii="Times New Roman" w:hAnsi="Times New Roman" w:cs="Times New Roman"/>
          <w:sz w:val="32"/>
          <w:szCs w:val="32"/>
        </w:rPr>
        <w:t>评价指标体系</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pageBreakBefore w:val="0"/>
        <w:kinsoku/>
        <w:wordWrap/>
        <w:overflowPunct/>
        <w:topLinePunct w:val="0"/>
        <w:autoSpaceDE/>
        <w:autoSpaceDN/>
        <w:bidi w:val="0"/>
        <w:adjustRightInd/>
        <w:snapToGrid/>
        <w:spacing w:before="0" w:after="0" w:line="560" w:lineRule="exact"/>
        <w:ind w:firstLine="708" w:firstLineChars="200"/>
        <w:jc w:val="both"/>
        <w:textAlignment w:val="auto"/>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pageBreakBefore w:val="0"/>
        <w:widowControl w:val="0"/>
        <w:kinsoku/>
        <w:wordWrap/>
        <w:overflowPunct/>
        <w:topLinePunct w:val="0"/>
        <w:autoSpaceDE/>
        <w:autoSpaceDN/>
        <w:bidi w:val="0"/>
        <w:adjustRightInd/>
        <w:snapToGrid/>
        <w:spacing w:before="0" w:after="0" w:line="560" w:lineRule="exact"/>
        <w:ind w:firstLine="708" w:firstLineChars="200"/>
        <w:jc w:val="both"/>
        <w:textAlignment w:val="auto"/>
        <w:outlineLvl w:val="9"/>
        <w:rPr>
          <w:rFonts w:hint="default" w:ascii="Times New Roman" w:hAnsi="Times New Roman" w:cs="Times New Roman"/>
        </w:rPr>
      </w:pPr>
      <w:r>
        <w:rPr>
          <w:rFonts w:hint="default" w:ascii="Times New Roman" w:hAnsi="Times New Roman" w:eastAsia="仿宋_GB2312" w:cs="Times New Roman"/>
          <w:b w:val="0"/>
          <w:bCs w:val="0"/>
          <w:color w:val="000000"/>
          <w:spacing w:val="17"/>
        </w:rPr>
        <w:t>具体评价指标体系详情见附件1</w:t>
      </w:r>
    </w:p>
    <w:p>
      <w:pPr>
        <w:pStyle w:val="7"/>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3、评价方法</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bCs/>
          <w:color w:val="FF0000"/>
          <w:sz w:val="32"/>
          <w:szCs w:val="32"/>
          <w:lang w:eastAsia="zh-CN"/>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themeColor="text1"/>
          <w:spacing w:val="17"/>
          <w:sz w:val="32"/>
          <w:szCs w:val="32"/>
          <w14:textFill>
            <w14:solidFill>
              <w14:schemeClr w14:val="tx1"/>
            </w14:solidFill>
          </w14:textFill>
        </w:rPr>
      </w:pPr>
      <w:r>
        <w:rPr>
          <w:rFonts w:hint="default" w:ascii="Times New Roman" w:hAnsi="Times New Roman" w:eastAsia="仿宋_GB2312" w:cs="Times New Roman"/>
          <w:color w:val="000000" w:themeColor="text1"/>
          <w:spacing w:val="17"/>
          <w:sz w:val="32"/>
          <w:szCs w:val="32"/>
          <w14:textFill>
            <w14:solidFill>
              <w14:schemeClr w14:val="tx1"/>
            </w14:solidFill>
          </w14:textFill>
        </w:rPr>
        <w:t>（1）比较法</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themeColor="text1"/>
          <w:spacing w:val="17"/>
          <w:sz w:val="32"/>
          <w:szCs w:val="32"/>
          <w14:textFill>
            <w14:solidFill>
              <w14:schemeClr w14:val="tx1"/>
            </w14:solidFill>
          </w14:textFill>
        </w:rPr>
      </w:pPr>
      <w:r>
        <w:rPr>
          <w:rFonts w:hint="default" w:ascii="Times New Roman" w:hAnsi="Times New Roman" w:eastAsia="仿宋_GB2312" w:cs="Times New Roman"/>
          <w:color w:val="000000" w:themeColor="text1"/>
          <w:spacing w:val="17"/>
          <w:sz w:val="32"/>
          <w:szCs w:val="32"/>
          <w14:textFill>
            <w14:solidFill>
              <w14:schemeClr w14:val="tx1"/>
            </w14:solidFill>
          </w14:textFill>
        </w:rPr>
        <w:t>通过对绩效目标与实施效果、历史与当期情况，综合分析绩效目标实现程度。对</w:t>
      </w:r>
      <w:r>
        <w:rPr>
          <w:rFonts w:hint="default" w:ascii="Times New Roman" w:hAnsi="Times New Roman" w:eastAsia="仿宋_GB2312" w:cs="Times New Roman"/>
          <w:color w:val="000000" w:themeColor="text1"/>
          <w:sz w:val="32"/>
          <w:szCs w:val="32"/>
          <w14:textFill>
            <w14:solidFill>
              <w14:schemeClr w14:val="tx1"/>
            </w14:solidFill>
          </w14:textFill>
        </w:rPr>
        <w:t>项目</w:t>
      </w:r>
      <w:r>
        <w:rPr>
          <w:rFonts w:hint="default" w:ascii="Times New Roman" w:hAnsi="Times New Roman" w:eastAsia="仿宋_GB2312" w:cs="Times New Roman"/>
          <w:color w:val="000000" w:themeColor="text1"/>
          <w:spacing w:val="17"/>
          <w:sz w:val="32"/>
          <w:szCs w:val="32"/>
          <w14:textFill>
            <w14:solidFill>
              <w14:schemeClr w14:val="tx1"/>
            </w14:solidFill>
          </w14:textFill>
        </w:rPr>
        <w:t>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themeColor="text1"/>
          <w:spacing w:val="17"/>
          <w:sz w:val="32"/>
          <w:szCs w:val="32"/>
          <w14:textFill>
            <w14:solidFill>
              <w14:schemeClr w14:val="tx1"/>
            </w14:solidFill>
          </w14:textFill>
        </w:rPr>
      </w:pPr>
      <w:r>
        <w:rPr>
          <w:rFonts w:hint="default" w:ascii="Times New Roman" w:hAnsi="Times New Roman" w:eastAsia="仿宋_GB2312" w:cs="Times New Roman"/>
          <w:color w:val="000000" w:themeColor="text1"/>
          <w:spacing w:val="17"/>
          <w:sz w:val="32"/>
          <w:szCs w:val="32"/>
          <w14:textFill>
            <w14:solidFill>
              <w14:schemeClr w14:val="tx1"/>
            </w14:solidFill>
          </w14:textFill>
        </w:rPr>
        <w:t>（2）因素分析法</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bCs/>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pacing w:val="17"/>
          <w:sz w:val="32"/>
          <w:szCs w:val="32"/>
          <w14:textFill>
            <w14:solidFill>
              <w14:schemeClr w14:val="tx1"/>
            </w14:solidFill>
          </w14:textFill>
        </w:rPr>
        <w:t>通过综合分析影响绩效目标实现、实施效果的内外因素，评价绩效目标实现程度。通过对</w:t>
      </w:r>
      <w:r>
        <w:rPr>
          <w:rFonts w:hint="default" w:ascii="Times New Roman" w:hAnsi="Times New Roman" w:eastAsia="仿宋_GB2312" w:cs="Times New Roman"/>
          <w:color w:val="000000" w:themeColor="text1"/>
          <w:sz w:val="32"/>
          <w:szCs w:val="32"/>
          <w14:textFill>
            <w14:solidFill>
              <w14:schemeClr w14:val="tx1"/>
            </w14:solidFill>
          </w14:textFill>
        </w:rPr>
        <w:t>项目</w:t>
      </w:r>
      <w:r>
        <w:rPr>
          <w:rFonts w:hint="default" w:ascii="Times New Roman" w:hAnsi="Times New Roman" w:eastAsia="仿宋_GB2312" w:cs="Times New Roman"/>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cs="Times New Roman"/>
        </w:rPr>
      </w:pPr>
      <w:r>
        <w:rPr>
          <w:rFonts w:hint="default" w:ascii="Times New Roman" w:hAnsi="Times New Roman" w:cs="Times New Roman"/>
          <w:lang w:eastAsia="zh-CN"/>
        </w:rPr>
        <w:t>　　</w:t>
      </w:r>
      <w:r>
        <w:rPr>
          <w:rFonts w:hint="default" w:ascii="Times New Roman" w:hAnsi="Times New Roman" w:cs="Times New Roman"/>
          <w:sz w:val="32"/>
          <w:szCs w:val="32"/>
        </w:rPr>
        <w:t>4</w:t>
      </w:r>
      <w:r>
        <w:rPr>
          <w:rFonts w:hint="default" w:ascii="Times New Roman" w:hAnsi="Times New Roman" w:cs="Times New Roman"/>
          <w:sz w:val="32"/>
          <w:szCs w:val="32"/>
          <w:lang w:val="en-US" w:eastAsia="zh-CN"/>
        </w:rPr>
        <w:t>.</w:t>
      </w:r>
      <w:r>
        <w:rPr>
          <w:rFonts w:hint="default" w:ascii="Times New Roman" w:hAnsi="Times New Roman" w:cs="Times New Roman"/>
          <w:sz w:val="32"/>
          <w:szCs w:val="32"/>
        </w:rPr>
        <w:t>评价标准</w:t>
      </w:r>
    </w:p>
    <w:p>
      <w:pPr>
        <w:pageBreakBefore w:val="0"/>
        <w:kinsoku/>
        <w:wordWrap/>
        <w:overflowPunct/>
        <w:topLinePunct w:val="0"/>
        <w:autoSpaceDE/>
        <w:autoSpaceDN/>
        <w:bidi w:val="0"/>
        <w:adjustRightInd/>
        <w:snapToGrid/>
        <w:spacing w:line="560" w:lineRule="exact"/>
        <w:ind w:firstLine="640"/>
        <w:textAlignment w:val="auto"/>
        <w:rPr>
          <w:rFonts w:hint="default" w:ascii="Times New Roman" w:hAnsi="Times New Roman" w:cs="Times New Roman"/>
          <w:bCs/>
          <w:color w:val="000000" w:themeColor="text1"/>
          <w:sz w:val="32"/>
          <w:szCs w:val="32"/>
          <w14:textFill>
            <w14:solidFill>
              <w14:schemeClr w14:val="tx1"/>
            </w14:solidFill>
          </w14:textFill>
        </w:rPr>
      </w:pPr>
      <w:r>
        <w:rPr>
          <w:rFonts w:hint="default" w:ascii="Times New Roman" w:hAnsi="Times New Roman" w:cs="Times New Roman"/>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绩效评价标准通常包括计划标准、行业标准、历史标准等，用于对绩效指标完成情况进行比较、分析、评价。本次评价主要采用了计划标准</w:t>
      </w:r>
      <w:r>
        <w:rPr>
          <w:rFonts w:hint="default" w:ascii="Times New Roman" w:hAnsi="Times New Roman" w:cs="Times New Roman"/>
          <w:bCs/>
          <w:color w:val="000000" w:themeColor="text1"/>
          <w:sz w:val="32"/>
          <w:szCs w:val="32"/>
          <w:lang w:eastAsia="zh-CN"/>
          <w14:textFill>
            <w14:solidFill>
              <w14:schemeClr w14:val="tx1"/>
            </w14:solidFill>
          </w14:textFill>
        </w:rPr>
        <w:t>和行业标准</w:t>
      </w:r>
      <w:r>
        <w:rPr>
          <w:rFonts w:hint="default" w:ascii="Times New Roman" w:hAnsi="Times New Roman" w:cs="Times New Roman"/>
          <w:bCs/>
          <w:color w:val="000000" w:themeColor="text1"/>
          <w:sz w:val="32"/>
          <w:szCs w:val="32"/>
          <w14:textFill>
            <w14:solidFill>
              <w14:schemeClr w14:val="tx1"/>
            </w14:solidFill>
          </w14:textFill>
        </w:rPr>
        <w:t>。</w:t>
      </w:r>
    </w:p>
    <w:p>
      <w:pPr>
        <w:pageBreakBefore w:val="0"/>
        <w:kinsoku/>
        <w:wordWrap/>
        <w:overflowPunct/>
        <w:topLinePunct w:val="0"/>
        <w:autoSpaceDE/>
        <w:autoSpaceDN/>
        <w:bidi w:val="0"/>
        <w:adjustRightInd/>
        <w:snapToGrid/>
        <w:spacing w:line="560" w:lineRule="exact"/>
        <w:ind w:firstLine="640"/>
        <w:textAlignment w:val="auto"/>
        <w:rPr>
          <w:rFonts w:hint="default" w:ascii="Times New Roman" w:hAnsi="Times New Roman" w:cs="Times New Roman"/>
          <w:bCs/>
          <w:color w:val="000000" w:themeColor="text1"/>
          <w:sz w:val="32"/>
          <w:szCs w:val="32"/>
          <w14:textFill>
            <w14:solidFill>
              <w14:schemeClr w14:val="tx1"/>
            </w14:solidFill>
          </w14:textFill>
        </w:rPr>
      </w:pPr>
      <w:r>
        <w:rPr>
          <w:rFonts w:hint="default" w:ascii="Times New Roman" w:hAnsi="Times New Roman" w:cs="Times New Roman"/>
          <w:bCs/>
          <w:color w:val="000000" w:themeColor="text1"/>
          <w:sz w:val="32"/>
          <w:szCs w:val="32"/>
          <w14:textFill>
            <w14:solidFill>
              <w14:schemeClr w14:val="tx1"/>
            </w14:solidFill>
          </w14:textFill>
        </w:rPr>
        <w:t>（一）计划标准。指以预先制定的目标、计划、预算、定额等作为评价标准。</w:t>
      </w:r>
    </w:p>
    <w:p>
      <w:pPr>
        <w:pageBreakBefore w:val="0"/>
        <w:kinsoku/>
        <w:wordWrap/>
        <w:overflowPunct/>
        <w:topLinePunct w:val="0"/>
        <w:autoSpaceDE/>
        <w:autoSpaceDN/>
        <w:bidi w:val="0"/>
        <w:adjustRightInd/>
        <w:snapToGrid/>
        <w:spacing w:line="560" w:lineRule="exact"/>
        <w:ind w:firstLine="640"/>
        <w:textAlignment w:val="auto"/>
        <w:rPr>
          <w:rFonts w:hint="default" w:ascii="Times New Roman" w:hAnsi="Times New Roman" w:cs="Times New Roman"/>
          <w:bCs/>
          <w:color w:val="000000" w:themeColor="text1"/>
          <w:sz w:val="32"/>
          <w:szCs w:val="32"/>
          <w14:textFill>
            <w14:solidFill>
              <w14:schemeClr w14:val="tx1"/>
            </w14:solidFill>
          </w14:textFill>
        </w:rPr>
      </w:pPr>
      <w:r>
        <w:rPr>
          <w:rFonts w:hint="default" w:ascii="Times New Roman" w:hAnsi="Times New Roman" w:cs="Times New Roman"/>
          <w:bCs/>
          <w:color w:val="000000" w:themeColor="text1"/>
          <w:sz w:val="32"/>
          <w:szCs w:val="32"/>
          <w14:textFill>
            <w14:solidFill>
              <w14:schemeClr w14:val="tx1"/>
            </w14:solidFill>
          </w14:textFill>
        </w:rPr>
        <w:t>（二）行业标准。指参照国家公布的行业指标数据制定的评价标准。</w:t>
      </w:r>
    </w:p>
    <w:p>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kern w:val="2"/>
          <w:sz w:val="32"/>
          <w:szCs w:val="32"/>
          <w:lang w:val="en-US" w:eastAsia="zh-CN" w:bidi="ar-SA"/>
        </w:rPr>
      </w:pPr>
      <w:bookmarkStart w:id="6" w:name="_Toc68703833"/>
      <w:r>
        <w:rPr>
          <w:rFonts w:hint="default" w:ascii="Times New Roman" w:hAnsi="Times New Roman" w:eastAsia="楷体_GB2312" w:cs="Times New Roman"/>
          <w:b/>
          <w:bCs/>
          <w:kern w:val="2"/>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cs="Times New Roman"/>
          <w:sz w:val="32"/>
          <w:szCs w:val="32"/>
        </w:rPr>
      </w:pPr>
      <w:r>
        <w:rPr>
          <w:rFonts w:hint="default" w:ascii="Times New Roman" w:hAnsi="Times New Roman" w:cs="Times New Roman"/>
          <w:sz w:val="32"/>
          <w:szCs w:val="32"/>
        </w:rPr>
        <w:t>1</w:t>
      </w:r>
      <w:r>
        <w:rPr>
          <w:rFonts w:hint="default" w:ascii="Times New Roman" w:hAnsi="Times New Roman" w:cs="Times New Roman"/>
          <w:sz w:val="32"/>
          <w:szCs w:val="32"/>
          <w:lang w:val="en-US" w:eastAsia="zh-CN"/>
        </w:rPr>
        <w:t>.</w:t>
      </w:r>
      <w:r>
        <w:rPr>
          <w:rFonts w:hint="default" w:ascii="Times New Roman" w:hAnsi="Times New Roman" w:cs="Times New Roman"/>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cs="Times New Roman"/>
          <w:sz w:val="32"/>
          <w:szCs w:val="32"/>
        </w:rPr>
      </w:pPr>
      <w:r>
        <w:rPr>
          <w:rFonts w:hint="default" w:ascii="Times New Roman" w:hAnsi="Times New Roman" w:cs="Times New Roman"/>
          <w:sz w:val="32"/>
          <w:szCs w:val="32"/>
        </w:rPr>
        <w:t>2</w:t>
      </w:r>
      <w:r>
        <w:rPr>
          <w:rFonts w:hint="default" w:ascii="Times New Roman" w:hAnsi="Times New Roman" w:cs="Times New Roman"/>
          <w:sz w:val="32"/>
          <w:szCs w:val="32"/>
          <w:lang w:val="en-US" w:eastAsia="zh-CN"/>
        </w:rPr>
        <w:t>.</w:t>
      </w:r>
      <w:r>
        <w:rPr>
          <w:rFonts w:hint="default" w:ascii="Times New Roman" w:hAnsi="Times New Roman" w:cs="Times New Roman"/>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cs="Times New Roman"/>
          <w:sz w:val="32"/>
          <w:szCs w:val="32"/>
        </w:rPr>
      </w:pPr>
      <w:r>
        <w:rPr>
          <w:rFonts w:hint="default" w:ascii="Times New Roman" w:hAnsi="Times New Roman" w:cs="Times New Roman"/>
          <w:sz w:val="32"/>
          <w:szCs w:val="32"/>
        </w:rPr>
        <w:t>3</w:t>
      </w:r>
      <w:r>
        <w:rPr>
          <w:rFonts w:hint="default" w:ascii="Times New Roman" w:hAnsi="Times New Roman" w:cs="Times New Roman"/>
          <w:sz w:val="32"/>
          <w:szCs w:val="32"/>
          <w:lang w:val="en-US" w:eastAsia="zh-CN"/>
        </w:rPr>
        <w:t>.</w:t>
      </w:r>
      <w:r>
        <w:rPr>
          <w:rFonts w:hint="default" w:ascii="Times New Roman" w:hAnsi="Times New Roman" w:cs="Times New Roman"/>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cs="Times New Roman"/>
          <w:sz w:val="32"/>
          <w:szCs w:val="32"/>
        </w:rPr>
      </w:pPr>
      <w:bookmarkStart w:id="7" w:name="_Toc68703834"/>
      <w:r>
        <w:rPr>
          <w:rFonts w:hint="default" w:ascii="Times New Roman" w:hAnsi="Times New Roman" w:eastAsia="仿宋_GB2312" w:cs="Times New Roman"/>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pageBreakBefore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bCs/>
          <w:sz w:val="32"/>
          <w:szCs w:val="32"/>
          <w:lang w:val="en-US" w:eastAsia="zh-CN"/>
        </w:rPr>
      </w:pPr>
      <w:r>
        <w:rPr>
          <w:rFonts w:hint="default" w:ascii="Times New Roman" w:hAnsi="Times New Roman" w:eastAsia="黑体" w:cs="Times New Roman"/>
          <w:bCs/>
          <w:sz w:val="32"/>
          <w:szCs w:val="32"/>
          <w:lang w:val="en-US" w:eastAsia="zh-CN"/>
        </w:rPr>
        <w:t>三、综合评价情况及评价结论</w:t>
      </w:r>
      <w:bookmarkEnd w:id="7"/>
      <w:r>
        <w:rPr>
          <w:rFonts w:hint="default" w:ascii="Times New Roman" w:hAnsi="Times New Roman" w:eastAsia="黑体" w:cs="Times New Roman"/>
          <w:sz w:val="32"/>
          <w:szCs w:val="32"/>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kern w:val="2"/>
          <w:sz w:val="32"/>
          <w:szCs w:val="32"/>
          <w:lang w:val="en-US" w:eastAsia="zh-CN" w:bidi="ar-SA"/>
        </w:rPr>
      </w:pPr>
      <w:bookmarkStart w:id="8" w:name="_Toc68703835"/>
      <w:r>
        <w:rPr>
          <w:rFonts w:hint="default" w:ascii="Times New Roman" w:hAnsi="Times New Roman" w:eastAsia="楷体_GB2312" w:cs="Times New Roman"/>
          <w:b/>
          <w:bCs/>
          <w:kern w:val="2"/>
          <w:sz w:val="32"/>
          <w:szCs w:val="32"/>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FF0000"/>
          <w:sz w:val="32"/>
          <w:szCs w:val="32"/>
        </w:rPr>
      </w:pPr>
      <w:r>
        <w:rPr>
          <w:rFonts w:hint="default"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4"/>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kern w:val="2"/>
          <w:sz w:val="32"/>
          <w:szCs w:val="32"/>
          <w:lang w:val="en-US" w:eastAsia="zh-CN" w:bidi="ar-SA"/>
        </w:rPr>
      </w:pPr>
      <w:bookmarkStart w:id="9" w:name="_Toc68703836"/>
      <w:r>
        <w:rPr>
          <w:rFonts w:hint="default" w:ascii="Times New Roman" w:hAnsi="Times New Roman" w:eastAsia="楷体_GB2312" w:cs="Times New Roman"/>
          <w:b/>
          <w:bCs/>
          <w:kern w:val="2"/>
          <w:sz w:val="32"/>
          <w:szCs w:val="32"/>
          <w:lang w:val="en-US" w:eastAsia="zh-CN" w:bidi="ar-SA"/>
        </w:rPr>
        <w:t>（二）评价结论</w:t>
      </w:r>
      <w:bookmarkEnd w:id="9"/>
    </w:p>
    <w:p>
      <w:pPr>
        <w:pStyle w:val="2"/>
        <w:keepNext w:val="0"/>
        <w:keepLines w:val="0"/>
        <w:pageBreakBefore w:val="0"/>
        <w:widowControl/>
        <w:kinsoku/>
        <w:wordWrap/>
        <w:overflowPunct/>
        <w:topLinePunct w:val="0"/>
        <w:autoSpaceDE/>
        <w:autoSpaceDN/>
        <w:bidi w:val="0"/>
        <w:adjustRightInd/>
        <w:snapToGrid/>
        <w:spacing w:line="560" w:lineRule="exact"/>
        <w:jc w:val="both"/>
        <w:textAlignment w:val="auto"/>
        <w:rPr>
          <w:rFonts w:hint="default" w:ascii="Times New Roman" w:hAnsi="Times New Roman" w:cs="Times New Roman"/>
        </w:rPr>
      </w:pPr>
      <w:r>
        <w:rPr>
          <w:rFonts w:hint="default" w:ascii="Times New Roman" w:hAnsi="Times New Roman" w:eastAsia="仿宋_GB2312" w:cs="Times New Roman"/>
          <w:b w:val="0"/>
          <w:bCs w:val="0"/>
          <w:lang w:eastAsia="zh-CN"/>
        </w:rPr>
        <w:t>　　</w:t>
      </w:r>
      <w:r>
        <w:rPr>
          <w:rFonts w:hint="default" w:ascii="Times New Roman" w:hAnsi="Times New Roman" w:eastAsia="仿宋_GB2312" w:cs="Times New Roman"/>
          <w:b w:val="0"/>
          <w:bCs w:val="0"/>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default"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 xml:space="preserve">分，属于“优”。其中，项目决策类指标权重为20分，得分为 </w:t>
      </w:r>
      <w:r>
        <w:rPr>
          <w:rFonts w:hint="default" w:ascii="Times New Roman" w:hAnsi="Times New Roman" w:eastAsia="仿宋_GB2312" w:cs="Times New Roman"/>
          <w:b w:val="0"/>
          <w:bCs w:val="0"/>
          <w:lang w:val="en-US" w:eastAsia="zh-CN"/>
        </w:rPr>
        <w:t>20</w:t>
      </w:r>
      <w:r>
        <w:rPr>
          <w:rFonts w:hint="default" w:ascii="Times New Roman" w:hAnsi="Times New Roman" w:eastAsia="仿宋_GB2312" w:cs="Times New Roman"/>
          <w:b w:val="0"/>
          <w:bCs w:val="0"/>
        </w:rPr>
        <w:t>分，得分率为</w:t>
      </w:r>
      <w:r>
        <w:rPr>
          <w:rFonts w:hint="default"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%。项目过程类指标权重为20分，得分为</w:t>
      </w:r>
      <w:r>
        <w:rPr>
          <w:rFonts w:hint="default" w:ascii="Times New Roman" w:hAnsi="Times New Roman" w:eastAsia="仿宋_GB2312" w:cs="Times New Roman"/>
          <w:b w:val="0"/>
          <w:bCs w:val="0"/>
          <w:lang w:val="en-US" w:eastAsia="zh-CN"/>
        </w:rPr>
        <w:t>20</w:t>
      </w:r>
      <w:r>
        <w:rPr>
          <w:rFonts w:hint="default" w:ascii="Times New Roman" w:hAnsi="Times New Roman" w:eastAsia="仿宋_GB2312" w:cs="Times New Roman"/>
          <w:b w:val="0"/>
          <w:bCs w:val="0"/>
        </w:rPr>
        <w:t xml:space="preserve">分，得分率为 </w:t>
      </w:r>
      <w:r>
        <w:rPr>
          <w:rFonts w:hint="default"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%。项目产出类指标权重为40分，得分为</w:t>
      </w:r>
      <w:r>
        <w:rPr>
          <w:rFonts w:hint="default" w:ascii="Times New Roman" w:hAnsi="Times New Roman" w:eastAsia="仿宋_GB2312" w:cs="Times New Roman"/>
          <w:b w:val="0"/>
          <w:bCs w:val="0"/>
          <w:lang w:val="en-US" w:eastAsia="zh-CN"/>
        </w:rPr>
        <w:t>40</w:t>
      </w:r>
      <w:r>
        <w:rPr>
          <w:rFonts w:hint="default" w:ascii="Times New Roman" w:hAnsi="Times New Roman" w:eastAsia="仿宋_GB2312" w:cs="Times New Roman"/>
          <w:b w:val="0"/>
          <w:bCs w:val="0"/>
        </w:rPr>
        <w:t xml:space="preserve">分，得分率为 </w:t>
      </w:r>
      <w:r>
        <w:rPr>
          <w:rFonts w:hint="default"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%。项目效益类指标权重为20分，得分为</w:t>
      </w:r>
      <w:r>
        <w:rPr>
          <w:rFonts w:hint="default" w:ascii="Times New Roman" w:hAnsi="Times New Roman" w:eastAsia="仿宋_GB2312" w:cs="Times New Roman"/>
          <w:b w:val="0"/>
          <w:bCs w:val="0"/>
          <w:lang w:val="en-US" w:eastAsia="zh-CN"/>
        </w:rPr>
        <w:t>20</w:t>
      </w:r>
      <w:r>
        <w:rPr>
          <w:rFonts w:hint="default" w:ascii="Times New Roman" w:hAnsi="Times New Roman" w:eastAsia="仿宋_GB2312" w:cs="Times New Roman"/>
          <w:b w:val="0"/>
          <w:bCs w:val="0"/>
        </w:rPr>
        <w:t>分，得分率为</w:t>
      </w:r>
      <w:r>
        <w:rPr>
          <w:rFonts w:hint="default"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cs="Times New Roman"/>
          <w:sz w:val="30"/>
          <w:szCs w:val="30"/>
          <w:lang w:eastAsia="zh-CN"/>
        </w:rPr>
        <w:t>　　　　　　　　</w:t>
      </w:r>
      <w:r>
        <w:rPr>
          <w:rFonts w:hint="default" w:ascii="Times New Roman" w:hAnsi="Times New Roman" w:eastAsia="仿宋_GB2312" w:cs="Times New Roman"/>
          <w:b w:val="0"/>
          <w:bCs w:val="0"/>
          <w:kern w:val="28"/>
          <w:sz w:val="32"/>
          <w:szCs w:val="32"/>
          <w:lang w:val="en-US" w:eastAsia="zh-CN" w:bidi="ar-SA"/>
        </w:rPr>
        <w:t>表1综合评分表</w:t>
      </w:r>
    </w:p>
    <w:tbl>
      <w:tblPr>
        <w:tblStyle w:val="12"/>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b/>
                <w:bCs/>
                <w:color w:val="000000"/>
                <w:sz w:val="22"/>
              </w:rPr>
            </w:pPr>
            <w:r>
              <w:rPr>
                <w:rFonts w:hint="default" w:ascii="Times New Roman" w:hAnsi="Times New Roman" w:cs="Times New Roman"/>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b/>
                <w:bCs/>
                <w:color w:val="000000"/>
                <w:sz w:val="22"/>
              </w:rPr>
            </w:pPr>
            <w:r>
              <w:rPr>
                <w:rFonts w:hint="default" w:ascii="Times New Roman" w:hAnsi="Times New Roman" w:cs="Times New Roman"/>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b/>
                <w:bCs/>
                <w:color w:val="000000"/>
                <w:sz w:val="22"/>
              </w:rPr>
            </w:pPr>
            <w:r>
              <w:rPr>
                <w:rFonts w:hint="default" w:ascii="Times New Roman" w:hAnsi="Times New Roman" w:cs="Times New Roman"/>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000000"/>
                <w:sz w:val="22"/>
              </w:rPr>
            </w:pPr>
            <w:r>
              <w:rPr>
                <w:rFonts w:hint="default" w:ascii="Times New Roman" w:hAnsi="Times New Roman" w:eastAsia="宋体" w:cs="Times New Roman"/>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2"/>
                <w:lang w:val="en-US" w:eastAsia="zh-CN"/>
              </w:rPr>
            </w:pPr>
            <w:r>
              <w:rPr>
                <w:rFonts w:hint="default" w:ascii="Times New Roman" w:hAnsi="Times New Roman" w:cs="Times New Roman"/>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2"/>
                <w:lang w:val="en-US" w:eastAsia="zh-CN"/>
              </w:rPr>
            </w:pPr>
            <w:r>
              <w:rPr>
                <w:rFonts w:hint="default" w:ascii="Times New Roman" w:hAnsi="Times New Roman" w:cs="Times New Roman"/>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000000"/>
                <w:sz w:val="22"/>
              </w:rPr>
            </w:pPr>
            <w:r>
              <w:rPr>
                <w:rFonts w:hint="default" w:ascii="Times New Roman" w:hAnsi="Times New Roman" w:eastAsia="宋体" w:cs="Times New Roman"/>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2"/>
                <w:lang w:val="en-US" w:eastAsia="zh-CN"/>
              </w:rPr>
            </w:pPr>
            <w:r>
              <w:rPr>
                <w:rFonts w:hint="default" w:ascii="Times New Roman" w:hAnsi="Times New Roman" w:cs="Times New Roman"/>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2"/>
                <w:lang w:val="en-US" w:eastAsia="zh-CN"/>
              </w:rPr>
            </w:pPr>
            <w:r>
              <w:rPr>
                <w:rFonts w:hint="default" w:ascii="Times New Roman" w:hAnsi="Times New Roman" w:cs="Times New Roman"/>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000000"/>
                <w:sz w:val="22"/>
              </w:rPr>
            </w:pPr>
            <w:r>
              <w:rPr>
                <w:rFonts w:hint="default" w:ascii="Times New Roman" w:hAnsi="Times New Roman" w:eastAsia="宋体" w:cs="Times New Roman"/>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2"/>
                <w:lang w:val="en-US" w:eastAsia="zh-CN"/>
              </w:rPr>
            </w:pPr>
            <w:r>
              <w:rPr>
                <w:rFonts w:hint="default" w:ascii="Times New Roman" w:hAnsi="Times New Roman" w:cs="Times New Roman"/>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2"/>
                <w:lang w:val="en-US" w:eastAsia="zh-CN"/>
              </w:rPr>
            </w:pPr>
            <w:r>
              <w:rPr>
                <w:rFonts w:hint="default" w:ascii="Times New Roman" w:hAnsi="Times New Roman" w:cs="Times New Roman"/>
                <w:color w:val="000000"/>
                <w:sz w:val="22"/>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000000"/>
                <w:sz w:val="22"/>
              </w:rPr>
            </w:pPr>
            <w:r>
              <w:rPr>
                <w:rFonts w:hint="default" w:ascii="Times New Roman" w:hAnsi="Times New Roman" w:eastAsia="宋体" w:cs="Times New Roman"/>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2"/>
                <w:lang w:val="en-US" w:eastAsia="zh-CN"/>
              </w:rPr>
            </w:pPr>
            <w:r>
              <w:rPr>
                <w:rFonts w:hint="default" w:ascii="Times New Roman" w:hAnsi="Times New Roman" w:cs="Times New Roman"/>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2"/>
                <w:lang w:val="en-US" w:eastAsia="zh-CN"/>
              </w:rPr>
            </w:pPr>
            <w:r>
              <w:rPr>
                <w:rFonts w:hint="default" w:ascii="Times New Roman" w:hAnsi="Times New Roman" w:cs="Times New Roman"/>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b/>
                <w:bCs/>
                <w:color w:val="000000"/>
                <w:sz w:val="22"/>
              </w:rPr>
            </w:pPr>
            <w:r>
              <w:rPr>
                <w:rFonts w:hint="default" w:ascii="Times New Roman" w:hAnsi="Times New Roman" w:cs="Times New Roman"/>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sz w:val="22"/>
                <w:lang w:val="en-US" w:eastAsia="zh-CN"/>
              </w:rPr>
            </w:pPr>
            <w:r>
              <w:rPr>
                <w:rFonts w:hint="default" w:ascii="Times New Roman" w:hAnsi="Times New Roman" w:cs="Times New Roman"/>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sz w:val="22"/>
                <w:lang w:val="en-US" w:eastAsia="zh-CN"/>
              </w:rPr>
            </w:pPr>
            <w:r>
              <w:rPr>
                <w:rFonts w:hint="default" w:ascii="Times New Roman" w:hAnsi="Times New Roman" w:cs="Times New Roman"/>
                <w:b/>
                <w:bCs/>
                <w:color w:val="000000"/>
                <w:sz w:val="22"/>
                <w:lang w:val="en-US" w:eastAsia="zh-CN"/>
              </w:rPr>
              <w:t>100</w:t>
            </w:r>
          </w:p>
        </w:tc>
      </w:tr>
    </w:tbl>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bCs/>
          <w:sz w:val="32"/>
          <w:szCs w:val="32"/>
          <w:lang w:val="en-US" w:eastAsia="zh-CN"/>
        </w:rPr>
      </w:pPr>
      <w:bookmarkStart w:id="10" w:name="_Toc68703837"/>
      <w:r>
        <w:rPr>
          <w:rFonts w:hint="default" w:ascii="Times New Roman" w:hAnsi="Times New Roman" w:eastAsia="黑体" w:cs="Times New Roman"/>
          <w:bCs/>
          <w:sz w:val="32"/>
          <w:szCs w:val="32"/>
          <w:lang w:val="en-US" w:eastAsia="zh-CN"/>
        </w:rPr>
        <w:t>四、绩效评价指标分析</w:t>
      </w:r>
      <w:bookmarkEnd w:id="10"/>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kern w:val="2"/>
          <w:sz w:val="32"/>
          <w:szCs w:val="32"/>
          <w:lang w:val="en-US" w:eastAsia="zh-CN" w:bidi="ar-SA"/>
        </w:rPr>
      </w:pPr>
      <w:bookmarkStart w:id="11" w:name="_Toc68703838"/>
      <w:r>
        <w:rPr>
          <w:rFonts w:hint="default" w:ascii="Times New Roman" w:hAnsi="Times New Roman" w:eastAsia="楷体_GB2312" w:cs="Times New Roman"/>
          <w:b/>
          <w:bCs/>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cs="Times New Roman"/>
          <w:b w:val="0"/>
          <w:bCs w:val="0"/>
          <w:sz w:val="32"/>
          <w:szCs w:val="32"/>
          <w:lang w:val="en-US" w:eastAsia="zh-CN"/>
        </w:rPr>
      </w:pPr>
      <w:r>
        <w:rPr>
          <w:rFonts w:hint="default" w:ascii="Times New Roman" w:hAnsi="Times New Roman" w:cs="Times New Roman"/>
          <w:b w:val="0"/>
          <w:bCs w:val="0"/>
          <w:sz w:val="32"/>
          <w:szCs w:val="32"/>
          <w:lang w:val="en-US" w:eastAsia="zh-CN"/>
        </w:rPr>
        <w:t>　　项目决策类指标包括项目立项、绩效目标和资金投入三方面的内容，由6个三级指标构成，权重分值为20分，实际得分20分，得分率为100%。</w:t>
      </w:r>
    </w:p>
    <w:p>
      <w:pPr>
        <w:pStyle w:val="21"/>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cs="Times New Roman"/>
          <w:b/>
          <w:bCs/>
          <w:sz w:val="32"/>
          <w:szCs w:val="32"/>
          <w:lang w:val="en-US" w:eastAsia="zh-CN"/>
        </w:rPr>
        <w:t>1.</w:t>
      </w:r>
      <w:r>
        <w:rPr>
          <w:rFonts w:hint="default" w:ascii="Times New Roman" w:hAnsi="Times New Roman" w:eastAsia="仿宋_GB2312" w:cs="Times New Roman"/>
          <w:b/>
          <w:bCs/>
          <w:sz w:val="32"/>
          <w:szCs w:val="32"/>
          <w:lang w:val="en-US" w:eastAsia="zh-CN"/>
        </w:rPr>
        <w:t>项目立项</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cs="Times New Roman"/>
          <w:color w:val="FF0000"/>
          <w:sz w:val="32"/>
          <w:szCs w:val="32"/>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cs="Times New Roman"/>
          <w:b w:val="0"/>
          <w:bCs w:val="0"/>
          <w:sz w:val="32"/>
          <w:szCs w:val="32"/>
        </w:rPr>
      </w:pPr>
      <w:r>
        <w:rPr>
          <w:rFonts w:hint="default" w:ascii="Times New Roman" w:hAnsi="Times New Roman" w:cs="Times New Roman"/>
          <w:b w:val="0"/>
          <w:bCs w:val="0"/>
          <w:sz w:val="32"/>
          <w:szCs w:val="32"/>
        </w:rPr>
        <w:t>2</w:t>
      </w:r>
      <w:r>
        <w:rPr>
          <w:rFonts w:hint="default" w:ascii="Times New Roman" w:hAnsi="Times New Roman" w:cs="Times New Roman"/>
          <w:b w:val="0"/>
          <w:bCs w:val="0"/>
          <w:sz w:val="32"/>
          <w:szCs w:val="32"/>
          <w:lang w:val="en-US" w:eastAsia="zh-CN"/>
        </w:rPr>
        <w:t>.</w:t>
      </w:r>
      <w:r>
        <w:rPr>
          <w:rFonts w:hint="default" w:ascii="Times New Roman" w:hAnsi="Times New Roman" w:cs="Times New Roman"/>
          <w:b w:val="0"/>
          <w:bCs w:val="0"/>
          <w:sz w:val="32"/>
          <w:szCs w:val="32"/>
        </w:rPr>
        <w:t>立项程序规范性</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cs="Times New Roman"/>
          <w:b w:val="0"/>
          <w:bCs w:val="0"/>
          <w:sz w:val="32"/>
          <w:szCs w:val="32"/>
        </w:rPr>
      </w:pPr>
      <w:r>
        <w:rPr>
          <w:rFonts w:hint="default" w:ascii="Times New Roman" w:hAnsi="Times New Roman" w:eastAsia="仿宋_GB2312" w:cs="Times New Roman"/>
          <w:b/>
          <w:bCs/>
          <w:sz w:val="32"/>
          <w:szCs w:val="32"/>
          <w:lang w:val="en-US" w:eastAsia="zh-CN"/>
        </w:rPr>
        <w:t>2.绩效目标</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bookmarkStart w:id="12" w:name="_Hlk68699917"/>
      <w:r>
        <w:rPr>
          <w:rFonts w:hint="default" w:ascii="Times New Roman" w:hAnsi="Times New Roman" w:eastAsia="仿宋_GB2312" w:cs="Times New Roman"/>
          <w:sz w:val="32"/>
          <w:szCs w:val="32"/>
          <w:lang w:val="en-US" w:eastAsia="zh-CN"/>
        </w:rPr>
        <w:t>（2）绩效指标明确性</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1"/>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cs="Times New Roman"/>
          <w:b/>
          <w:bCs/>
          <w:sz w:val="32"/>
          <w:szCs w:val="32"/>
          <w:lang w:val="en-US" w:eastAsia="zh-CN"/>
        </w:rPr>
        <w:t>3.</w:t>
      </w:r>
      <w:r>
        <w:rPr>
          <w:rFonts w:hint="default" w:ascii="Times New Roman" w:hAnsi="Times New Roman" w:eastAsia="仿宋_GB2312" w:cs="Times New Roman"/>
          <w:b/>
          <w:bCs/>
          <w:sz w:val="32"/>
          <w:szCs w:val="32"/>
          <w:lang w:val="en-US" w:eastAsia="zh-CN"/>
        </w:rPr>
        <w:t>资金投入</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预算编制经过科学论证，提供充分的测算依据佐证资料，预算内容与项目内容相匹配。项目投资额与工作任务相匹配。</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（2）资金分配合理性</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资金分配额度与项目单位实际工作内容相适应，资金分配额度合理，资金分配依据充分。</w:t>
      </w:r>
    </w:p>
    <w:p>
      <w:pPr>
        <w:pStyle w:val="2"/>
        <w:pageBreakBefore w:val="0"/>
        <w:numPr>
          <w:ilvl w:val="0"/>
          <w:numId w:val="0"/>
        </w:numPr>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 w:cs="Times New Roman"/>
        </w:rPr>
      </w:pPr>
      <w:r>
        <w:rPr>
          <w:rFonts w:hint="default" w:ascii="Times New Roman" w:hAnsi="Times New Roman" w:eastAsia="楷体" w:cs="Times New Roman"/>
          <w:lang w:eastAsia="zh-CN"/>
        </w:rPr>
        <w:t>（二）</w:t>
      </w:r>
      <w:r>
        <w:rPr>
          <w:rFonts w:hint="default" w:ascii="Times New Roman" w:hAnsi="Times New Roman" w:eastAsia="楷体" w:cs="Times New Roman"/>
        </w:rPr>
        <w:t>项目过程情况</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项目过程类指标包括资金管理和组织实施两方面的内容，由5个三级指标构成，权重分值为20分，实际得分20分，得分率为100%。</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本项目总投资600万元，财政资金及时足额到位，到位率100%，预算资金按计划进度执行。</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预算编制较为详细，项目资金支出总体能够按照预算执行，预算资金支出600万元，预算执行率为</w:t>
      </w:r>
      <w:r>
        <w:rPr>
          <w:rFonts w:hint="default" w:ascii="Times New Roman" w:hAnsi="Times New Roman" w:cs="Times New Roman"/>
          <w:sz w:val="32"/>
          <w:szCs w:val="32"/>
          <w:lang w:val="en-US" w:eastAsia="zh-CN"/>
        </w:rPr>
        <w:t>100</w:t>
      </w:r>
      <w:r>
        <w:rPr>
          <w:rFonts w:hint="default" w:ascii="Times New Roman" w:hAnsi="Times New Roman" w:eastAsia="仿宋_GB2312" w:cs="Times New Roman"/>
          <w:sz w:val="32"/>
          <w:szCs w:val="32"/>
          <w:lang w:val="en-US" w:eastAsia="zh-CN"/>
        </w:rPr>
        <w:t>%。</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7"/>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楷体_GB2312" w:cs="Times New Roman"/>
          <w:b/>
          <w:bCs/>
          <w:kern w:val="2"/>
          <w:sz w:val="32"/>
          <w:szCs w:val="32"/>
          <w:lang w:val="en-US" w:eastAsia="zh-CN" w:bidi="ar-SA"/>
        </w:rPr>
      </w:pPr>
      <w:bookmarkStart w:id="13" w:name="_Toc68703840"/>
      <w:r>
        <w:rPr>
          <w:rFonts w:hint="default" w:ascii="Times New Roman" w:hAnsi="Times New Roman" w:eastAsia="楷体_GB2312" w:cs="Times New Roman"/>
          <w:b/>
          <w:bCs/>
          <w:kern w:val="2"/>
          <w:sz w:val="32"/>
          <w:szCs w:val="32"/>
          <w:lang w:val="en-US" w:eastAsia="zh-CN" w:bidi="ar-SA"/>
        </w:rPr>
        <w:t>（三）项目产出情况</w:t>
      </w:r>
      <w:bookmarkEnd w:id="13"/>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项目产出类指标包括产出数量、产出质量、产出时效、产出成本四方面的内容，由5个三级指标构成，权重分为40分，实际得分40分，得分率为100%。具体产出指标完成情况如下：</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fldChar w:fldCharType="begin"/>
      </w:r>
      <w:r>
        <w:rPr>
          <w:rFonts w:hint="default" w:ascii="Times New Roman" w:hAnsi="Times New Roman" w:eastAsia="仿宋_GB2312" w:cs="Times New Roman"/>
          <w:sz w:val="32"/>
          <w:szCs w:val="32"/>
          <w:lang w:val="en-US" w:eastAsia="zh-CN"/>
        </w:rPr>
        <w:instrText xml:space="preserve"> = 1 \* GB3 </w:instrText>
      </w:r>
      <w:r>
        <w:rPr>
          <w:rFonts w:hint="default" w:ascii="Times New Roman" w:hAnsi="Times New Roman" w:eastAsia="仿宋_GB2312" w:cs="Times New Roman"/>
          <w:sz w:val="32"/>
          <w:szCs w:val="32"/>
          <w:lang w:val="en-US" w:eastAsia="zh-CN"/>
        </w:rPr>
        <w:fldChar w:fldCharType="separate"/>
      </w:r>
      <w:r>
        <w:rPr>
          <w:rFonts w:hint="default" w:ascii="Times New Roman" w:hAnsi="Times New Roman" w:eastAsia="仿宋_GB2312" w:cs="Times New Roman"/>
          <w:sz w:val="32"/>
          <w:szCs w:val="32"/>
          <w:lang w:val="en-US" w:eastAsia="zh-CN"/>
        </w:rPr>
        <w:t>①</w:t>
      </w:r>
      <w:r>
        <w:rPr>
          <w:rFonts w:hint="default" w:ascii="Times New Roman" w:hAnsi="Times New Roman" w:eastAsia="仿宋_GB2312" w:cs="Times New Roman"/>
          <w:sz w:val="32"/>
          <w:szCs w:val="32"/>
          <w:lang w:val="en-US" w:eastAsia="zh-CN"/>
        </w:rPr>
        <w:fldChar w:fldCharType="end"/>
      </w:r>
      <w:r>
        <w:rPr>
          <w:rFonts w:hint="default" w:ascii="Times New Roman" w:hAnsi="Times New Roman" w:eastAsia="仿宋_GB2312" w:cs="Times New Roman"/>
          <w:sz w:val="32"/>
          <w:szCs w:val="32"/>
          <w:lang w:val="en-US" w:eastAsia="zh-CN"/>
        </w:rPr>
        <w:t>数量指标：</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指标1：改造锅炉数量（台），指标值：=3台，实际完成值：3台，指标完成率100%。</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指标2：改造锅炉总蒸吨数（蒸吨），指标值：=230吨，实际完成值：230吨，指标完成率100%。</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fldChar w:fldCharType="begin"/>
      </w:r>
      <w:r>
        <w:rPr>
          <w:rFonts w:hint="default" w:ascii="Times New Roman" w:hAnsi="Times New Roman" w:eastAsia="仿宋_GB2312" w:cs="Times New Roman"/>
          <w:sz w:val="32"/>
          <w:szCs w:val="32"/>
          <w:lang w:val="en-US" w:eastAsia="zh-CN"/>
        </w:rPr>
        <w:instrText xml:space="preserve"> = 2 \* GB3 </w:instrText>
      </w:r>
      <w:r>
        <w:rPr>
          <w:rFonts w:hint="default" w:ascii="Times New Roman" w:hAnsi="Times New Roman" w:eastAsia="仿宋_GB2312" w:cs="Times New Roman"/>
          <w:sz w:val="32"/>
          <w:szCs w:val="32"/>
          <w:lang w:val="en-US" w:eastAsia="zh-CN"/>
        </w:rPr>
        <w:fldChar w:fldCharType="separate"/>
      </w:r>
      <w:r>
        <w:rPr>
          <w:rFonts w:hint="default" w:ascii="Times New Roman" w:hAnsi="Times New Roman" w:eastAsia="仿宋_GB2312" w:cs="Times New Roman"/>
          <w:sz w:val="32"/>
          <w:szCs w:val="32"/>
          <w:lang w:val="en-US" w:eastAsia="zh-CN"/>
        </w:rPr>
        <w:t>②</w:t>
      </w:r>
      <w:r>
        <w:rPr>
          <w:rFonts w:hint="default" w:ascii="Times New Roman" w:hAnsi="Times New Roman" w:eastAsia="仿宋_GB2312" w:cs="Times New Roman"/>
          <w:sz w:val="32"/>
          <w:szCs w:val="32"/>
          <w:lang w:val="en-US" w:eastAsia="zh-CN"/>
        </w:rPr>
        <w:fldChar w:fldCharType="end"/>
      </w:r>
      <w:r>
        <w:rPr>
          <w:rFonts w:hint="default" w:ascii="Times New Roman" w:hAnsi="Times New Roman" w:eastAsia="仿宋_GB2312" w:cs="Times New Roman"/>
          <w:sz w:val="32"/>
          <w:szCs w:val="32"/>
          <w:lang w:val="en-US" w:eastAsia="zh-CN"/>
        </w:rPr>
        <w:t>质量指标：</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指标1：工程验收合格率，指标值：=100%，实际完成值：100%，指标完成率100%。</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fldChar w:fldCharType="begin"/>
      </w:r>
      <w:r>
        <w:rPr>
          <w:rFonts w:hint="default" w:ascii="Times New Roman" w:hAnsi="Times New Roman" w:eastAsia="仿宋_GB2312" w:cs="Times New Roman"/>
          <w:sz w:val="32"/>
          <w:szCs w:val="32"/>
          <w:lang w:val="en-US" w:eastAsia="zh-CN"/>
        </w:rPr>
        <w:instrText xml:space="preserve"> = 3 \* GB3 </w:instrText>
      </w:r>
      <w:r>
        <w:rPr>
          <w:rFonts w:hint="default" w:ascii="Times New Roman" w:hAnsi="Times New Roman" w:eastAsia="仿宋_GB2312" w:cs="Times New Roman"/>
          <w:sz w:val="32"/>
          <w:szCs w:val="32"/>
          <w:lang w:val="en-US" w:eastAsia="zh-CN"/>
        </w:rPr>
        <w:fldChar w:fldCharType="separate"/>
      </w:r>
      <w:r>
        <w:rPr>
          <w:rFonts w:hint="default" w:ascii="Times New Roman" w:hAnsi="Times New Roman" w:eastAsia="仿宋_GB2312" w:cs="Times New Roman"/>
          <w:sz w:val="32"/>
          <w:szCs w:val="32"/>
          <w:lang w:val="en-US" w:eastAsia="zh-CN"/>
        </w:rPr>
        <w:t>③</w:t>
      </w:r>
      <w:r>
        <w:rPr>
          <w:rFonts w:hint="default" w:ascii="Times New Roman" w:hAnsi="Times New Roman" w:eastAsia="仿宋_GB2312" w:cs="Times New Roman"/>
          <w:sz w:val="32"/>
          <w:szCs w:val="32"/>
          <w:lang w:val="en-US" w:eastAsia="zh-CN"/>
        </w:rPr>
        <w:fldChar w:fldCharType="end"/>
      </w:r>
      <w:r>
        <w:rPr>
          <w:rFonts w:hint="default" w:ascii="Times New Roman" w:hAnsi="Times New Roman" w:eastAsia="仿宋_GB2312" w:cs="Times New Roman"/>
          <w:sz w:val="32"/>
          <w:szCs w:val="32"/>
          <w:lang w:val="en-US" w:eastAsia="zh-CN"/>
        </w:rPr>
        <w:t>时效指标：</w:t>
      </w:r>
    </w:p>
    <w:p>
      <w:pPr>
        <w:keepNext/>
        <w:keepLines/>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bookmarkStart w:id="14" w:name="_Toc68703841"/>
      <w:r>
        <w:rPr>
          <w:rFonts w:hint="default" w:ascii="Times New Roman" w:hAnsi="Times New Roman" w:eastAsia="仿宋_GB2312" w:cs="Times New Roman"/>
          <w:sz w:val="32"/>
          <w:szCs w:val="32"/>
          <w:lang w:val="en-US" w:eastAsia="zh-CN"/>
        </w:rPr>
        <w:t>　指标1：项目开工率，指标值：=100%，实际完成值：100%，指标完成率100%。</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lang w:val="en-US" w:eastAsia="zh-CN"/>
        </w:rPr>
      </w:pPr>
      <w:r>
        <w:rPr>
          <w:rFonts w:hint="default" w:ascii="Times New Roman" w:hAnsi="Times New Roman" w:cs="Times New Roman"/>
          <w:color w:val="auto"/>
          <w:sz w:val="32"/>
          <w:szCs w:val="32"/>
          <w:lang w:val="en-US" w:eastAsia="zh-CN"/>
        </w:rPr>
        <w:t>指标2：项目按期完成率，指标值：=100%，实际完成值：100%，指标完成率100%。</w:t>
      </w:r>
    </w:p>
    <w:p>
      <w:pPr>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楷体_GB2312" w:cs="Times New Roman"/>
          <w:b/>
          <w:bCs/>
          <w:kern w:val="2"/>
          <w:sz w:val="32"/>
          <w:szCs w:val="32"/>
          <w:lang w:val="en-US" w:eastAsia="zh-CN" w:bidi="ar-SA"/>
        </w:rPr>
      </w:pPr>
      <w:r>
        <w:rPr>
          <w:rFonts w:hint="default" w:ascii="Times New Roman" w:hAnsi="Times New Roman" w:eastAsia="楷体_GB2312" w:cs="Times New Roman"/>
          <w:b/>
          <w:bCs/>
          <w:kern w:val="2"/>
          <w:sz w:val="32"/>
          <w:szCs w:val="32"/>
          <w:lang w:val="en-US" w:eastAsia="zh-CN" w:bidi="ar-SA"/>
        </w:rPr>
        <w:t>（四）项目效益情况</w:t>
      </w:r>
      <w:bookmarkEnd w:id="14"/>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lang w:val="en-US" w:eastAsia="zh-CN"/>
        </w:rPr>
      </w:pPr>
      <w:r>
        <w:rPr>
          <w:rFonts w:hint="default" w:ascii="Times New Roman" w:hAnsi="Times New Roman" w:cs="Times New Roman"/>
          <w:color w:val="auto"/>
          <w:sz w:val="32"/>
          <w:szCs w:val="32"/>
          <w:lang w:val="en-US" w:eastAsia="zh-CN"/>
        </w:rPr>
        <w:t>项目效益类指标包括项目实施效益和满意度两方面的内容，由4个三级指标构成，权重分为20分，实际得分20分，得分率为100%。具体效益指标及满意度指标完成情况如下：</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lang w:val="en-US" w:eastAsia="zh-CN"/>
        </w:rPr>
      </w:pPr>
      <w:r>
        <w:rPr>
          <w:rFonts w:hint="default" w:ascii="Times New Roman" w:hAnsi="Times New Roman" w:cs="Times New Roman"/>
          <w:color w:val="auto"/>
          <w:sz w:val="32"/>
          <w:szCs w:val="32"/>
          <w:lang w:val="en-US" w:eastAsia="zh-CN"/>
        </w:rPr>
        <w:t>1.实施效益</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①生态效益指标：</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指标1：二氧化硫排放浓度（mg/Nm3），指标值：=35mg/Nm3，实际完成值：14mg/Nm3，指标完成率100%。</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指标2：氮氧化物排放浓度（mg/Nm3），指标值：=50mg/Nm3，实际完成值：30mg/Nm3，指标完成率100%。</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指标3：颗粒物排放浓度（mg/Nm3），指标值：=10mg/Nm3，实际完成值：7.4mg/Nm3，指标完成率100%。</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2.满意度</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满意度指标：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lang w:val="en-US" w:eastAsia="zh-CN"/>
        </w:rPr>
      </w:pPr>
      <w:r>
        <w:rPr>
          <w:rFonts w:hint="default" w:ascii="Times New Roman" w:hAnsi="Times New Roman" w:cs="Times New Roman"/>
          <w:color w:val="auto"/>
          <w:sz w:val="32"/>
          <w:szCs w:val="32"/>
        </w:rPr>
        <w:t>指标</w:t>
      </w:r>
      <w:r>
        <w:rPr>
          <w:rFonts w:hint="default" w:ascii="Times New Roman" w:hAnsi="Times New Roman" w:cs="Times New Roman"/>
          <w:color w:val="auto"/>
          <w:sz w:val="32"/>
          <w:szCs w:val="32"/>
          <w:lang w:val="en-US" w:eastAsia="zh-CN"/>
        </w:rPr>
        <w:t>1</w:t>
      </w:r>
      <w:r>
        <w:rPr>
          <w:rFonts w:hint="default" w:ascii="Times New Roman" w:hAnsi="Times New Roman" w:cs="Times New Roman"/>
          <w:color w:val="auto"/>
          <w:sz w:val="32"/>
          <w:szCs w:val="32"/>
        </w:rPr>
        <w:t>：受益用户满意度，指标值</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lang w:val="en-US" w:eastAsia="zh-CN"/>
        </w:rPr>
        <w:t>90%</w:t>
      </w:r>
      <w:r>
        <w:rPr>
          <w:rFonts w:hint="default" w:ascii="Times New Roman" w:hAnsi="Times New Roman" w:cs="Times New Roman"/>
          <w:color w:val="auto"/>
          <w:sz w:val="32"/>
          <w:szCs w:val="32"/>
        </w:rPr>
        <w:t>，实际完成值</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lang w:val="en-US" w:eastAsia="zh-CN"/>
        </w:rPr>
        <w:t>100</w:t>
      </w:r>
      <w:r>
        <w:rPr>
          <w:rFonts w:hint="default" w:ascii="Times New Roman" w:hAnsi="Times New Roman" w:cs="Times New Roman"/>
          <w:color w:val="auto"/>
          <w:sz w:val="32"/>
          <w:szCs w:val="32"/>
        </w:rPr>
        <w:t>，指标完成率</w:t>
      </w:r>
      <w:r>
        <w:rPr>
          <w:rFonts w:hint="default" w:ascii="Times New Roman" w:hAnsi="Times New Roman" w:cs="Times New Roman"/>
          <w:color w:val="auto"/>
          <w:sz w:val="32"/>
          <w:szCs w:val="32"/>
          <w:lang w:val="en-US" w:eastAsia="zh-CN"/>
        </w:rPr>
        <w:t>111</w:t>
      </w:r>
      <w:r>
        <w:rPr>
          <w:rFonts w:hint="default" w:ascii="Times New Roman" w:hAnsi="Times New Roman" w:cs="Times New Roman"/>
          <w:color w:val="auto"/>
          <w:sz w:val="32"/>
          <w:szCs w:val="32"/>
        </w:rPr>
        <w:t>%。</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lang w:eastAsia="zh-Hans"/>
        </w:rPr>
      </w:pPr>
      <w:r>
        <w:rPr>
          <w:rFonts w:hint="default" w:ascii="Times New Roman" w:hAnsi="Times New Roman" w:eastAsia="黑体" w:cs="Times New Roman"/>
          <w:sz w:val="32"/>
          <w:szCs w:val="32"/>
          <w:lang w:eastAsia="zh-Hans"/>
        </w:rPr>
        <w:t>五、预算执行进度与绩效指标总体完成率偏差</w:t>
      </w:r>
    </w:p>
    <w:p>
      <w:pPr>
        <w:pStyle w:val="21"/>
        <w:pageBreakBefore w:val="0"/>
        <w:kinsoku/>
        <w:wordWrap/>
        <w:overflowPunct/>
        <w:topLinePunct w:val="0"/>
        <w:autoSpaceDE/>
        <w:autoSpaceDN/>
        <w:bidi w:val="0"/>
        <w:adjustRightInd/>
        <w:snapToGrid/>
        <w:spacing w:line="560" w:lineRule="exact"/>
        <w:ind w:firstLine="640"/>
        <w:textAlignment w:val="auto"/>
        <w:rPr>
          <w:rFonts w:hint="default" w:ascii="Times New Roman" w:hAnsi="Times New Roman" w:cs="Times New Roman"/>
        </w:rPr>
      </w:pPr>
      <w:r>
        <w:rPr>
          <w:rFonts w:hint="default" w:ascii="Times New Roman" w:hAnsi="Times New Roman" w:eastAsia="仿宋_GB2312" w:cs="Times New Roman"/>
          <w:kern w:val="2"/>
          <w:sz w:val="32"/>
          <w:szCs w:val="32"/>
          <w:lang w:val="en-US" w:eastAsia="zh-CN" w:bidi="ar-SA"/>
        </w:rPr>
        <w:t>霍尔果斯经济开发区集中供暖环保技改提升项目年初预算0万元，全年预算600万元，实际支出600万元，预算执行率为100%，项目绩效指标总体完成率为100%，</w:t>
      </w:r>
      <w:r>
        <w:rPr>
          <w:rFonts w:hint="default" w:ascii="Times New Roman" w:hAnsi="Times New Roman" w:eastAsia="仿宋_GB2312" w:cs="Times New Roman"/>
          <w:kern w:val="2"/>
          <w:sz w:val="32"/>
          <w:szCs w:val="32"/>
          <w:lang w:val="en-US" w:eastAsia="zh-Hans" w:bidi="ar-SA"/>
        </w:rPr>
        <w:t>总体</w:t>
      </w:r>
      <w:r>
        <w:rPr>
          <w:rFonts w:hint="default" w:ascii="Times New Roman" w:hAnsi="Times New Roman" w:eastAsia="仿宋_GB2312" w:cs="Times New Roman"/>
          <w:kern w:val="2"/>
          <w:sz w:val="32"/>
          <w:szCs w:val="32"/>
          <w:lang w:val="en-US" w:eastAsia="zh-CN" w:bidi="ar-SA"/>
        </w:rPr>
        <w:t>偏差率为0%,</w:t>
      </w:r>
      <w:r>
        <w:rPr>
          <w:rFonts w:hint="default" w:ascii="Times New Roman" w:hAnsi="Times New Roman" w:eastAsia="仿宋_GB2312" w:cs="Times New Roman"/>
          <w:kern w:val="2"/>
          <w:sz w:val="32"/>
          <w:szCs w:val="32"/>
          <w:lang w:val="en-US" w:eastAsia="zh-Hans" w:bidi="ar-SA"/>
        </w:rPr>
        <w:t>偏差</w:t>
      </w:r>
      <w:r>
        <w:rPr>
          <w:rFonts w:hint="default" w:ascii="Times New Roman" w:hAnsi="Times New Roman" w:eastAsia="仿宋_GB2312" w:cs="Times New Roman"/>
          <w:kern w:val="2"/>
          <w:sz w:val="32"/>
          <w:szCs w:val="32"/>
          <w:lang w:val="en-US" w:eastAsia="zh-CN" w:bidi="ar-SA"/>
        </w:rPr>
        <w:t>原因无，</w:t>
      </w:r>
      <w:r>
        <w:rPr>
          <w:rFonts w:hint="default" w:ascii="Times New Roman" w:hAnsi="Times New Roman" w:eastAsia="仿宋_GB2312" w:cs="Times New Roman"/>
          <w:kern w:val="2"/>
          <w:sz w:val="32"/>
          <w:szCs w:val="32"/>
          <w:lang w:val="en-US" w:eastAsia="zh-Hans" w:bidi="ar-SA"/>
        </w:rPr>
        <w:t>改进</w:t>
      </w:r>
      <w:r>
        <w:rPr>
          <w:rFonts w:hint="default" w:ascii="Times New Roman" w:hAnsi="Times New Roman" w:eastAsia="仿宋_GB2312" w:cs="Times New Roman"/>
          <w:kern w:val="2"/>
          <w:sz w:val="32"/>
          <w:szCs w:val="32"/>
          <w:lang w:val="en-US" w:eastAsia="zh-CN" w:bidi="ar-SA"/>
        </w:rPr>
        <w:t>措施无。</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bCs/>
          <w:sz w:val="32"/>
          <w:szCs w:val="32"/>
          <w:lang w:val="en-US" w:eastAsia="zh-CN"/>
        </w:rPr>
      </w:pPr>
      <w:bookmarkStart w:id="15" w:name="_Toc68703842"/>
      <w:r>
        <w:rPr>
          <w:rFonts w:hint="default" w:ascii="Times New Roman" w:hAnsi="Times New Roman" w:eastAsia="黑体" w:cs="Times New Roman"/>
          <w:bCs/>
          <w:sz w:val="32"/>
          <w:szCs w:val="32"/>
          <w:lang w:val="en-US" w:eastAsia="zh-CN"/>
        </w:rPr>
        <w:t>六、主要经验及做法、存在的问题及原因分析</w:t>
      </w:r>
      <w:bookmarkEnd w:id="15"/>
    </w:p>
    <w:p>
      <w:pPr>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楷体_GB2312" w:cs="Times New Roman"/>
          <w:b/>
          <w:bCs/>
          <w:kern w:val="2"/>
          <w:sz w:val="32"/>
          <w:szCs w:val="32"/>
          <w:lang w:val="en-US" w:eastAsia="zh-CN" w:bidi="ar-SA"/>
        </w:rPr>
      </w:pPr>
      <w:bookmarkStart w:id="16" w:name="_Toc68703843"/>
      <w:r>
        <w:rPr>
          <w:rFonts w:hint="default" w:ascii="Times New Roman" w:hAnsi="Times New Roman" w:eastAsia="楷体_GB2312" w:cs="Times New Roman"/>
          <w:b/>
          <w:bCs/>
          <w:kern w:val="2"/>
          <w:sz w:val="32"/>
          <w:szCs w:val="32"/>
          <w:lang w:val="en-US" w:eastAsia="zh-CN" w:bidi="ar-SA"/>
        </w:rPr>
        <w:t>（一）主要经验及做法</w:t>
      </w:r>
      <w:bookmarkEnd w:id="16"/>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Style w:val="2"/>
        <w:pageBreakBefore w:val="0"/>
        <w:kinsoku/>
        <w:wordWrap/>
        <w:overflowPunct/>
        <w:topLinePunct w:val="0"/>
        <w:autoSpaceDE/>
        <w:autoSpaceDN/>
        <w:bidi w:val="0"/>
        <w:adjustRightInd/>
        <w:snapToGrid/>
        <w:spacing w:before="0" w:after="0" w:line="560" w:lineRule="exact"/>
        <w:ind w:firstLine="643" w:firstLineChars="200"/>
        <w:jc w:val="left"/>
        <w:textAlignment w:val="auto"/>
        <w:rPr>
          <w:rFonts w:hint="default" w:ascii="Times New Roman" w:hAnsi="Times New Roman" w:eastAsia="楷体_GB2312" w:cs="Times New Roman"/>
          <w:b/>
          <w:bCs/>
          <w:kern w:val="2"/>
          <w:sz w:val="32"/>
          <w:szCs w:val="32"/>
          <w:lang w:val="en-US" w:eastAsia="zh-CN" w:bidi="ar-SA"/>
        </w:rPr>
      </w:pPr>
      <w:bookmarkStart w:id="17" w:name="_Toc68703844"/>
      <w:r>
        <w:rPr>
          <w:rFonts w:hint="default" w:ascii="Times New Roman" w:hAnsi="Times New Roman" w:eastAsia="楷体_GB2312" w:cs="Times New Roman"/>
          <w:b/>
          <w:bCs/>
          <w:kern w:val="2"/>
          <w:sz w:val="32"/>
          <w:szCs w:val="32"/>
          <w:lang w:val="en-US" w:eastAsia="zh-CN" w:bidi="ar-SA"/>
        </w:rPr>
        <w:t>（二）存在的问题及原因分析</w:t>
      </w:r>
      <w:bookmarkEnd w:id="17"/>
      <w:r>
        <w:rPr>
          <w:rFonts w:hint="default" w:ascii="Times New Roman" w:hAnsi="Times New Roman" w:eastAsia="楷体_GB2312" w:cs="Times New Roman"/>
          <w:b/>
          <w:bCs/>
          <w:kern w:val="2"/>
          <w:sz w:val="32"/>
          <w:szCs w:val="32"/>
          <w:lang w:val="en-US" w:eastAsia="zh-CN" w:bidi="ar-SA"/>
        </w:rPr>
        <w:t>　</w:t>
      </w:r>
    </w:p>
    <w:p>
      <w:pPr>
        <w:pStyle w:val="2"/>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Style w:val="2"/>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2.因轮岗、调动等因素使我单位绩效工作人员流动频繁，造成了工作衔接不到位的情况。</w:t>
      </w:r>
    </w:p>
    <w:p>
      <w:pPr>
        <w:pStyle w:val="2"/>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default" w:ascii="Times New Roman" w:hAnsi="Times New Roman" w:eastAsia="仿宋_GB2312" w:cs="Times New Roman"/>
          <w:b w:val="0"/>
          <w:bCs w:val="0"/>
          <w:kern w:val="2"/>
          <w:sz w:val="32"/>
          <w:szCs w:val="32"/>
          <w:lang w:val="en-US" w:eastAsia="zh-CN" w:bidi="ar-SA"/>
        </w:rPr>
      </w:pPr>
      <w:bookmarkStart w:id="18" w:name="_Toc68703845"/>
      <w:r>
        <w:rPr>
          <w:rFonts w:hint="default" w:ascii="Times New Roman" w:hAnsi="Times New Roman" w:eastAsia="黑体" w:cs="Times New Roman"/>
          <w:b w:val="0"/>
          <w:bCs/>
          <w:kern w:val="2"/>
          <w:sz w:val="32"/>
          <w:szCs w:val="32"/>
          <w:lang w:val="en-US" w:eastAsia="zh-CN" w:bidi="ar-SA"/>
        </w:rPr>
        <w:t>七、有关建议</w:t>
      </w:r>
      <w:bookmarkEnd w:id="18"/>
    </w:p>
    <w:p>
      <w:pPr>
        <w:pStyle w:val="2"/>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1.多进行有关绩效管理工作方面的培训。积极组织第三方开展绩效管理工作培训，进一步夯实业务基础，提高我单位绩效人员水平。</w:t>
      </w:r>
    </w:p>
    <w:p>
      <w:pPr>
        <w:pStyle w:val="2"/>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2.专门设定对绩效工作人员定职、定岗、定责等相关制度措施，进一步提升我单位绩效管理工作业务水平，扎实做好绩效管理工作。</w:t>
      </w:r>
    </w:p>
    <w:p>
      <w:pPr>
        <w:pStyle w:val="2"/>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pStyle w:val="2"/>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4.进一步完善项目评价过程中有关数据和资料的收集、整理、审核及分析。项目启动时同步做好档案的归纳与整理，及时整理、收集、汇总，健全档案资料。项目后续管理有待进一步加强和跟踪。</w:t>
      </w:r>
    </w:p>
    <w:p>
      <w:pPr>
        <w:pStyle w:val="2"/>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pStyle w:val="2"/>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default" w:ascii="Times New Roman" w:hAnsi="Times New Roman" w:eastAsia="黑体" w:cs="Times New Roman"/>
          <w:b w:val="0"/>
          <w:bCs/>
          <w:kern w:val="2"/>
          <w:sz w:val="32"/>
          <w:szCs w:val="32"/>
          <w:lang w:val="en-US" w:eastAsia="zh-CN" w:bidi="ar-SA"/>
        </w:rPr>
      </w:pPr>
      <w:bookmarkStart w:id="19" w:name="_Toc68703846"/>
      <w:r>
        <w:rPr>
          <w:rFonts w:hint="default" w:ascii="Times New Roman" w:hAnsi="Times New Roman" w:eastAsia="黑体" w:cs="Times New Roman"/>
          <w:b w:val="0"/>
          <w:bCs/>
          <w:kern w:val="2"/>
          <w:sz w:val="32"/>
          <w:szCs w:val="32"/>
          <w:lang w:val="en-US" w:eastAsia="zh-CN" w:bidi="ar-SA"/>
        </w:rPr>
        <w:t>八、其他需要说明的问题</w:t>
      </w:r>
      <w:bookmarkEnd w:id="19"/>
    </w:p>
    <w:p>
      <w:pPr>
        <w:pStyle w:val="2"/>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Hans" w:bidi="ar-SA"/>
        </w:rPr>
        <w:t>本项目无其他需说明的问题</w:t>
      </w:r>
      <w:r>
        <w:rPr>
          <w:rFonts w:hint="default" w:ascii="Times New Roman" w:hAnsi="Times New Roman" w:eastAsia="仿宋_GB2312" w:cs="Times New Roman"/>
          <w:b w:val="0"/>
          <w:bCs w:val="0"/>
          <w:kern w:val="2"/>
          <w:sz w:val="32"/>
          <w:szCs w:val="32"/>
          <w:lang w:val="en-US" w:eastAsia="zh-CN" w:bidi="ar-SA"/>
        </w:rPr>
        <w:t>。</w:t>
      </w:r>
    </w:p>
    <w:p>
      <w:pPr>
        <w:rPr>
          <w:rFonts w:hint="default" w:ascii="Times New Roman" w:hAnsi="Times New Roman" w:eastAsia="仿宋_GB2312" w:cs="Times New Roman"/>
          <w:b w:val="0"/>
          <w:bCs w:val="0"/>
          <w:kern w:val="2"/>
          <w:sz w:val="32"/>
          <w:szCs w:val="32"/>
          <w:lang w:val="en-US" w:eastAsia="zh-CN" w:bidi="ar-SA"/>
        </w:rPr>
      </w:pPr>
    </w:p>
    <w:p>
      <w:pPr>
        <w:pStyle w:val="2"/>
        <w:rPr>
          <w:rFonts w:hint="default"/>
          <w:lang w:val="en-US" w:eastAsia="zh-CN"/>
        </w:rPr>
      </w:pPr>
    </w:p>
    <w:p>
      <w:pPr>
        <w:rPr>
          <w:rFonts w:hint="default"/>
          <w:lang w:val="en-US" w:eastAsia="zh-CN"/>
        </w:rPr>
      </w:pPr>
    </w:p>
    <w:tbl>
      <w:tblPr>
        <w:tblStyle w:val="12"/>
        <w:tblW w:w="8834" w:type="dxa"/>
        <w:tblInd w:w="0" w:type="dxa"/>
        <w:tblLayout w:type="fixed"/>
        <w:tblCellMar>
          <w:top w:w="0" w:type="dxa"/>
          <w:left w:w="0" w:type="dxa"/>
          <w:bottom w:w="0" w:type="dxa"/>
          <w:right w:w="0" w:type="dxa"/>
        </w:tblCellMar>
      </w:tblPr>
      <w:tblGrid>
        <w:gridCol w:w="695"/>
        <w:gridCol w:w="531"/>
        <w:gridCol w:w="859"/>
        <w:gridCol w:w="774"/>
        <w:gridCol w:w="972"/>
        <w:gridCol w:w="95"/>
        <w:gridCol w:w="1300"/>
        <w:gridCol w:w="833"/>
        <w:gridCol w:w="217"/>
        <w:gridCol w:w="733"/>
        <w:gridCol w:w="367"/>
        <w:gridCol w:w="308"/>
        <w:gridCol w:w="454"/>
        <w:gridCol w:w="696"/>
      </w:tblGrid>
      <w:tr>
        <w:tblPrEx>
          <w:tblLayout w:type="fixed"/>
          <w:tblCellMar>
            <w:top w:w="0" w:type="dxa"/>
            <w:left w:w="0" w:type="dxa"/>
            <w:bottom w:w="0" w:type="dxa"/>
            <w:right w:w="0" w:type="dxa"/>
          </w:tblCellMar>
        </w:tblPrEx>
        <w:trPr>
          <w:trHeight w:val="420" w:hRule="atLeast"/>
        </w:trPr>
        <w:tc>
          <w:tcPr>
            <w:tcW w:w="8834" w:type="dxa"/>
            <w:gridSpan w:val="14"/>
            <w:tcBorders>
              <w:top w:val="nil"/>
              <w:left w:val="nil"/>
              <w:bottom w:val="single" w:color="auto"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方正小标宋简体" w:cs="Times New Roman"/>
                <w:b/>
                <w:sz w:val="32"/>
                <w:szCs w:val="32"/>
                <w:u w:val="single"/>
              </w:rPr>
            </w:pPr>
            <w:r>
              <w:rPr>
                <w:rFonts w:hint="default" w:ascii="Times New Roman" w:hAnsi="Times New Roman" w:eastAsia="宋体" w:cs="Times New Roman"/>
                <w:b/>
                <w:i w:val="0"/>
                <w:color w:val="000000"/>
                <w:kern w:val="0"/>
                <w:sz w:val="32"/>
                <w:szCs w:val="32"/>
                <w:u w:val="none"/>
                <w:lang w:val="en-US" w:eastAsia="zh-CN" w:bidi="ar"/>
              </w:rPr>
              <w:t>项目支出绩效自评表</w:t>
            </w:r>
          </w:p>
        </w:tc>
      </w:tr>
      <w:tr>
        <w:tblPrEx>
          <w:tblLayout w:type="fixed"/>
          <w:tblCellMar>
            <w:top w:w="0" w:type="dxa"/>
            <w:left w:w="0" w:type="dxa"/>
            <w:bottom w:w="0" w:type="dxa"/>
            <w:right w:w="0" w:type="dxa"/>
          </w:tblCellMar>
        </w:tblPrEx>
        <w:trPr>
          <w:trHeight w:val="288" w:hRule="atLeast"/>
        </w:trPr>
        <w:tc>
          <w:tcPr>
            <w:tcW w:w="8834" w:type="dxa"/>
            <w:gridSpan w:val="14"/>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(2023年度)</w:t>
            </w:r>
          </w:p>
        </w:tc>
      </w:tr>
      <w:tr>
        <w:tblPrEx>
          <w:tblLayout w:type="fixed"/>
          <w:tblCellMar>
            <w:top w:w="0" w:type="dxa"/>
            <w:left w:w="0" w:type="dxa"/>
            <w:bottom w:w="0" w:type="dxa"/>
            <w:right w:w="0" w:type="dxa"/>
          </w:tblCellMar>
        </w:tblPrEx>
        <w:trPr>
          <w:trHeight w:val="276" w:hRule="atLeast"/>
        </w:trPr>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项目名称</w:t>
            </w:r>
          </w:p>
        </w:tc>
        <w:tc>
          <w:tcPr>
            <w:tcW w:w="7608"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kern w:val="0"/>
                <w:sz w:val="18"/>
                <w:szCs w:val="18"/>
                <w:lang w:bidi="ar"/>
              </w:rPr>
              <w:t>霍尔果斯经济开发区集中供暖环保技改提升项目</w:t>
            </w:r>
          </w:p>
        </w:tc>
      </w:tr>
      <w:tr>
        <w:tblPrEx>
          <w:tblLayout w:type="fixed"/>
          <w:tblCellMar>
            <w:top w:w="0" w:type="dxa"/>
            <w:left w:w="0" w:type="dxa"/>
            <w:bottom w:w="0" w:type="dxa"/>
            <w:right w:w="0" w:type="dxa"/>
          </w:tblCellMar>
        </w:tblPrEx>
        <w:trPr>
          <w:trHeight w:val="276" w:hRule="atLeast"/>
        </w:trPr>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主管部门</w:t>
            </w:r>
          </w:p>
        </w:tc>
        <w:tc>
          <w:tcPr>
            <w:tcW w:w="4000"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kern w:val="0"/>
                <w:sz w:val="18"/>
                <w:szCs w:val="18"/>
                <w:lang w:bidi="ar"/>
              </w:rPr>
              <w:t>霍尔果斯市环境保护局</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rPr>
            </w:pPr>
            <w:r>
              <w:rPr>
                <w:rFonts w:hint="default" w:ascii="Times New Roman" w:hAnsi="Times New Roman" w:eastAsia="宋体" w:cs="Times New Roman"/>
                <w:i w:val="0"/>
                <w:color w:val="000000"/>
                <w:kern w:val="0"/>
                <w:sz w:val="20"/>
                <w:szCs w:val="20"/>
                <w:u w:val="none"/>
                <w:lang w:val="en-US" w:eastAsia="zh-CN" w:bidi="ar"/>
              </w:rPr>
              <w:t>实施单位</w:t>
            </w:r>
          </w:p>
        </w:tc>
        <w:tc>
          <w:tcPr>
            <w:tcW w:w="2558"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kern w:val="0"/>
                <w:sz w:val="18"/>
                <w:szCs w:val="18"/>
                <w:lang w:bidi="ar"/>
              </w:rPr>
            </w:pPr>
            <w:r>
              <w:rPr>
                <w:rFonts w:hint="default" w:ascii="Times New Roman" w:hAnsi="Times New Roman" w:eastAsia="宋体" w:cs="Times New Roman"/>
                <w:kern w:val="0"/>
                <w:sz w:val="18"/>
                <w:szCs w:val="18"/>
                <w:lang w:bidi="ar"/>
              </w:rPr>
              <w:t>霍尔果斯经济开发区源能热力有限公司</w:t>
            </w:r>
          </w:p>
        </w:tc>
      </w:tr>
      <w:tr>
        <w:tblPrEx>
          <w:tblLayout w:type="fixed"/>
          <w:tblCellMar>
            <w:top w:w="0" w:type="dxa"/>
            <w:left w:w="0" w:type="dxa"/>
            <w:bottom w:w="0" w:type="dxa"/>
            <w:right w:w="0" w:type="dxa"/>
          </w:tblCellMar>
        </w:tblPrEx>
        <w:trPr>
          <w:trHeight w:val="276" w:hRule="atLeast"/>
        </w:trPr>
        <w:tc>
          <w:tcPr>
            <w:tcW w:w="122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项目资金</w:t>
            </w:r>
            <w:r>
              <w:rPr>
                <w:rFonts w:hint="default" w:ascii="Times New Roman" w:hAnsi="Times New Roman" w:eastAsia="宋体" w:cs="Times New Roman"/>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（万元）</w:t>
            </w:r>
          </w:p>
        </w:tc>
        <w:tc>
          <w:tcPr>
            <w:tcW w:w="163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kern w:val="0"/>
                <w:sz w:val="18"/>
                <w:szCs w:val="18"/>
                <w:lang w:val="en-US" w:eastAsia="zh-CN" w:bidi="ar"/>
              </w:rPr>
            </w:pPr>
            <w:r>
              <w:rPr>
                <w:rFonts w:hint="default" w:ascii="Times New Roman" w:hAnsi="Times New Roman" w:eastAsia="宋体" w:cs="Times New Roman"/>
                <w:kern w:val="0"/>
                <w:sz w:val="18"/>
                <w:szCs w:val="18"/>
                <w:lang w:val="en-US" w:eastAsia="zh-CN" w:bidi="ar"/>
              </w:rPr>
              <w:t>600</w:t>
            </w:r>
          </w:p>
        </w:tc>
        <w:tc>
          <w:tcPr>
            <w:tcW w:w="106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年初预算数</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rPr>
            </w:pPr>
            <w:r>
              <w:rPr>
                <w:rFonts w:hint="default" w:ascii="Times New Roman" w:hAnsi="Times New Roman" w:eastAsia="宋体" w:cs="Times New Roman"/>
                <w:i w:val="0"/>
                <w:color w:val="000000"/>
                <w:kern w:val="0"/>
                <w:sz w:val="20"/>
                <w:szCs w:val="20"/>
                <w:u w:val="none"/>
                <w:lang w:val="en-US" w:eastAsia="zh-CN" w:bidi="ar"/>
              </w:rPr>
              <w:t>全年预算数</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全年执行数</w:t>
            </w:r>
          </w:p>
        </w:tc>
        <w:tc>
          <w:tcPr>
            <w:tcW w:w="110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分值</w:t>
            </w:r>
          </w:p>
        </w:tc>
        <w:tc>
          <w:tcPr>
            <w:tcW w:w="7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执行率</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rPr>
            </w:pPr>
            <w:r>
              <w:rPr>
                <w:rFonts w:hint="default" w:ascii="Times New Roman" w:hAnsi="Times New Roman" w:eastAsia="宋体" w:cs="Times New Roman"/>
                <w:i w:val="0"/>
                <w:color w:val="000000"/>
                <w:kern w:val="0"/>
                <w:sz w:val="20"/>
                <w:szCs w:val="20"/>
                <w:u w:val="none"/>
                <w:lang w:val="en-US" w:eastAsia="zh-CN" w:bidi="ar"/>
              </w:rPr>
              <w:t>得分</w:t>
            </w:r>
          </w:p>
        </w:tc>
      </w:tr>
      <w:tr>
        <w:tblPrEx>
          <w:tblLayout w:type="fixed"/>
          <w:tblCellMar>
            <w:top w:w="0" w:type="dxa"/>
            <w:left w:w="0" w:type="dxa"/>
            <w:bottom w:w="0" w:type="dxa"/>
            <w:right w:w="0" w:type="dxa"/>
          </w:tblCellMar>
        </w:tblPrEx>
        <w:trPr>
          <w:trHeight w:val="623"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kern w:val="0"/>
                <w:sz w:val="18"/>
                <w:szCs w:val="18"/>
                <w:lang w:bidi="ar"/>
              </w:rPr>
            </w:pPr>
          </w:p>
        </w:tc>
        <w:tc>
          <w:tcPr>
            <w:tcW w:w="163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年度资金总额</w:t>
            </w:r>
          </w:p>
        </w:tc>
        <w:tc>
          <w:tcPr>
            <w:tcW w:w="106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0</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lang w:val="en-US"/>
              </w:rPr>
            </w:pPr>
            <w:r>
              <w:rPr>
                <w:rFonts w:hint="default" w:ascii="Times New Roman" w:hAnsi="Times New Roman" w:eastAsia="宋体" w:cs="Times New Roman"/>
                <w:i w:val="0"/>
                <w:color w:val="000000"/>
                <w:kern w:val="0"/>
                <w:sz w:val="20"/>
                <w:szCs w:val="20"/>
                <w:u w:val="none"/>
                <w:lang w:val="en-US" w:eastAsia="zh-CN" w:bidi="ar"/>
              </w:rPr>
              <w:t>600</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18"/>
                <w:szCs w:val="18"/>
                <w:lang w:val="en-US" w:bidi="ar"/>
              </w:rPr>
            </w:pPr>
            <w:r>
              <w:rPr>
                <w:rFonts w:hint="default" w:ascii="Times New Roman" w:hAnsi="Times New Roman" w:eastAsia="宋体" w:cs="Times New Roman"/>
                <w:i w:val="0"/>
                <w:color w:val="000000"/>
                <w:kern w:val="0"/>
                <w:sz w:val="20"/>
                <w:szCs w:val="20"/>
                <w:u w:val="none"/>
                <w:lang w:val="en-US" w:eastAsia="zh-CN" w:bidi="ar"/>
              </w:rPr>
              <w:t>600</w:t>
            </w:r>
          </w:p>
        </w:tc>
        <w:tc>
          <w:tcPr>
            <w:tcW w:w="110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10</w:t>
            </w:r>
          </w:p>
        </w:tc>
        <w:tc>
          <w:tcPr>
            <w:tcW w:w="7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100.00%</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rPr>
            </w:pPr>
            <w:r>
              <w:rPr>
                <w:rFonts w:hint="default" w:ascii="Times New Roman" w:hAnsi="Times New Roman" w:eastAsia="宋体" w:cs="Times New Roman"/>
                <w:i w:val="0"/>
                <w:color w:val="000000"/>
                <w:kern w:val="0"/>
                <w:sz w:val="20"/>
                <w:szCs w:val="20"/>
                <w:u w:val="none"/>
                <w:lang w:val="en-US" w:eastAsia="zh-CN" w:bidi="ar"/>
              </w:rPr>
              <w:t>10.00</w:t>
            </w:r>
          </w:p>
        </w:tc>
      </w:tr>
      <w:tr>
        <w:tblPrEx>
          <w:tblLayout w:type="fixed"/>
          <w:tblCellMar>
            <w:top w:w="0" w:type="dxa"/>
            <w:left w:w="0" w:type="dxa"/>
            <w:bottom w:w="0" w:type="dxa"/>
            <w:right w:w="0" w:type="dxa"/>
          </w:tblCellMar>
        </w:tblPrEx>
        <w:trPr>
          <w:trHeight w:val="638"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kern w:val="0"/>
                <w:sz w:val="18"/>
                <w:szCs w:val="18"/>
                <w:lang w:bidi="ar"/>
              </w:rPr>
            </w:pPr>
          </w:p>
        </w:tc>
        <w:tc>
          <w:tcPr>
            <w:tcW w:w="163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其中：当年财政拨款</w:t>
            </w:r>
          </w:p>
        </w:tc>
        <w:tc>
          <w:tcPr>
            <w:tcW w:w="106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 xml:space="preserve">0.00 </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lang w:val="en-US"/>
              </w:rPr>
            </w:pPr>
            <w:r>
              <w:rPr>
                <w:rFonts w:hint="default" w:ascii="Times New Roman" w:hAnsi="Times New Roman" w:eastAsia="宋体" w:cs="Times New Roman"/>
                <w:i w:val="0"/>
                <w:color w:val="000000"/>
                <w:kern w:val="0"/>
                <w:sz w:val="20"/>
                <w:szCs w:val="20"/>
                <w:u w:val="none"/>
                <w:lang w:val="en-US" w:eastAsia="zh-CN" w:bidi="ar"/>
              </w:rPr>
              <w:t>60</w:t>
            </w:r>
            <w:r>
              <w:rPr>
                <w:rFonts w:hint="eastAsia" w:eastAsia="宋体" w:cs="Times New Roman"/>
                <w:i w:val="0"/>
                <w:color w:val="000000"/>
                <w:kern w:val="0"/>
                <w:sz w:val="20"/>
                <w:szCs w:val="20"/>
                <w:u w:val="none"/>
                <w:lang w:val="en-US" w:eastAsia="zh-CN" w:bidi="ar"/>
              </w:rPr>
              <w:t>0</w:t>
            </w:r>
            <w:bookmarkStart w:id="22" w:name="_GoBack"/>
            <w:bookmarkEnd w:id="22"/>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18"/>
                <w:szCs w:val="18"/>
                <w:lang w:val="en-US" w:bidi="ar"/>
              </w:rPr>
            </w:pPr>
            <w:r>
              <w:rPr>
                <w:rFonts w:hint="default" w:ascii="Times New Roman" w:hAnsi="Times New Roman" w:eastAsia="宋体" w:cs="Times New Roman"/>
                <w:i w:val="0"/>
                <w:color w:val="000000"/>
                <w:kern w:val="0"/>
                <w:sz w:val="20"/>
                <w:szCs w:val="20"/>
                <w:u w:val="none"/>
                <w:lang w:val="en-US" w:eastAsia="zh-CN" w:bidi="ar"/>
              </w:rPr>
              <w:t>600</w:t>
            </w:r>
          </w:p>
        </w:tc>
        <w:tc>
          <w:tcPr>
            <w:tcW w:w="110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w:t>
            </w:r>
          </w:p>
        </w:tc>
        <w:tc>
          <w:tcPr>
            <w:tcW w:w="7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rPr>
            </w:pPr>
            <w:r>
              <w:rPr>
                <w:rFonts w:hint="default" w:ascii="Times New Roman" w:hAnsi="Times New Roman" w:eastAsia="宋体" w:cs="Times New Roman"/>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kern w:val="0"/>
                <w:sz w:val="18"/>
                <w:szCs w:val="18"/>
                <w:lang w:bidi="ar"/>
              </w:rPr>
            </w:pPr>
          </w:p>
        </w:tc>
        <w:tc>
          <w:tcPr>
            <w:tcW w:w="163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 xml:space="preserve">      上年结转资金</w:t>
            </w:r>
          </w:p>
        </w:tc>
        <w:tc>
          <w:tcPr>
            <w:tcW w:w="106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0</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rPr>
            </w:pPr>
            <w:r>
              <w:rPr>
                <w:rFonts w:hint="default" w:ascii="Times New Roman" w:hAnsi="Times New Roman" w:eastAsia="宋体" w:cs="Times New Roman"/>
                <w:i w:val="0"/>
                <w:color w:val="000000"/>
                <w:kern w:val="0"/>
                <w:sz w:val="20"/>
                <w:szCs w:val="20"/>
                <w:u w:val="none"/>
                <w:lang w:val="en-US" w:eastAsia="zh-CN" w:bidi="ar"/>
              </w:rPr>
              <w:t>0</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kern w:val="0"/>
                <w:sz w:val="18"/>
                <w:szCs w:val="18"/>
                <w:lang w:val="en-US" w:eastAsia="zh-CN" w:bidi="ar"/>
              </w:rPr>
            </w:pPr>
            <w:r>
              <w:rPr>
                <w:rFonts w:hint="default" w:ascii="Times New Roman" w:hAnsi="Times New Roman" w:eastAsia="宋体" w:cs="Times New Roman"/>
                <w:kern w:val="0"/>
                <w:sz w:val="18"/>
                <w:szCs w:val="18"/>
                <w:lang w:val="en-US" w:eastAsia="zh-CN" w:bidi="ar"/>
              </w:rPr>
              <w:t>0</w:t>
            </w:r>
          </w:p>
        </w:tc>
        <w:tc>
          <w:tcPr>
            <w:tcW w:w="110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w:t>
            </w:r>
          </w:p>
        </w:tc>
        <w:tc>
          <w:tcPr>
            <w:tcW w:w="7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rPr>
            </w:pPr>
            <w:r>
              <w:rPr>
                <w:rFonts w:hint="default" w:ascii="Times New Roman" w:hAnsi="Times New Roman" w:eastAsia="宋体" w:cs="Times New Roman"/>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kern w:val="0"/>
                <w:sz w:val="18"/>
                <w:szCs w:val="18"/>
                <w:lang w:bidi="ar"/>
              </w:rPr>
            </w:pPr>
          </w:p>
        </w:tc>
        <w:tc>
          <w:tcPr>
            <w:tcW w:w="163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 xml:space="preserve">  其他资金</w:t>
            </w:r>
          </w:p>
        </w:tc>
        <w:tc>
          <w:tcPr>
            <w:tcW w:w="106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0</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rPr>
            </w:pPr>
            <w:r>
              <w:rPr>
                <w:rFonts w:hint="default" w:ascii="Times New Roman" w:hAnsi="Times New Roman" w:eastAsia="宋体" w:cs="Times New Roman"/>
                <w:i w:val="0"/>
                <w:color w:val="000000"/>
                <w:kern w:val="0"/>
                <w:sz w:val="20"/>
                <w:szCs w:val="20"/>
                <w:u w:val="none"/>
                <w:lang w:val="en-US" w:eastAsia="zh-CN" w:bidi="ar"/>
              </w:rPr>
              <w:t>0</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kern w:val="0"/>
                <w:sz w:val="18"/>
                <w:szCs w:val="18"/>
                <w:lang w:val="en-US" w:eastAsia="zh-CN" w:bidi="ar"/>
              </w:rPr>
            </w:pPr>
            <w:r>
              <w:rPr>
                <w:rFonts w:hint="default" w:ascii="Times New Roman" w:hAnsi="Times New Roman" w:eastAsia="宋体" w:cs="Times New Roman"/>
                <w:kern w:val="0"/>
                <w:sz w:val="18"/>
                <w:szCs w:val="18"/>
                <w:lang w:val="en-US" w:eastAsia="zh-CN" w:bidi="ar"/>
              </w:rPr>
              <w:t>0</w:t>
            </w:r>
          </w:p>
        </w:tc>
        <w:tc>
          <w:tcPr>
            <w:tcW w:w="110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w:t>
            </w:r>
          </w:p>
        </w:tc>
        <w:tc>
          <w:tcPr>
            <w:tcW w:w="7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cs="Times New Roman"/>
              </w:rPr>
            </w:pPr>
            <w:r>
              <w:rPr>
                <w:rFonts w:hint="default" w:ascii="Times New Roman" w:hAnsi="Times New Roman" w:eastAsia="宋体" w:cs="Times New Roman"/>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年度总体目标</w:t>
            </w:r>
          </w:p>
        </w:tc>
        <w:tc>
          <w:tcPr>
            <w:tcW w:w="4531"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预期目标</w:t>
            </w:r>
          </w:p>
        </w:tc>
        <w:tc>
          <w:tcPr>
            <w:tcW w:w="3608"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实际完成情况</w:t>
            </w:r>
          </w:p>
        </w:tc>
      </w:tr>
      <w:tr>
        <w:tblPrEx>
          <w:tblLayout w:type="fixed"/>
          <w:tblCellMar>
            <w:top w:w="0" w:type="dxa"/>
            <w:left w:w="0" w:type="dxa"/>
            <w:bottom w:w="0" w:type="dxa"/>
            <w:right w:w="0" w:type="dxa"/>
          </w:tblCellMar>
        </w:tblPrEx>
        <w:trPr>
          <w:trHeight w:val="7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kern w:val="0"/>
                <w:sz w:val="18"/>
                <w:szCs w:val="18"/>
                <w:lang w:bidi="ar"/>
              </w:rPr>
            </w:pPr>
          </w:p>
        </w:tc>
        <w:tc>
          <w:tcPr>
            <w:tcW w:w="4531"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将霍尔果斯经济开发区热源厂内两台65吨锅炉和一台100吨锅炉（三台锅炉总蒸吨数为230吨）环保提升为超低排，改造前采用工艺：布袋除尘+石灰石膏法+SNCR脱销</w:t>
            </w:r>
          </w:p>
        </w:tc>
        <w:tc>
          <w:tcPr>
            <w:tcW w:w="3608"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kern w:val="0"/>
                <w:sz w:val="20"/>
                <w:szCs w:val="20"/>
                <w:lang w:bidi="ar"/>
              </w:rPr>
            </w:pPr>
            <w:r>
              <w:rPr>
                <w:rFonts w:hint="default" w:ascii="Times New Roman" w:hAnsi="Times New Roman" w:eastAsia="宋体" w:cs="Times New Roman"/>
                <w:kern w:val="0"/>
                <w:sz w:val="20"/>
                <w:szCs w:val="20"/>
                <w:lang w:bidi="ar"/>
              </w:rPr>
              <w:t>已提升改造现有2*65t/h燃煤热水锅炉、1*100t/h燃煤热水锅炉的环保设施系统，已对原有的SNCR设备进行检修，升级改造处理，并新增建设SCR脱销系统。</w:t>
            </w:r>
          </w:p>
        </w:tc>
      </w:tr>
      <w:tr>
        <w:tblPrEx>
          <w:tblLayout w:type="fixed"/>
          <w:tblCellMar>
            <w:top w:w="0" w:type="dxa"/>
            <w:left w:w="0" w:type="dxa"/>
            <w:bottom w:w="0" w:type="dxa"/>
            <w:right w:w="0" w:type="dxa"/>
          </w:tblCellMar>
        </w:tblPrEx>
        <w:trPr>
          <w:trHeight w:val="408"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kern w:val="0"/>
                <w:sz w:val="18"/>
                <w:szCs w:val="18"/>
                <w:lang w:bidi="ar"/>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20"/>
                <w:szCs w:val="20"/>
                <w:lang w:bidi="ar"/>
              </w:rPr>
            </w:pPr>
            <w:r>
              <w:rPr>
                <w:rFonts w:hint="default" w:ascii="Times New Roman" w:hAnsi="Times New Roman" w:eastAsia="宋体" w:cs="Times New Roman"/>
                <w:i w:val="0"/>
                <w:color w:val="000000"/>
                <w:kern w:val="0"/>
                <w:sz w:val="20"/>
                <w:szCs w:val="20"/>
                <w:u w:val="none"/>
                <w:lang w:val="en-US" w:eastAsia="zh-CN" w:bidi="ar"/>
              </w:rPr>
              <w:t>一级指标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20"/>
                <w:szCs w:val="20"/>
                <w:lang w:bidi="ar"/>
              </w:rPr>
            </w:pPr>
            <w:r>
              <w:rPr>
                <w:rFonts w:hint="default" w:ascii="Times New Roman" w:hAnsi="Times New Roman" w:eastAsia="宋体" w:cs="Times New Roman"/>
                <w:i w:val="0"/>
                <w:color w:val="000000"/>
                <w:kern w:val="0"/>
                <w:sz w:val="20"/>
                <w:szCs w:val="20"/>
                <w:u w:val="none"/>
                <w:lang w:val="en-US" w:eastAsia="zh-CN" w:bidi="ar"/>
              </w:rPr>
              <w:t>二级指标</w:t>
            </w:r>
          </w:p>
        </w:tc>
        <w:tc>
          <w:tcPr>
            <w:tcW w:w="174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三级指标</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20"/>
                <w:szCs w:val="20"/>
                <w:lang w:bidi="ar"/>
              </w:rPr>
            </w:pPr>
            <w:r>
              <w:rPr>
                <w:rFonts w:hint="default" w:ascii="Times New Roman" w:hAnsi="Times New Roman" w:eastAsia="宋体" w:cs="Times New Roman"/>
                <w:i w:val="0"/>
                <w:color w:val="000000"/>
                <w:kern w:val="0"/>
                <w:sz w:val="20"/>
                <w:szCs w:val="20"/>
                <w:u w:val="none"/>
                <w:lang w:val="en-US" w:eastAsia="zh-CN" w:bidi="ar"/>
              </w:rPr>
              <w:t>年度指标值</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20"/>
                <w:szCs w:val="20"/>
                <w:lang w:bidi="ar"/>
              </w:rPr>
            </w:pPr>
            <w:r>
              <w:rPr>
                <w:rFonts w:hint="default" w:ascii="Times New Roman" w:hAnsi="Times New Roman" w:eastAsia="宋体" w:cs="Times New Roman"/>
                <w:i w:val="0"/>
                <w:color w:val="000000"/>
                <w:kern w:val="0"/>
                <w:sz w:val="20"/>
                <w:szCs w:val="20"/>
                <w:u w:val="none"/>
                <w:lang w:val="en-US" w:eastAsia="zh-CN" w:bidi="ar"/>
              </w:rPr>
              <w:t>实际完成值</w:t>
            </w:r>
          </w:p>
        </w:tc>
        <w:tc>
          <w:tcPr>
            <w:tcW w:w="9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20"/>
                <w:szCs w:val="20"/>
                <w:lang w:bidi="ar"/>
              </w:rPr>
            </w:pPr>
            <w:r>
              <w:rPr>
                <w:rFonts w:hint="default" w:ascii="Times New Roman" w:hAnsi="Times New Roman" w:eastAsia="宋体" w:cs="Times New Roman"/>
                <w:i w:val="0"/>
                <w:color w:val="000000"/>
                <w:kern w:val="0"/>
                <w:sz w:val="20"/>
                <w:szCs w:val="20"/>
                <w:u w:val="none"/>
                <w:lang w:val="en-US" w:eastAsia="zh-CN" w:bidi="ar"/>
              </w:rPr>
              <w:t>分值</w:t>
            </w:r>
          </w:p>
        </w:tc>
        <w:tc>
          <w:tcPr>
            <w:tcW w:w="67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得分</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20"/>
                <w:szCs w:val="20"/>
                <w:lang w:bidi="ar"/>
              </w:rPr>
            </w:pPr>
            <w:r>
              <w:rPr>
                <w:rFonts w:hint="default" w:ascii="Times New Roman" w:hAnsi="Times New Roman" w:eastAsia="宋体" w:cs="Times New Roman"/>
                <w:i w:val="0"/>
                <w:color w:val="000000"/>
                <w:kern w:val="0"/>
                <w:sz w:val="20"/>
                <w:szCs w:val="20"/>
                <w:u w:val="none"/>
                <w:lang w:val="en-US" w:eastAsia="zh-CN" w:bidi="ar"/>
              </w:rPr>
              <w:t>偏差原因分析及改进措施</w:t>
            </w:r>
          </w:p>
        </w:tc>
      </w:tr>
      <w:tr>
        <w:tblPrEx>
          <w:tblLayout w:type="fixed"/>
          <w:tblCellMar>
            <w:top w:w="0" w:type="dxa"/>
            <w:left w:w="0" w:type="dxa"/>
            <w:bottom w:w="0" w:type="dxa"/>
            <w:right w:w="0" w:type="dxa"/>
          </w:tblCellMar>
        </w:tblPrEx>
        <w:trPr>
          <w:trHeight w:val="408" w:hRule="atLeast"/>
        </w:trPr>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18"/>
                <w:szCs w:val="18"/>
                <w:lang w:bidi="ar"/>
              </w:rPr>
            </w:pPr>
            <w:r>
              <w:rPr>
                <w:rFonts w:hint="default" w:ascii="Times New Roman" w:hAnsi="Times New Roman" w:eastAsia="宋体" w:cs="Times New Roman"/>
                <w:i w:val="0"/>
                <w:color w:val="000000"/>
                <w:kern w:val="0"/>
                <w:sz w:val="20"/>
                <w:szCs w:val="20"/>
                <w:u w:val="none"/>
                <w:lang w:val="en-US" w:eastAsia="zh-CN" w:bidi="ar"/>
              </w:rPr>
              <w:t>年度绩效指标完成情况</w:t>
            </w: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20"/>
                <w:szCs w:val="20"/>
                <w:lang w:bidi="ar"/>
              </w:rPr>
            </w:pPr>
            <w:r>
              <w:rPr>
                <w:rFonts w:hint="default" w:ascii="Times New Roman" w:hAnsi="Times New Roman" w:eastAsia="宋体" w:cs="Times New Roman"/>
                <w:i w:val="0"/>
                <w:color w:val="000000"/>
                <w:kern w:val="0"/>
                <w:sz w:val="20"/>
                <w:szCs w:val="20"/>
                <w:u w:val="none"/>
                <w:lang w:val="en-US" w:eastAsia="zh-CN" w:bidi="ar"/>
              </w:rPr>
              <w:t>产出指标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20"/>
                <w:szCs w:val="20"/>
                <w:lang w:bidi="ar"/>
              </w:rPr>
            </w:pPr>
            <w:r>
              <w:rPr>
                <w:rFonts w:hint="default" w:ascii="Times New Roman" w:hAnsi="Times New Roman" w:eastAsia="宋体" w:cs="Times New Roman"/>
                <w:i w:val="0"/>
                <w:color w:val="000000"/>
                <w:kern w:val="0"/>
                <w:sz w:val="20"/>
                <w:szCs w:val="20"/>
                <w:u w:val="none"/>
                <w:lang w:val="en-US" w:eastAsia="zh-CN" w:bidi="ar"/>
              </w:rPr>
              <w:t>数量指标</w:t>
            </w:r>
          </w:p>
        </w:tc>
        <w:tc>
          <w:tcPr>
            <w:tcW w:w="174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改造锅炉数量（台）</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20"/>
                <w:szCs w:val="20"/>
                <w:lang w:bidi="ar"/>
              </w:rPr>
            </w:pPr>
            <w:r>
              <w:rPr>
                <w:rFonts w:hint="default" w:ascii="Times New Roman" w:hAnsi="Times New Roman" w:eastAsia="宋体" w:cs="Times New Roman"/>
                <w:i w:val="0"/>
                <w:color w:val="000000"/>
                <w:kern w:val="0"/>
                <w:sz w:val="20"/>
                <w:szCs w:val="20"/>
                <w:u w:val="none"/>
                <w:lang w:val="en-US" w:eastAsia="zh-CN" w:bidi="ar"/>
              </w:rPr>
              <w:t>=3台</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20"/>
                <w:szCs w:val="20"/>
                <w:lang w:bidi="ar"/>
              </w:rPr>
            </w:pPr>
            <w:r>
              <w:rPr>
                <w:rFonts w:hint="default" w:ascii="Times New Roman" w:hAnsi="Times New Roman" w:eastAsia="宋体" w:cs="Times New Roman"/>
                <w:i w:val="0"/>
                <w:color w:val="000000"/>
                <w:kern w:val="0"/>
                <w:sz w:val="20"/>
                <w:szCs w:val="20"/>
                <w:u w:val="none"/>
                <w:lang w:val="en-US" w:eastAsia="zh-CN" w:bidi="ar"/>
              </w:rPr>
              <w:t>3台</w:t>
            </w:r>
          </w:p>
        </w:tc>
        <w:tc>
          <w:tcPr>
            <w:tcW w:w="9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20"/>
                <w:szCs w:val="20"/>
                <w:lang w:bidi="ar"/>
              </w:rPr>
            </w:pPr>
            <w:r>
              <w:rPr>
                <w:rFonts w:hint="default" w:ascii="Times New Roman" w:hAnsi="Times New Roman" w:eastAsia="宋体" w:cs="Times New Roman"/>
                <w:i w:val="0"/>
                <w:color w:val="000000"/>
                <w:kern w:val="0"/>
                <w:sz w:val="20"/>
                <w:szCs w:val="20"/>
                <w:u w:val="none"/>
                <w:lang w:val="en-US" w:eastAsia="zh-CN" w:bidi="ar"/>
              </w:rPr>
              <w:t>10</w:t>
            </w:r>
          </w:p>
        </w:tc>
        <w:tc>
          <w:tcPr>
            <w:tcW w:w="67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kern w:val="0"/>
                <w:sz w:val="20"/>
                <w:szCs w:val="20"/>
                <w:lang w:bidi="ar"/>
              </w:rPr>
            </w:pPr>
          </w:p>
        </w:tc>
      </w:tr>
      <w:tr>
        <w:tblPrEx>
          <w:tblLayout w:type="fixed"/>
          <w:tblCellMar>
            <w:top w:w="0" w:type="dxa"/>
            <w:left w:w="0" w:type="dxa"/>
            <w:bottom w:w="0" w:type="dxa"/>
            <w:right w:w="0" w:type="dxa"/>
          </w:tblCellMar>
        </w:tblPrEx>
        <w:trPr>
          <w:trHeight w:val="191"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kern w:val="0"/>
                <w:sz w:val="18"/>
                <w:szCs w:val="18"/>
                <w:lang w:bidi="ar"/>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kern w:val="0"/>
                <w:sz w:val="20"/>
                <w:szCs w:val="20"/>
                <w:lang w:bidi="ar"/>
              </w:rPr>
            </w:pPr>
          </w:p>
        </w:tc>
        <w:tc>
          <w:tcPr>
            <w:tcW w:w="859"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20"/>
                <w:szCs w:val="20"/>
                <w:lang w:bidi="ar"/>
              </w:rPr>
            </w:pPr>
            <w:r>
              <w:rPr>
                <w:rFonts w:hint="default" w:ascii="Times New Roman" w:hAnsi="Times New Roman" w:eastAsia="宋体" w:cs="Times New Roman"/>
                <w:i w:val="0"/>
                <w:color w:val="000000"/>
                <w:kern w:val="0"/>
                <w:sz w:val="20"/>
                <w:szCs w:val="20"/>
                <w:u w:val="none"/>
                <w:lang w:val="en-US" w:eastAsia="zh-CN" w:bidi="ar"/>
              </w:rPr>
              <w:t>数量指标</w:t>
            </w:r>
          </w:p>
        </w:tc>
        <w:tc>
          <w:tcPr>
            <w:tcW w:w="1746" w:type="dxa"/>
            <w:gridSpan w:val="2"/>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改造锅炉总蒸吨数（蒸吨）</w:t>
            </w:r>
          </w:p>
        </w:tc>
        <w:tc>
          <w:tcPr>
            <w:tcW w:w="1395" w:type="dxa"/>
            <w:gridSpan w:val="2"/>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20"/>
                <w:szCs w:val="20"/>
                <w:lang w:bidi="ar"/>
              </w:rPr>
            </w:pPr>
            <w:r>
              <w:rPr>
                <w:rFonts w:hint="default" w:ascii="Times New Roman" w:hAnsi="Times New Roman" w:eastAsia="宋体" w:cs="Times New Roman"/>
                <w:i w:val="0"/>
                <w:color w:val="000000"/>
                <w:kern w:val="0"/>
                <w:sz w:val="20"/>
                <w:szCs w:val="20"/>
                <w:u w:val="none"/>
                <w:lang w:val="en-US" w:eastAsia="zh-CN" w:bidi="ar"/>
              </w:rPr>
              <w:t>=230吨</w:t>
            </w:r>
          </w:p>
        </w:tc>
        <w:tc>
          <w:tcPr>
            <w:tcW w:w="833"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20"/>
                <w:szCs w:val="20"/>
                <w:lang w:bidi="ar"/>
              </w:rPr>
            </w:pPr>
            <w:r>
              <w:rPr>
                <w:rFonts w:hint="default" w:ascii="Times New Roman" w:hAnsi="Times New Roman" w:eastAsia="宋体" w:cs="Times New Roman"/>
                <w:i w:val="0"/>
                <w:color w:val="000000"/>
                <w:kern w:val="0"/>
                <w:sz w:val="20"/>
                <w:szCs w:val="20"/>
                <w:u w:val="none"/>
                <w:lang w:val="en-US" w:eastAsia="zh-CN" w:bidi="ar"/>
              </w:rPr>
              <w:t>230吨</w:t>
            </w:r>
          </w:p>
        </w:tc>
        <w:tc>
          <w:tcPr>
            <w:tcW w:w="950" w:type="dxa"/>
            <w:gridSpan w:val="2"/>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20"/>
                <w:szCs w:val="20"/>
                <w:lang w:bidi="ar"/>
              </w:rPr>
            </w:pPr>
            <w:r>
              <w:rPr>
                <w:rFonts w:hint="default" w:ascii="Times New Roman" w:hAnsi="Times New Roman" w:eastAsia="宋体" w:cs="Times New Roman"/>
                <w:i w:val="0"/>
                <w:color w:val="000000"/>
                <w:kern w:val="0"/>
                <w:sz w:val="20"/>
                <w:szCs w:val="20"/>
                <w:u w:val="none"/>
                <w:lang w:val="en-US" w:eastAsia="zh-CN" w:bidi="ar"/>
              </w:rPr>
              <w:t>10</w:t>
            </w:r>
          </w:p>
        </w:tc>
        <w:tc>
          <w:tcPr>
            <w:tcW w:w="675" w:type="dxa"/>
            <w:gridSpan w:val="2"/>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kern w:val="0"/>
                <w:sz w:val="20"/>
                <w:szCs w:val="20"/>
                <w:lang w:bidi="ar"/>
              </w:rPr>
            </w:pPr>
          </w:p>
        </w:tc>
      </w:tr>
      <w:tr>
        <w:tblPrEx>
          <w:tblLayout w:type="fixed"/>
          <w:tblCellMar>
            <w:top w:w="0" w:type="dxa"/>
            <w:left w:w="0" w:type="dxa"/>
            <w:bottom w:w="0" w:type="dxa"/>
            <w:right w:w="0" w:type="dxa"/>
          </w:tblCellMar>
        </w:tblPrEx>
        <w:trPr>
          <w:trHeight w:val="391"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kern w:val="0"/>
                <w:sz w:val="18"/>
                <w:szCs w:val="18"/>
                <w:lang w:bidi="ar"/>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kern w:val="0"/>
                <w:sz w:val="20"/>
                <w:szCs w:val="20"/>
                <w:lang w:bidi="ar"/>
              </w:rPr>
            </w:pPr>
          </w:p>
        </w:tc>
        <w:tc>
          <w:tcPr>
            <w:tcW w:w="859"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质量指标</w:t>
            </w:r>
          </w:p>
        </w:tc>
        <w:tc>
          <w:tcPr>
            <w:tcW w:w="1746" w:type="dxa"/>
            <w:gridSpan w:val="2"/>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工程验收合格率</w:t>
            </w:r>
          </w:p>
        </w:tc>
        <w:tc>
          <w:tcPr>
            <w:tcW w:w="1395" w:type="dxa"/>
            <w:gridSpan w:val="2"/>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20"/>
                <w:szCs w:val="20"/>
                <w:lang w:bidi="ar"/>
              </w:rPr>
            </w:pPr>
            <w:r>
              <w:rPr>
                <w:rFonts w:hint="default" w:ascii="Times New Roman" w:hAnsi="Times New Roman" w:eastAsia="宋体" w:cs="Times New Roman"/>
                <w:i w:val="0"/>
                <w:color w:val="000000"/>
                <w:kern w:val="0"/>
                <w:sz w:val="20"/>
                <w:szCs w:val="20"/>
                <w:u w:val="none"/>
                <w:lang w:val="en-US" w:eastAsia="zh-CN" w:bidi="ar"/>
              </w:rPr>
              <w:t>=100%</w:t>
            </w:r>
          </w:p>
        </w:tc>
        <w:tc>
          <w:tcPr>
            <w:tcW w:w="833"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20"/>
                <w:szCs w:val="20"/>
                <w:lang w:bidi="ar"/>
              </w:rPr>
            </w:pPr>
            <w:r>
              <w:rPr>
                <w:rFonts w:hint="default" w:ascii="Times New Roman" w:hAnsi="Times New Roman" w:eastAsia="宋体" w:cs="Times New Roman"/>
                <w:i w:val="0"/>
                <w:color w:val="000000"/>
                <w:kern w:val="0"/>
                <w:sz w:val="20"/>
                <w:szCs w:val="20"/>
                <w:u w:val="none"/>
                <w:lang w:val="en-US" w:eastAsia="zh-CN" w:bidi="ar"/>
              </w:rPr>
              <w:t>100%</w:t>
            </w:r>
          </w:p>
        </w:tc>
        <w:tc>
          <w:tcPr>
            <w:tcW w:w="950" w:type="dxa"/>
            <w:gridSpan w:val="2"/>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20"/>
                <w:szCs w:val="20"/>
                <w:lang w:bidi="ar"/>
              </w:rPr>
            </w:pPr>
            <w:r>
              <w:rPr>
                <w:rFonts w:hint="default" w:ascii="Times New Roman" w:hAnsi="Times New Roman" w:eastAsia="宋体" w:cs="Times New Roman"/>
                <w:i w:val="0"/>
                <w:color w:val="000000"/>
                <w:kern w:val="0"/>
                <w:sz w:val="20"/>
                <w:szCs w:val="20"/>
                <w:u w:val="none"/>
                <w:lang w:val="en-US" w:eastAsia="zh-CN" w:bidi="ar"/>
              </w:rPr>
              <w:t>10</w:t>
            </w:r>
          </w:p>
        </w:tc>
        <w:tc>
          <w:tcPr>
            <w:tcW w:w="675" w:type="dxa"/>
            <w:gridSpan w:val="2"/>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10</w:t>
            </w:r>
          </w:p>
        </w:tc>
        <w:tc>
          <w:tcPr>
            <w:tcW w:w="1150" w:type="dxa"/>
            <w:gridSpan w:val="2"/>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kern w:val="0"/>
                <w:sz w:val="20"/>
                <w:szCs w:val="20"/>
                <w:lang w:bidi="ar"/>
              </w:rPr>
            </w:pPr>
          </w:p>
        </w:tc>
      </w:tr>
      <w:tr>
        <w:tblPrEx>
          <w:tblLayout w:type="fixed"/>
          <w:tblCellMar>
            <w:top w:w="0" w:type="dxa"/>
            <w:left w:w="0" w:type="dxa"/>
            <w:bottom w:w="0" w:type="dxa"/>
            <w:right w:w="0" w:type="dxa"/>
          </w:tblCellMar>
        </w:tblPrEx>
        <w:trPr>
          <w:trHeight w:val="315"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kern w:val="0"/>
                <w:sz w:val="18"/>
                <w:szCs w:val="18"/>
                <w:lang w:bidi="ar"/>
              </w:rPr>
            </w:pPr>
          </w:p>
        </w:tc>
        <w:tc>
          <w:tcPr>
            <w:tcW w:w="531" w:type="dxa"/>
            <w:vMerge w:val="continue"/>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kern w:val="0"/>
                <w:sz w:val="20"/>
                <w:szCs w:val="20"/>
                <w:lang w:bidi="ar"/>
              </w:rPr>
            </w:pPr>
          </w:p>
        </w:tc>
        <w:tc>
          <w:tcPr>
            <w:tcW w:w="859"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20"/>
                <w:szCs w:val="20"/>
                <w:lang w:bidi="ar"/>
              </w:rPr>
            </w:pPr>
            <w:r>
              <w:rPr>
                <w:rFonts w:hint="default" w:ascii="Times New Roman" w:hAnsi="Times New Roman" w:eastAsia="宋体" w:cs="Times New Roman"/>
                <w:i w:val="0"/>
                <w:color w:val="000000"/>
                <w:kern w:val="0"/>
                <w:sz w:val="20"/>
                <w:szCs w:val="20"/>
                <w:u w:val="none"/>
                <w:lang w:val="en-US" w:eastAsia="zh-CN" w:bidi="ar"/>
              </w:rPr>
              <w:t>时效指标</w:t>
            </w:r>
          </w:p>
        </w:tc>
        <w:tc>
          <w:tcPr>
            <w:tcW w:w="1746" w:type="dxa"/>
            <w:gridSpan w:val="2"/>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项目开工率</w:t>
            </w:r>
          </w:p>
        </w:tc>
        <w:tc>
          <w:tcPr>
            <w:tcW w:w="1395" w:type="dxa"/>
            <w:gridSpan w:val="2"/>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20"/>
                <w:szCs w:val="20"/>
                <w:lang w:bidi="ar"/>
              </w:rPr>
            </w:pPr>
            <w:r>
              <w:rPr>
                <w:rFonts w:hint="default" w:ascii="Times New Roman" w:hAnsi="Times New Roman" w:eastAsia="宋体" w:cs="Times New Roman"/>
                <w:i w:val="0"/>
                <w:color w:val="000000"/>
                <w:kern w:val="0"/>
                <w:sz w:val="20"/>
                <w:szCs w:val="20"/>
                <w:u w:val="none"/>
                <w:lang w:val="en-US" w:eastAsia="zh-CN" w:bidi="ar"/>
              </w:rPr>
              <w:t>=100%</w:t>
            </w:r>
          </w:p>
        </w:tc>
        <w:tc>
          <w:tcPr>
            <w:tcW w:w="833"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20"/>
                <w:szCs w:val="20"/>
                <w:lang w:bidi="ar"/>
              </w:rPr>
            </w:pPr>
            <w:r>
              <w:rPr>
                <w:rFonts w:hint="default" w:ascii="Times New Roman" w:hAnsi="Times New Roman" w:eastAsia="宋体" w:cs="Times New Roman"/>
                <w:i w:val="0"/>
                <w:color w:val="000000"/>
                <w:kern w:val="0"/>
                <w:sz w:val="20"/>
                <w:szCs w:val="20"/>
                <w:u w:val="none"/>
                <w:lang w:val="en-US" w:eastAsia="zh-CN" w:bidi="ar"/>
              </w:rPr>
              <w:t>100%</w:t>
            </w:r>
          </w:p>
        </w:tc>
        <w:tc>
          <w:tcPr>
            <w:tcW w:w="950" w:type="dxa"/>
            <w:gridSpan w:val="2"/>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20"/>
                <w:szCs w:val="20"/>
                <w:lang w:bidi="ar"/>
              </w:rPr>
            </w:pPr>
            <w:r>
              <w:rPr>
                <w:rFonts w:hint="default" w:ascii="Times New Roman" w:hAnsi="Times New Roman" w:eastAsia="宋体" w:cs="Times New Roman"/>
                <w:i w:val="0"/>
                <w:color w:val="000000"/>
                <w:kern w:val="0"/>
                <w:sz w:val="20"/>
                <w:szCs w:val="20"/>
                <w:u w:val="none"/>
                <w:lang w:val="en-US" w:eastAsia="zh-CN" w:bidi="ar"/>
              </w:rPr>
              <w:t>10</w:t>
            </w:r>
          </w:p>
        </w:tc>
        <w:tc>
          <w:tcPr>
            <w:tcW w:w="675" w:type="dxa"/>
            <w:gridSpan w:val="2"/>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kern w:val="0"/>
                <w:sz w:val="20"/>
                <w:szCs w:val="20"/>
                <w:lang w:bidi="ar"/>
              </w:rPr>
            </w:pPr>
          </w:p>
        </w:tc>
      </w:tr>
      <w:tr>
        <w:tblPrEx>
          <w:tblLayout w:type="fixed"/>
          <w:tblCellMar>
            <w:top w:w="0" w:type="dxa"/>
            <w:left w:w="0" w:type="dxa"/>
            <w:bottom w:w="0" w:type="dxa"/>
            <w:right w:w="0" w:type="dxa"/>
          </w:tblCellMar>
        </w:tblPrEx>
        <w:trPr>
          <w:trHeight w:val="327"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kern w:val="0"/>
                <w:sz w:val="18"/>
                <w:szCs w:val="18"/>
                <w:lang w:bidi="ar"/>
              </w:rPr>
            </w:pPr>
          </w:p>
        </w:tc>
        <w:tc>
          <w:tcPr>
            <w:tcW w:w="53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kern w:val="0"/>
                <w:sz w:val="20"/>
                <w:szCs w:val="20"/>
                <w:lang w:bidi="ar"/>
              </w:rPr>
            </w:pPr>
          </w:p>
        </w:tc>
        <w:tc>
          <w:tcPr>
            <w:tcW w:w="859"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时效指标</w:t>
            </w:r>
          </w:p>
        </w:tc>
        <w:tc>
          <w:tcPr>
            <w:tcW w:w="1746" w:type="dxa"/>
            <w:gridSpan w:val="2"/>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项目按期完成率</w:t>
            </w:r>
          </w:p>
        </w:tc>
        <w:tc>
          <w:tcPr>
            <w:tcW w:w="1395" w:type="dxa"/>
            <w:gridSpan w:val="2"/>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20"/>
                <w:szCs w:val="20"/>
                <w:lang w:bidi="ar"/>
              </w:rPr>
            </w:pPr>
            <w:r>
              <w:rPr>
                <w:rFonts w:hint="default" w:ascii="Times New Roman" w:hAnsi="Times New Roman" w:eastAsia="宋体" w:cs="Times New Roman"/>
                <w:i w:val="0"/>
                <w:color w:val="000000"/>
                <w:kern w:val="0"/>
                <w:sz w:val="20"/>
                <w:szCs w:val="20"/>
                <w:u w:val="none"/>
                <w:lang w:val="en-US" w:eastAsia="zh-CN" w:bidi="ar"/>
              </w:rPr>
              <w:t>=100%</w:t>
            </w:r>
          </w:p>
        </w:tc>
        <w:tc>
          <w:tcPr>
            <w:tcW w:w="833"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20"/>
                <w:szCs w:val="20"/>
                <w:lang w:bidi="ar"/>
              </w:rPr>
            </w:pPr>
            <w:r>
              <w:rPr>
                <w:rFonts w:hint="default" w:ascii="Times New Roman" w:hAnsi="Times New Roman" w:eastAsia="宋体" w:cs="Times New Roman"/>
                <w:i w:val="0"/>
                <w:color w:val="000000"/>
                <w:kern w:val="0"/>
                <w:sz w:val="20"/>
                <w:szCs w:val="20"/>
                <w:u w:val="none"/>
                <w:lang w:val="en-US" w:eastAsia="zh-CN" w:bidi="ar"/>
              </w:rPr>
              <w:t>100%</w:t>
            </w:r>
          </w:p>
        </w:tc>
        <w:tc>
          <w:tcPr>
            <w:tcW w:w="950" w:type="dxa"/>
            <w:gridSpan w:val="2"/>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20"/>
                <w:szCs w:val="20"/>
                <w:lang w:bidi="ar"/>
              </w:rPr>
            </w:pPr>
            <w:r>
              <w:rPr>
                <w:rFonts w:hint="default" w:ascii="Times New Roman" w:hAnsi="Times New Roman" w:eastAsia="宋体" w:cs="Times New Roman"/>
                <w:i w:val="0"/>
                <w:color w:val="000000"/>
                <w:kern w:val="0"/>
                <w:sz w:val="20"/>
                <w:szCs w:val="20"/>
                <w:u w:val="none"/>
                <w:lang w:val="en-US" w:eastAsia="zh-CN" w:bidi="ar"/>
              </w:rPr>
              <w:t>10</w:t>
            </w:r>
          </w:p>
        </w:tc>
        <w:tc>
          <w:tcPr>
            <w:tcW w:w="675" w:type="dxa"/>
            <w:gridSpan w:val="2"/>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10</w:t>
            </w:r>
          </w:p>
        </w:tc>
        <w:tc>
          <w:tcPr>
            <w:tcW w:w="1150" w:type="dxa"/>
            <w:gridSpan w:val="2"/>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kern w:val="0"/>
                <w:sz w:val="20"/>
                <w:szCs w:val="20"/>
                <w:lang w:bidi="ar"/>
              </w:rPr>
            </w:pPr>
          </w:p>
        </w:tc>
      </w:tr>
      <w:tr>
        <w:tblPrEx>
          <w:tblLayout w:type="fixed"/>
          <w:tblCellMar>
            <w:top w:w="0" w:type="dxa"/>
            <w:left w:w="0" w:type="dxa"/>
            <w:bottom w:w="0" w:type="dxa"/>
            <w:right w:w="0" w:type="dxa"/>
          </w:tblCellMar>
        </w:tblPrEx>
        <w:trPr>
          <w:trHeight w:val="527"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kern w:val="0"/>
                <w:sz w:val="18"/>
                <w:szCs w:val="18"/>
                <w:lang w:bidi="ar"/>
              </w:rPr>
            </w:pPr>
          </w:p>
        </w:tc>
        <w:tc>
          <w:tcPr>
            <w:tcW w:w="531"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20"/>
                <w:szCs w:val="20"/>
                <w:lang w:bidi="ar"/>
              </w:rPr>
            </w:pPr>
            <w:r>
              <w:rPr>
                <w:rFonts w:hint="default" w:ascii="Times New Roman" w:hAnsi="Times New Roman" w:eastAsia="宋体" w:cs="Times New Roman"/>
                <w:i w:val="0"/>
                <w:color w:val="000000"/>
                <w:kern w:val="0"/>
                <w:sz w:val="20"/>
                <w:szCs w:val="20"/>
                <w:u w:val="none"/>
                <w:lang w:val="en-US" w:eastAsia="zh-CN" w:bidi="ar"/>
              </w:rPr>
              <w:t>效益指标</w:t>
            </w:r>
          </w:p>
        </w:tc>
        <w:tc>
          <w:tcPr>
            <w:tcW w:w="859"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20"/>
                <w:szCs w:val="20"/>
                <w:lang w:bidi="ar"/>
              </w:rPr>
            </w:pPr>
            <w:r>
              <w:rPr>
                <w:rFonts w:hint="default" w:ascii="Times New Roman" w:hAnsi="Times New Roman" w:eastAsia="宋体" w:cs="Times New Roman"/>
                <w:i w:val="0"/>
                <w:color w:val="000000"/>
                <w:kern w:val="0"/>
                <w:sz w:val="20"/>
                <w:szCs w:val="20"/>
                <w:u w:val="none"/>
                <w:lang w:val="en-US" w:eastAsia="zh-CN" w:bidi="ar"/>
              </w:rPr>
              <w:t>生态效益指标</w:t>
            </w:r>
          </w:p>
        </w:tc>
        <w:tc>
          <w:tcPr>
            <w:tcW w:w="1746" w:type="dxa"/>
            <w:gridSpan w:val="2"/>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二氧化硫排放浓度（mg/Nm3）</w:t>
            </w:r>
          </w:p>
        </w:tc>
        <w:tc>
          <w:tcPr>
            <w:tcW w:w="1395" w:type="dxa"/>
            <w:gridSpan w:val="2"/>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20"/>
                <w:szCs w:val="20"/>
                <w:lang w:bidi="ar"/>
              </w:rPr>
            </w:pPr>
            <w:r>
              <w:rPr>
                <w:rFonts w:hint="default" w:ascii="Times New Roman" w:hAnsi="Times New Roman" w:eastAsia="宋体" w:cs="Times New Roman"/>
                <w:i w:val="0"/>
                <w:color w:val="000000"/>
                <w:kern w:val="0"/>
                <w:sz w:val="20"/>
                <w:szCs w:val="20"/>
                <w:u w:val="none"/>
                <w:lang w:val="en-US" w:eastAsia="zh-CN" w:bidi="ar"/>
              </w:rPr>
              <w:t>=35mg/Nm3</w:t>
            </w:r>
          </w:p>
        </w:tc>
        <w:tc>
          <w:tcPr>
            <w:tcW w:w="833"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20"/>
                <w:szCs w:val="20"/>
                <w:lang w:bidi="ar"/>
              </w:rPr>
            </w:pPr>
            <w:r>
              <w:rPr>
                <w:rFonts w:hint="default" w:ascii="Times New Roman" w:hAnsi="Times New Roman" w:eastAsia="宋体" w:cs="Times New Roman"/>
                <w:i w:val="0"/>
                <w:color w:val="000000"/>
                <w:kern w:val="0"/>
                <w:sz w:val="20"/>
                <w:szCs w:val="20"/>
                <w:u w:val="none"/>
                <w:lang w:val="en-US" w:eastAsia="zh-CN" w:bidi="ar"/>
              </w:rPr>
              <w:t>14mg/Nm3</w:t>
            </w:r>
          </w:p>
        </w:tc>
        <w:tc>
          <w:tcPr>
            <w:tcW w:w="950" w:type="dxa"/>
            <w:gridSpan w:val="2"/>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20"/>
                <w:szCs w:val="20"/>
                <w:lang w:bidi="ar"/>
              </w:rPr>
            </w:pPr>
            <w:r>
              <w:rPr>
                <w:rFonts w:hint="default" w:ascii="Times New Roman" w:hAnsi="Times New Roman" w:eastAsia="宋体" w:cs="Times New Roman"/>
                <w:i w:val="0"/>
                <w:color w:val="000000"/>
                <w:kern w:val="0"/>
                <w:sz w:val="20"/>
                <w:szCs w:val="20"/>
                <w:u w:val="none"/>
                <w:lang w:val="en-US" w:eastAsia="zh-CN" w:bidi="ar"/>
              </w:rPr>
              <w:t>10</w:t>
            </w:r>
          </w:p>
        </w:tc>
        <w:tc>
          <w:tcPr>
            <w:tcW w:w="675" w:type="dxa"/>
            <w:gridSpan w:val="2"/>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kern w:val="0"/>
                <w:sz w:val="20"/>
                <w:szCs w:val="20"/>
                <w:lang w:bidi="ar"/>
              </w:rPr>
            </w:pPr>
          </w:p>
        </w:tc>
      </w:tr>
      <w:tr>
        <w:tblPrEx>
          <w:tblLayout w:type="fixed"/>
          <w:tblCellMar>
            <w:top w:w="0" w:type="dxa"/>
            <w:left w:w="0" w:type="dxa"/>
            <w:bottom w:w="0" w:type="dxa"/>
            <w:right w:w="0" w:type="dxa"/>
          </w:tblCellMar>
        </w:tblPrEx>
        <w:trPr>
          <w:trHeight w:val="255"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kern w:val="0"/>
                <w:sz w:val="18"/>
                <w:szCs w:val="18"/>
                <w:lang w:bidi="ar"/>
              </w:rPr>
            </w:pPr>
          </w:p>
        </w:tc>
        <w:tc>
          <w:tcPr>
            <w:tcW w:w="53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kern w:val="0"/>
                <w:sz w:val="20"/>
                <w:szCs w:val="20"/>
                <w:u w:val="none"/>
                <w:lang w:val="en-US" w:eastAsia="zh-CN" w:bidi="ar"/>
              </w:rPr>
            </w:pPr>
          </w:p>
        </w:tc>
        <w:tc>
          <w:tcPr>
            <w:tcW w:w="859" w:type="dxa"/>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生态效益指标</w:t>
            </w:r>
          </w:p>
        </w:tc>
        <w:tc>
          <w:tcPr>
            <w:tcW w:w="1746" w:type="dxa"/>
            <w:gridSpan w:val="2"/>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氮氧化物排放浓度（mg/Nm3）</w:t>
            </w:r>
          </w:p>
        </w:tc>
        <w:tc>
          <w:tcPr>
            <w:tcW w:w="1395" w:type="dxa"/>
            <w:gridSpan w:val="2"/>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20"/>
                <w:szCs w:val="20"/>
                <w:lang w:bidi="ar"/>
              </w:rPr>
            </w:pPr>
            <w:r>
              <w:rPr>
                <w:rFonts w:hint="default" w:ascii="Times New Roman" w:hAnsi="Times New Roman" w:eastAsia="宋体" w:cs="Times New Roman"/>
                <w:i w:val="0"/>
                <w:color w:val="000000"/>
                <w:kern w:val="0"/>
                <w:sz w:val="20"/>
                <w:szCs w:val="20"/>
                <w:u w:val="none"/>
                <w:lang w:val="en-US" w:eastAsia="zh-CN" w:bidi="ar"/>
              </w:rPr>
              <w:t>=50mg/Nm3</w:t>
            </w:r>
          </w:p>
        </w:tc>
        <w:tc>
          <w:tcPr>
            <w:tcW w:w="833" w:type="dxa"/>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20"/>
                <w:szCs w:val="20"/>
                <w:lang w:bidi="ar"/>
              </w:rPr>
            </w:pPr>
            <w:r>
              <w:rPr>
                <w:rFonts w:hint="default" w:ascii="Times New Roman" w:hAnsi="Times New Roman" w:eastAsia="宋体" w:cs="Times New Roman"/>
                <w:i w:val="0"/>
                <w:color w:val="000000"/>
                <w:kern w:val="0"/>
                <w:sz w:val="20"/>
                <w:szCs w:val="20"/>
                <w:u w:val="none"/>
                <w:lang w:val="en-US" w:eastAsia="zh-CN" w:bidi="ar"/>
              </w:rPr>
              <w:t>30mg/Nm3</w:t>
            </w:r>
          </w:p>
        </w:tc>
        <w:tc>
          <w:tcPr>
            <w:tcW w:w="950" w:type="dxa"/>
            <w:gridSpan w:val="2"/>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20"/>
                <w:szCs w:val="20"/>
                <w:lang w:bidi="ar"/>
              </w:rPr>
            </w:pPr>
            <w:r>
              <w:rPr>
                <w:rFonts w:hint="default" w:ascii="Times New Roman" w:hAnsi="Times New Roman" w:eastAsia="宋体" w:cs="Times New Roman"/>
                <w:i w:val="0"/>
                <w:color w:val="000000"/>
                <w:kern w:val="0"/>
                <w:sz w:val="20"/>
                <w:szCs w:val="20"/>
                <w:u w:val="none"/>
                <w:lang w:val="en-US" w:eastAsia="zh-CN" w:bidi="ar"/>
              </w:rPr>
              <w:t>10</w:t>
            </w:r>
          </w:p>
        </w:tc>
        <w:tc>
          <w:tcPr>
            <w:tcW w:w="675" w:type="dxa"/>
            <w:gridSpan w:val="2"/>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10</w:t>
            </w:r>
          </w:p>
        </w:tc>
        <w:tc>
          <w:tcPr>
            <w:tcW w:w="1150" w:type="dxa"/>
            <w:gridSpan w:val="2"/>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kern w:val="0"/>
                <w:sz w:val="20"/>
                <w:szCs w:val="20"/>
                <w:lang w:bidi="ar"/>
              </w:rPr>
            </w:pPr>
          </w:p>
        </w:tc>
      </w:tr>
      <w:tr>
        <w:tblPrEx>
          <w:tblLayout w:type="fixed"/>
          <w:tblCellMar>
            <w:top w:w="0" w:type="dxa"/>
            <w:left w:w="0" w:type="dxa"/>
            <w:bottom w:w="0" w:type="dxa"/>
            <w:right w:w="0" w:type="dxa"/>
          </w:tblCellMar>
        </w:tblPrEx>
        <w:trPr>
          <w:trHeight w:val="225"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kern w:val="0"/>
                <w:sz w:val="18"/>
                <w:szCs w:val="18"/>
                <w:lang w:bidi="ar"/>
              </w:rPr>
            </w:pPr>
          </w:p>
        </w:tc>
        <w:tc>
          <w:tcPr>
            <w:tcW w:w="531" w:type="dxa"/>
            <w:vMerge w:val="continue"/>
            <w:tcBorders>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kern w:val="0"/>
                <w:sz w:val="20"/>
                <w:szCs w:val="20"/>
                <w:u w:val="none"/>
                <w:lang w:val="en-US" w:eastAsia="zh-CN" w:bidi="ar"/>
              </w:rPr>
            </w:pPr>
          </w:p>
        </w:tc>
        <w:tc>
          <w:tcPr>
            <w:tcW w:w="859" w:type="dxa"/>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生态效益指标</w:t>
            </w:r>
          </w:p>
        </w:tc>
        <w:tc>
          <w:tcPr>
            <w:tcW w:w="1746" w:type="dxa"/>
            <w:gridSpan w:val="2"/>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颗粒物排放浓度（mg/Nm3）</w:t>
            </w:r>
          </w:p>
        </w:tc>
        <w:tc>
          <w:tcPr>
            <w:tcW w:w="1395" w:type="dxa"/>
            <w:gridSpan w:val="2"/>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20"/>
                <w:szCs w:val="20"/>
                <w:lang w:bidi="ar"/>
              </w:rPr>
            </w:pPr>
            <w:r>
              <w:rPr>
                <w:rFonts w:hint="default" w:ascii="Times New Roman" w:hAnsi="Times New Roman" w:eastAsia="宋体" w:cs="Times New Roman"/>
                <w:i w:val="0"/>
                <w:color w:val="000000"/>
                <w:kern w:val="0"/>
                <w:sz w:val="20"/>
                <w:szCs w:val="20"/>
                <w:u w:val="none"/>
                <w:lang w:val="en-US" w:eastAsia="zh-CN" w:bidi="ar"/>
              </w:rPr>
              <w:t>=10mg/Nm3</w:t>
            </w:r>
          </w:p>
        </w:tc>
        <w:tc>
          <w:tcPr>
            <w:tcW w:w="833" w:type="dxa"/>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20"/>
                <w:szCs w:val="20"/>
                <w:lang w:bidi="ar"/>
              </w:rPr>
            </w:pPr>
            <w:r>
              <w:rPr>
                <w:rFonts w:hint="default" w:ascii="Times New Roman" w:hAnsi="Times New Roman" w:eastAsia="宋体" w:cs="Times New Roman"/>
                <w:i w:val="0"/>
                <w:color w:val="000000"/>
                <w:kern w:val="0"/>
                <w:sz w:val="20"/>
                <w:szCs w:val="20"/>
                <w:u w:val="none"/>
                <w:lang w:val="en-US" w:eastAsia="zh-CN" w:bidi="ar"/>
              </w:rPr>
              <w:t>7.4mg/Nm3</w:t>
            </w:r>
          </w:p>
        </w:tc>
        <w:tc>
          <w:tcPr>
            <w:tcW w:w="950" w:type="dxa"/>
            <w:gridSpan w:val="2"/>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20"/>
                <w:szCs w:val="20"/>
                <w:lang w:bidi="ar"/>
              </w:rPr>
            </w:pPr>
            <w:r>
              <w:rPr>
                <w:rFonts w:hint="default" w:ascii="Times New Roman" w:hAnsi="Times New Roman" w:eastAsia="宋体" w:cs="Times New Roman"/>
                <w:i w:val="0"/>
                <w:color w:val="000000"/>
                <w:kern w:val="0"/>
                <w:sz w:val="20"/>
                <w:szCs w:val="20"/>
                <w:u w:val="none"/>
                <w:lang w:val="en-US" w:eastAsia="zh-CN" w:bidi="ar"/>
              </w:rPr>
              <w:t>10</w:t>
            </w:r>
          </w:p>
        </w:tc>
        <w:tc>
          <w:tcPr>
            <w:tcW w:w="675" w:type="dxa"/>
            <w:gridSpan w:val="2"/>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10</w:t>
            </w:r>
          </w:p>
        </w:tc>
        <w:tc>
          <w:tcPr>
            <w:tcW w:w="1150" w:type="dxa"/>
            <w:gridSpan w:val="2"/>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kern w:val="0"/>
                <w:sz w:val="20"/>
                <w:szCs w:val="20"/>
                <w:lang w:bidi="ar"/>
              </w:rPr>
            </w:pPr>
          </w:p>
        </w:tc>
      </w:tr>
      <w:tr>
        <w:tblPrEx>
          <w:tblLayout w:type="fixed"/>
          <w:tblCellMar>
            <w:top w:w="0" w:type="dxa"/>
            <w:left w:w="0" w:type="dxa"/>
            <w:bottom w:w="0" w:type="dxa"/>
            <w:right w:w="0" w:type="dxa"/>
          </w:tblCellMar>
        </w:tblPrEx>
        <w:trPr>
          <w:trHeight w:val="215" w:hRule="atLeast"/>
        </w:trPr>
        <w:tc>
          <w:tcPr>
            <w:tcW w:w="695"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kern w:val="0"/>
                <w:sz w:val="18"/>
                <w:szCs w:val="18"/>
                <w:lang w:bidi="ar"/>
              </w:rPr>
            </w:pPr>
          </w:p>
        </w:tc>
        <w:tc>
          <w:tcPr>
            <w:tcW w:w="531"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满意度指标</w:t>
            </w:r>
          </w:p>
        </w:tc>
        <w:tc>
          <w:tcPr>
            <w:tcW w:w="859"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满意度指标</w:t>
            </w:r>
          </w:p>
        </w:tc>
        <w:tc>
          <w:tcPr>
            <w:tcW w:w="1746" w:type="dxa"/>
            <w:gridSpan w:val="2"/>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受益用户满意度</w:t>
            </w:r>
          </w:p>
        </w:tc>
        <w:tc>
          <w:tcPr>
            <w:tcW w:w="1395" w:type="dxa"/>
            <w:gridSpan w:val="2"/>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20"/>
                <w:szCs w:val="20"/>
                <w:lang w:bidi="ar"/>
              </w:rPr>
            </w:pPr>
            <w:r>
              <w:rPr>
                <w:rFonts w:hint="default" w:ascii="Times New Roman" w:hAnsi="Times New Roman" w:eastAsia="宋体" w:cs="Times New Roman"/>
                <w:i w:val="0"/>
                <w:color w:val="000000"/>
                <w:kern w:val="0"/>
                <w:sz w:val="20"/>
                <w:szCs w:val="20"/>
                <w:u w:val="none"/>
                <w:lang w:val="en-US" w:eastAsia="zh-CN" w:bidi="ar"/>
              </w:rPr>
              <w:t>&gt;=90%</w:t>
            </w:r>
          </w:p>
        </w:tc>
        <w:tc>
          <w:tcPr>
            <w:tcW w:w="833"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20"/>
                <w:szCs w:val="20"/>
                <w:lang w:bidi="ar"/>
              </w:rPr>
            </w:pPr>
            <w:r>
              <w:rPr>
                <w:rFonts w:hint="default" w:ascii="Times New Roman" w:hAnsi="Times New Roman" w:eastAsia="宋体" w:cs="Times New Roman"/>
                <w:i w:val="0"/>
                <w:color w:val="000000"/>
                <w:kern w:val="0"/>
                <w:sz w:val="20"/>
                <w:szCs w:val="20"/>
                <w:u w:val="none"/>
                <w:lang w:val="en-US" w:eastAsia="zh-CN" w:bidi="ar"/>
              </w:rPr>
              <w:t>100%</w:t>
            </w:r>
          </w:p>
        </w:tc>
        <w:tc>
          <w:tcPr>
            <w:tcW w:w="950" w:type="dxa"/>
            <w:gridSpan w:val="2"/>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kern w:val="0"/>
                <w:sz w:val="20"/>
                <w:szCs w:val="20"/>
                <w:lang w:bidi="ar"/>
              </w:rPr>
            </w:pPr>
            <w:r>
              <w:rPr>
                <w:rFonts w:hint="default" w:ascii="Times New Roman" w:hAnsi="Times New Roman" w:eastAsia="宋体" w:cs="Times New Roman"/>
                <w:i w:val="0"/>
                <w:color w:val="000000"/>
                <w:kern w:val="0"/>
                <w:sz w:val="20"/>
                <w:szCs w:val="20"/>
                <w:u w:val="none"/>
                <w:lang w:val="en-US" w:eastAsia="zh-CN" w:bidi="ar"/>
              </w:rPr>
              <w:t>10</w:t>
            </w:r>
          </w:p>
        </w:tc>
        <w:tc>
          <w:tcPr>
            <w:tcW w:w="675" w:type="dxa"/>
            <w:gridSpan w:val="2"/>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Times New Roman" w:hAnsi="Times New Roman" w:eastAsia="宋体"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10</w:t>
            </w:r>
          </w:p>
        </w:tc>
        <w:tc>
          <w:tcPr>
            <w:tcW w:w="1150" w:type="dxa"/>
            <w:gridSpan w:val="2"/>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imes New Roman" w:hAnsi="Times New Roman" w:eastAsia="宋体" w:cs="Times New Roman"/>
                <w:kern w:val="0"/>
                <w:sz w:val="20"/>
                <w:szCs w:val="20"/>
                <w:lang w:bidi="ar"/>
              </w:rPr>
            </w:pPr>
          </w:p>
        </w:tc>
      </w:tr>
    </w:tbl>
    <w:p>
      <w:pPr>
        <w:spacing w:line="600" w:lineRule="exact"/>
        <w:rPr>
          <w:rFonts w:hint="default" w:ascii="Times New Roman" w:hAnsi="Times New Roman" w:eastAsia="黑体" w:cs="Times New Roman"/>
          <w:bCs/>
          <w:sz w:val="32"/>
          <w:szCs w:val="32"/>
        </w:rPr>
        <w:sectPr>
          <w:headerReference r:id="rId3" w:type="default"/>
          <w:pgSz w:w="11906" w:h="16838"/>
          <w:pgMar w:top="2098" w:right="1531" w:bottom="1984" w:left="1531" w:header="737" w:footer="850" w:gutter="0"/>
          <w:cols w:space="0" w:num="1"/>
          <w:rtlGutter w:val="0"/>
          <w:docGrid w:type="lines" w:linePitch="411" w:charSpace="0"/>
        </w:sectPr>
      </w:pPr>
    </w:p>
    <w:p>
      <w:pPr>
        <w:pStyle w:val="21"/>
        <w:ind w:firstLine="562"/>
        <w:jc w:val="center"/>
        <w:rPr>
          <w:rFonts w:hint="default" w:ascii="Times New Roman" w:hAnsi="Times New Roman" w:cs="Times New Roman"/>
          <w:sz w:val="28"/>
          <w:szCs w:val="40"/>
        </w:rPr>
      </w:pPr>
      <w:bookmarkStart w:id="20" w:name="_Toc30064_WPSOffice_Level1"/>
      <w:bookmarkStart w:id="21" w:name="_Toc26499_WPSOffice_Level2"/>
      <w:r>
        <w:rPr>
          <w:rFonts w:hint="default" w:ascii="Times New Roman" w:hAnsi="Times New Roman" w:cs="Times New Roman"/>
          <w:b/>
          <w:bCs/>
          <w:sz w:val="28"/>
          <w:szCs w:val="40"/>
          <w:lang w:val="en-US" w:eastAsia="zh-CN"/>
        </w:rPr>
        <w:t>霍尔果斯经济开发区集中供暖环保技改提升</w:t>
      </w:r>
      <w:r>
        <w:rPr>
          <w:rFonts w:hint="default" w:ascii="Times New Roman" w:hAnsi="Times New Roman" w:cs="Times New Roman"/>
          <w:b/>
          <w:bCs/>
          <w:sz w:val="28"/>
          <w:szCs w:val="40"/>
        </w:rPr>
        <w:t>项目绩效评价指标体系及综合评分表</w:t>
      </w:r>
      <w:bookmarkEnd w:id="20"/>
      <w:bookmarkEnd w:id="21"/>
    </w:p>
    <w:tbl>
      <w:tblPr>
        <w:tblStyle w:val="12"/>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一级指标</w:t>
            </w:r>
          </w:p>
        </w:tc>
        <w:tc>
          <w:tcPr>
            <w:tcW w:w="764"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二级指标</w:t>
            </w:r>
          </w:p>
        </w:tc>
        <w:tc>
          <w:tcPr>
            <w:tcW w:w="873"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三级指标</w:t>
            </w:r>
          </w:p>
        </w:tc>
        <w:tc>
          <w:tcPr>
            <w:tcW w:w="2353"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指标解释</w:t>
            </w:r>
          </w:p>
        </w:tc>
        <w:tc>
          <w:tcPr>
            <w:tcW w:w="5198"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指标说明</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权重</w:t>
            </w:r>
          </w:p>
        </w:tc>
        <w:tc>
          <w:tcPr>
            <w:tcW w:w="1363"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p>
            <w:pPr>
              <w:widowControl/>
              <w:spacing w:line="0" w:lineRule="atLeast"/>
              <w:jc w:val="center"/>
              <w:rPr>
                <w:rFonts w:hint="default" w:ascii="Times New Roman" w:hAnsi="Times New Roman" w:cs="Times New Roman"/>
                <w:color w:val="000000"/>
                <w:kern w:val="0"/>
                <w:sz w:val="22"/>
                <w:szCs w:val="22"/>
              </w:rPr>
            </w:pPr>
          </w:p>
          <w:p>
            <w:pPr>
              <w:widowControl/>
              <w:spacing w:line="0" w:lineRule="atLeast"/>
              <w:jc w:val="center"/>
              <w:rPr>
                <w:rFonts w:hint="default" w:ascii="Times New Roman" w:hAnsi="Times New Roman" w:cs="Times New Roman"/>
                <w:color w:val="000000"/>
                <w:kern w:val="0"/>
                <w:sz w:val="22"/>
                <w:szCs w:val="22"/>
              </w:rPr>
            </w:pPr>
          </w:p>
          <w:p>
            <w:pPr>
              <w:widowControl/>
              <w:spacing w:line="0" w:lineRule="atLeast"/>
              <w:jc w:val="center"/>
              <w:rPr>
                <w:rFonts w:hint="default" w:ascii="Times New Roman" w:hAnsi="Times New Roman" w:cs="Times New Roman"/>
                <w:color w:val="000000"/>
                <w:kern w:val="0"/>
                <w:sz w:val="22"/>
                <w:szCs w:val="22"/>
              </w:rPr>
            </w:pPr>
          </w:p>
          <w:p>
            <w:pPr>
              <w:widowControl/>
              <w:spacing w:line="0" w:lineRule="atLeast"/>
              <w:jc w:val="center"/>
              <w:rPr>
                <w:rFonts w:hint="default" w:ascii="Times New Roman" w:hAnsi="Times New Roman" w:cs="Times New Roman"/>
                <w:color w:val="000000"/>
                <w:kern w:val="0"/>
                <w:sz w:val="22"/>
                <w:szCs w:val="22"/>
              </w:rPr>
            </w:pPr>
          </w:p>
          <w:p>
            <w:pPr>
              <w:widowControl/>
              <w:spacing w:line="0" w:lineRule="atLeast"/>
              <w:jc w:val="center"/>
              <w:rPr>
                <w:rFonts w:hint="default" w:ascii="Times New Roman" w:hAnsi="Times New Roman" w:cs="Times New Roman"/>
                <w:color w:val="000000"/>
                <w:kern w:val="0"/>
                <w:sz w:val="22"/>
                <w:szCs w:val="22"/>
              </w:rPr>
            </w:pP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决策　</w:t>
            </w:r>
          </w:p>
        </w:tc>
        <w:tc>
          <w:tcPr>
            <w:tcW w:w="764"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项目立项　</w:t>
            </w:r>
          </w:p>
        </w:tc>
        <w:tc>
          <w:tcPr>
            <w:tcW w:w="873"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立项依据</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充分性</w:t>
            </w:r>
          </w:p>
        </w:tc>
        <w:tc>
          <w:tcPr>
            <w:tcW w:w="2353"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①项目立项是否符合国家法律法规、国民经济发展规划和相关政策；</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②项目立项是否符合行业发展规划和政策要求；</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③项目立项是否与部门职责范围相符，属于部门履职所需；</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④项目是否属于公共财政支持范围，是否符合中央、地方事权支出责任划分原则；</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3</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22"/>
                <w:szCs w:val="22"/>
                <w:highlight w:val="none"/>
                <w:lang w:val="en-US" w:eastAsia="zh-CN"/>
              </w:rPr>
            </w:pPr>
            <w:r>
              <w:rPr>
                <w:rFonts w:hint="default" w:ascii="Times New Roman" w:hAnsi="Times New Roman" w:cs="Times New Roman"/>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64"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立项程序</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规范性</w:t>
            </w:r>
          </w:p>
        </w:tc>
        <w:tc>
          <w:tcPr>
            <w:tcW w:w="2353"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①项目是否按照规定的程序申请设立；</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②审批文件、材料是否符合相关要求；</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3</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22"/>
                <w:szCs w:val="22"/>
                <w:highlight w:val="none"/>
                <w:lang w:eastAsia="zh-CN"/>
              </w:rPr>
            </w:pPr>
            <w:r>
              <w:rPr>
                <w:rFonts w:hint="default" w:ascii="Times New Roman" w:hAnsi="Times New Roman" w:cs="Times New Roman"/>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64"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　</w:t>
            </w:r>
          </w:p>
        </w:tc>
        <w:tc>
          <w:tcPr>
            <w:tcW w:w="873"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合理性</w:t>
            </w:r>
          </w:p>
        </w:tc>
        <w:tc>
          <w:tcPr>
            <w:tcW w:w="2353" w:type="dxa"/>
            <w:shd w:val="clear" w:color="000000"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（如未设定预算绩效目标，也可考核其他工作任务目标）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①项目是否有绩效目标；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②项目绩效目标与实际工作内容是否具有相关性；</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③项目预期产出效益和效果是否符合正常的业绩水平；</w:t>
            </w:r>
          </w:p>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3</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22"/>
                <w:szCs w:val="22"/>
                <w:highlight w:val="none"/>
                <w:lang w:eastAsia="zh-CN"/>
              </w:rPr>
            </w:pPr>
            <w:r>
              <w:rPr>
                <w:rFonts w:hint="default" w:ascii="Times New Roman" w:hAnsi="Times New Roman" w:cs="Times New Roman"/>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64"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绩效指标</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明确性</w:t>
            </w:r>
          </w:p>
        </w:tc>
        <w:tc>
          <w:tcPr>
            <w:tcW w:w="2353" w:type="dxa"/>
            <w:shd w:val="clear" w:color="000000"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①是否将项目绩效目标细化分解为具体的绩效指标；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②是否通过清晰、可衡量的指标值予以体现；</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③是否与项目目标任务数或计划数相对应。</w:t>
            </w:r>
            <w:r>
              <w:rPr>
                <w:rFonts w:hint="default" w:ascii="Times New Roman" w:hAnsi="Times New Roman" w:cs="Times New Roman"/>
                <w:color w:val="000000"/>
                <w:kern w:val="0"/>
                <w:sz w:val="22"/>
                <w:szCs w:val="22"/>
              </w:rPr>
              <w:br w:type="textWrapping"/>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3</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22"/>
                <w:szCs w:val="22"/>
                <w:highlight w:val="none"/>
                <w:lang w:eastAsia="zh-CN"/>
              </w:rPr>
            </w:pPr>
            <w:r>
              <w:rPr>
                <w:rFonts w:hint="default" w:ascii="Times New Roman" w:hAnsi="Times New Roman" w:cs="Times New Roman"/>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64"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资金投入</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873"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预算编制</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科学性</w:t>
            </w:r>
          </w:p>
        </w:tc>
        <w:tc>
          <w:tcPr>
            <w:tcW w:w="2353"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①预算编制是否经过科学论证；</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②预算内容与项目内容是否匹配；</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③预算额度测算依据是否充分，是否按照标准编制；</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4</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22"/>
                <w:szCs w:val="22"/>
                <w:highlight w:val="none"/>
                <w:lang w:eastAsia="zh-CN"/>
              </w:rPr>
            </w:pPr>
            <w:r>
              <w:rPr>
                <w:rFonts w:hint="default" w:ascii="Times New Roman" w:hAnsi="Times New Roman" w:cs="Times New Roman"/>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64"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资金分配</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合理性</w:t>
            </w:r>
          </w:p>
        </w:tc>
        <w:tc>
          <w:tcPr>
            <w:tcW w:w="2353"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①预算资金分配依据是否充分；</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4</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22"/>
                <w:szCs w:val="22"/>
                <w:highlight w:val="none"/>
                <w:lang w:eastAsia="zh-CN"/>
              </w:rPr>
            </w:pPr>
            <w:r>
              <w:rPr>
                <w:rFonts w:hint="default" w:ascii="Times New Roman" w:hAnsi="Times New Roman" w:cs="Times New Roman"/>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rFonts w:hint="default" w:ascii="Times New Roman" w:hAnsi="Times New Roman" w:cs="Times New Roman"/>
                <w:color w:val="000000"/>
                <w:kern w:val="0"/>
                <w:sz w:val="22"/>
                <w:szCs w:val="22"/>
              </w:rPr>
            </w:pPr>
          </w:p>
          <w:p>
            <w:pPr>
              <w:spacing w:line="0" w:lineRule="atLeast"/>
              <w:jc w:val="center"/>
              <w:rPr>
                <w:rFonts w:hint="default" w:ascii="Times New Roman" w:hAnsi="Times New Roman" w:cs="Times New Roman"/>
                <w:color w:val="000000"/>
                <w:kern w:val="0"/>
                <w:sz w:val="22"/>
                <w:szCs w:val="22"/>
              </w:rPr>
            </w:pPr>
          </w:p>
          <w:p>
            <w:pPr>
              <w:spacing w:line="0" w:lineRule="atLeast"/>
              <w:jc w:val="center"/>
              <w:rPr>
                <w:rFonts w:hint="default" w:ascii="Times New Roman" w:hAnsi="Times New Roman" w:cs="Times New Roman"/>
                <w:color w:val="000000"/>
                <w:kern w:val="0"/>
                <w:sz w:val="22"/>
                <w:szCs w:val="22"/>
              </w:rPr>
            </w:pPr>
          </w:p>
          <w:p>
            <w:pPr>
              <w:spacing w:line="0" w:lineRule="atLeast"/>
              <w:jc w:val="center"/>
              <w:rPr>
                <w:rFonts w:hint="default" w:ascii="Times New Roman" w:hAnsi="Times New Roman" w:cs="Times New Roman"/>
                <w:color w:val="000000"/>
                <w:kern w:val="0"/>
                <w:sz w:val="22"/>
                <w:szCs w:val="22"/>
              </w:rPr>
            </w:pPr>
          </w:p>
          <w:p>
            <w:pPr>
              <w:spacing w:line="0" w:lineRule="atLeast"/>
              <w:jc w:val="center"/>
              <w:rPr>
                <w:rFonts w:hint="default" w:ascii="Times New Roman" w:hAnsi="Times New Roman" w:cs="Times New Roman"/>
                <w:color w:val="000000"/>
                <w:kern w:val="0"/>
                <w:sz w:val="22"/>
                <w:szCs w:val="22"/>
              </w:rPr>
            </w:pPr>
          </w:p>
          <w:p>
            <w:pPr>
              <w:spacing w:line="0" w:lineRule="atLeast"/>
              <w:jc w:val="center"/>
              <w:rPr>
                <w:rFonts w:hint="default" w:ascii="Times New Roman" w:hAnsi="Times New Roman" w:cs="Times New Roman"/>
                <w:color w:val="000000"/>
                <w:kern w:val="0"/>
                <w:sz w:val="22"/>
                <w:szCs w:val="22"/>
              </w:rPr>
            </w:pPr>
          </w:p>
          <w:p>
            <w:pPr>
              <w:spacing w:line="0" w:lineRule="atLeast"/>
              <w:jc w:val="center"/>
              <w:rPr>
                <w:rFonts w:hint="default" w:ascii="Times New Roman" w:hAnsi="Times New Roman" w:cs="Times New Roman"/>
                <w:color w:val="000000"/>
                <w:kern w:val="0"/>
                <w:sz w:val="22"/>
                <w:szCs w:val="22"/>
              </w:rPr>
            </w:pPr>
          </w:p>
          <w:p>
            <w:pPr>
              <w:spacing w:line="0" w:lineRule="atLeast"/>
              <w:jc w:val="center"/>
              <w:rPr>
                <w:rFonts w:hint="default" w:ascii="Times New Roman" w:hAnsi="Times New Roman" w:cs="Times New Roman"/>
                <w:color w:val="000000"/>
                <w:kern w:val="0"/>
                <w:sz w:val="22"/>
                <w:szCs w:val="22"/>
              </w:rPr>
            </w:pPr>
          </w:p>
          <w:p>
            <w:pPr>
              <w:spacing w:line="0" w:lineRule="atLeast"/>
              <w:jc w:val="center"/>
              <w:rPr>
                <w:rFonts w:hint="default" w:ascii="Times New Roman" w:hAnsi="Times New Roman" w:cs="Times New Roman"/>
                <w:color w:val="000000"/>
                <w:kern w:val="0"/>
                <w:sz w:val="22"/>
                <w:szCs w:val="22"/>
              </w:rPr>
            </w:pPr>
          </w:p>
          <w:p>
            <w:pPr>
              <w:spacing w:line="0" w:lineRule="atLeast"/>
              <w:jc w:val="center"/>
              <w:rPr>
                <w:rFonts w:hint="default" w:ascii="Times New Roman" w:hAnsi="Times New Roman" w:cs="Times New Roman"/>
                <w:color w:val="000000"/>
                <w:kern w:val="0"/>
                <w:sz w:val="22"/>
                <w:szCs w:val="22"/>
              </w:rPr>
            </w:pPr>
          </w:p>
          <w:p>
            <w:pPr>
              <w:spacing w:line="0" w:lineRule="atLeast"/>
              <w:jc w:val="center"/>
              <w:rPr>
                <w:rFonts w:hint="default" w:ascii="Times New Roman" w:hAnsi="Times New Roman" w:cs="Times New Roman"/>
                <w:color w:val="000000"/>
                <w:kern w:val="0"/>
                <w:sz w:val="22"/>
                <w:szCs w:val="22"/>
              </w:rPr>
            </w:pPr>
          </w:p>
          <w:p>
            <w:pPr>
              <w:spacing w:line="0" w:lineRule="atLeast"/>
              <w:jc w:val="center"/>
              <w:rPr>
                <w:rFonts w:hint="default" w:ascii="Times New Roman" w:hAnsi="Times New Roman" w:cs="Times New Roman"/>
                <w:color w:val="000000"/>
                <w:kern w:val="0"/>
                <w:sz w:val="22"/>
                <w:szCs w:val="22"/>
              </w:rPr>
            </w:pPr>
          </w:p>
          <w:p>
            <w:pPr>
              <w:spacing w:line="0" w:lineRule="atLeast"/>
              <w:jc w:val="center"/>
              <w:rPr>
                <w:rFonts w:hint="default" w:ascii="Times New Roman" w:hAnsi="Times New Roman" w:cs="Times New Roman"/>
                <w:color w:val="000000"/>
                <w:kern w:val="0"/>
                <w:sz w:val="22"/>
                <w:szCs w:val="22"/>
              </w:rPr>
            </w:pPr>
          </w:p>
          <w:p>
            <w:pPr>
              <w:spacing w:line="0" w:lineRule="atLeast"/>
              <w:jc w:val="center"/>
              <w:rPr>
                <w:rFonts w:hint="default" w:ascii="Times New Roman" w:hAnsi="Times New Roman" w:cs="Times New Roman"/>
                <w:color w:val="000000"/>
                <w:kern w:val="0"/>
                <w:sz w:val="22"/>
                <w:szCs w:val="22"/>
              </w:rPr>
            </w:pPr>
          </w:p>
          <w:p>
            <w:pPr>
              <w:spacing w:line="0" w:lineRule="atLeast"/>
              <w:jc w:val="center"/>
              <w:rPr>
                <w:rFonts w:hint="default" w:ascii="Times New Roman" w:hAnsi="Times New Roman" w:cs="Times New Roman"/>
                <w:color w:val="000000"/>
                <w:kern w:val="0"/>
                <w:sz w:val="22"/>
                <w:szCs w:val="22"/>
              </w:rPr>
            </w:pP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过程</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764"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资金管理</w:t>
            </w:r>
          </w:p>
        </w:tc>
        <w:tc>
          <w:tcPr>
            <w:tcW w:w="873"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资金到位率</w:t>
            </w:r>
          </w:p>
        </w:tc>
        <w:tc>
          <w:tcPr>
            <w:tcW w:w="2353" w:type="dxa"/>
            <w:shd w:val="clear" w:color="000000"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资金到位率=（实际到位资金/预算资金）×100%。</w:t>
            </w:r>
          </w:p>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实际到位资金：一定时期（本年度或项目期）内落实到具体项目的资金。</w:t>
            </w:r>
          </w:p>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4</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22"/>
                <w:szCs w:val="22"/>
                <w:highlight w:val="none"/>
                <w:lang w:eastAsia="zh-CN"/>
              </w:rPr>
            </w:pPr>
            <w:r>
              <w:rPr>
                <w:rFonts w:hint="default" w:ascii="Times New Roman" w:hAnsi="Times New Roman" w:cs="Times New Roman"/>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64"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预算执行率</w:t>
            </w:r>
          </w:p>
        </w:tc>
        <w:tc>
          <w:tcPr>
            <w:tcW w:w="2353"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项目预算资金是否按照计划执行，用以反映或考核项目预算执行情况。</w:t>
            </w:r>
          </w:p>
        </w:tc>
        <w:tc>
          <w:tcPr>
            <w:tcW w:w="5198"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预算执行率=（实际支出资金/实际到位资金）×100%。</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4</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22"/>
                <w:szCs w:val="22"/>
                <w:highlight w:val="none"/>
                <w:lang w:eastAsia="zh-CN"/>
              </w:rPr>
            </w:pPr>
            <w:r>
              <w:rPr>
                <w:rFonts w:hint="default" w:ascii="Times New Roman" w:hAnsi="Times New Roman" w:cs="Times New Roman"/>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6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资金管理</w:t>
            </w:r>
          </w:p>
        </w:tc>
        <w:tc>
          <w:tcPr>
            <w:tcW w:w="873"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资金使用</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合规性</w:t>
            </w:r>
          </w:p>
        </w:tc>
        <w:tc>
          <w:tcPr>
            <w:tcW w:w="2353" w:type="dxa"/>
            <w:shd w:val="clear" w:color="000000"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①是否符合国家财经法规和财务管理制度以及有关专项资金管理办法的规定；</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②资金的拨付是否有完整的审批程序和手续；</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③是否符合项目预算批复或合同规定的用途；</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4</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22"/>
                <w:szCs w:val="22"/>
                <w:highlight w:val="none"/>
                <w:lang w:eastAsia="zh-CN"/>
              </w:rPr>
            </w:pPr>
            <w:r>
              <w:rPr>
                <w:rFonts w:hint="default" w:ascii="Times New Roman" w:hAnsi="Times New Roman" w:cs="Times New Roman"/>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64"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组织实施</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873"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管理制度</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健全性</w:t>
            </w:r>
          </w:p>
        </w:tc>
        <w:tc>
          <w:tcPr>
            <w:tcW w:w="2353" w:type="dxa"/>
            <w:shd w:val="clear" w:color="000000"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①是否已制定或具有相应的财务和业务管理制度；</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4</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22"/>
                <w:szCs w:val="22"/>
                <w:highlight w:val="none"/>
                <w:lang w:eastAsia="zh-CN"/>
              </w:rPr>
            </w:pPr>
            <w:r>
              <w:rPr>
                <w:rFonts w:hint="default" w:ascii="Times New Roman" w:hAnsi="Times New Roman" w:cs="Times New Roman"/>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64"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制度执行</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有效性</w:t>
            </w:r>
          </w:p>
        </w:tc>
        <w:tc>
          <w:tcPr>
            <w:tcW w:w="2353" w:type="dxa"/>
            <w:shd w:val="clear" w:color="000000"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①是否遵守相关法律法规和相关管理规定；</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②项目调整及支出调整手续是否完备；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③项目合同书、验收报告、技术鉴定等资料是否齐全并及时归档；</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4</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22"/>
                <w:szCs w:val="22"/>
                <w:highlight w:val="none"/>
                <w:lang w:eastAsia="zh-CN"/>
              </w:rPr>
            </w:pPr>
            <w:r>
              <w:rPr>
                <w:rFonts w:hint="default" w:ascii="Times New Roman" w:hAnsi="Times New Roman" w:cs="Times New Roman"/>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w:t>
            </w:r>
          </w:p>
        </w:tc>
        <w:tc>
          <w:tcPr>
            <w:tcW w:w="76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产出数量</w:t>
            </w:r>
          </w:p>
        </w:tc>
        <w:tc>
          <w:tcPr>
            <w:tcW w:w="873"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实际完成率</w:t>
            </w:r>
          </w:p>
        </w:tc>
        <w:tc>
          <w:tcPr>
            <w:tcW w:w="2353" w:type="dxa"/>
            <w:shd w:val="clear" w:color="000000"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实际完成率=（实际产出数/计划产出数）×100%。</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实际产出数：一定时期（本年度或项目期）内项目实际产出的产品或提供的服务数量。</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10</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22"/>
                <w:szCs w:val="22"/>
                <w:highlight w:val="none"/>
                <w:lang w:val="en-US" w:eastAsia="zh-CN"/>
              </w:rPr>
            </w:pPr>
            <w:r>
              <w:rPr>
                <w:rFonts w:hint="default" w:ascii="Times New Roman" w:hAnsi="Times New Roman" w:cs="Times New Roman"/>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6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产出质量</w:t>
            </w:r>
          </w:p>
        </w:tc>
        <w:tc>
          <w:tcPr>
            <w:tcW w:w="873"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质量达标率</w:t>
            </w:r>
          </w:p>
        </w:tc>
        <w:tc>
          <w:tcPr>
            <w:tcW w:w="2353" w:type="dxa"/>
            <w:shd w:val="clear" w:color="000000"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质量达标率=（质量达标产出数/实际产出数）×100%。</w:t>
            </w:r>
          </w:p>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10</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22"/>
                <w:szCs w:val="22"/>
                <w:highlight w:val="none"/>
                <w:lang w:val="en-US" w:eastAsia="zh-CN"/>
              </w:rPr>
            </w:pPr>
            <w:r>
              <w:rPr>
                <w:rFonts w:hint="default" w:ascii="Times New Roman" w:hAnsi="Times New Roman" w:cs="Times New Roman"/>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64" w:type="dxa"/>
            <w:shd w:val="clear" w:color="auto" w:fill="FFFFFF"/>
            <w:vAlign w:val="center"/>
          </w:tcPr>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产出时效</w:t>
            </w:r>
          </w:p>
        </w:tc>
        <w:tc>
          <w:tcPr>
            <w:tcW w:w="873"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完成及时性</w:t>
            </w:r>
          </w:p>
        </w:tc>
        <w:tc>
          <w:tcPr>
            <w:tcW w:w="2353" w:type="dxa"/>
            <w:shd w:val="clear" w:color="000000"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实际完成时间：项目实施单位完成该项目实际所耗用的时间。</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10</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22"/>
                <w:szCs w:val="22"/>
                <w:highlight w:val="none"/>
                <w:lang w:val="en-US" w:eastAsia="zh-CN"/>
              </w:rPr>
            </w:pPr>
            <w:r>
              <w:rPr>
                <w:rFonts w:hint="default" w:ascii="Times New Roman" w:hAnsi="Times New Roman" w:cs="Times New Roman"/>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6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产出成本</w:t>
            </w:r>
          </w:p>
        </w:tc>
        <w:tc>
          <w:tcPr>
            <w:tcW w:w="873"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成本节约率</w:t>
            </w:r>
          </w:p>
        </w:tc>
        <w:tc>
          <w:tcPr>
            <w:tcW w:w="2353" w:type="dxa"/>
            <w:shd w:val="clear" w:color="000000"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成本节约率=[（计划成本-实际成本）/计划成本]×100%。</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实际成本：项目实施单位如期、保质、保量完成既定工作目标实际所耗费的支出。</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10</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22"/>
                <w:szCs w:val="22"/>
                <w:highlight w:val="none"/>
                <w:lang w:val="en-US" w:eastAsia="zh-CN"/>
              </w:rPr>
            </w:pPr>
            <w:r>
              <w:rPr>
                <w:rFonts w:hint="default" w:ascii="Times New Roman" w:hAnsi="Times New Roman" w:cs="Times New Roman"/>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效益　</w:t>
            </w:r>
          </w:p>
        </w:tc>
        <w:tc>
          <w:tcPr>
            <w:tcW w:w="764"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项目效益　</w:t>
            </w:r>
          </w:p>
        </w:tc>
        <w:tc>
          <w:tcPr>
            <w:tcW w:w="873"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实施效益</w:t>
            </w:r>
          </w:p>
        </w:tc>
        <w:tc>
          <w:tcPr>
            <w:tcW w:w="2353"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项目实施所产生的效益。</w:t>
            </w:r>
          </w:p>
        </w:tc>
        <w:tc>
          <w:tcPr>
            <w:tcW w:w="5198"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10</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22"/>
                <w:szCs w:val="22"/>
                <w:highlight w:val="none"/>
                <w:lang w:val="en-US" w:eastAsia="zh-CN"/>
              </w:rPr>
            </w:pPr>
            <w:r>
              <w:rPr>
                <w:rFonts w:hint="default" w:ascii="Times New Roman" w:hAnsi="Times New Roman" w:cs="Times New Roman"/>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64"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满意度</w:t>
            </w:r>
          </w:p>
        </w:tc>
        <w:tc>
          <w:tcPr>
            <w:tcW w:w="2353" w:type="dxa"/>
            <w:shd w:val="clear" w:color="000000"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社会公众或服务对象对项目实施效果的满意程度。</w:t>
            </w:r>
          </w:p>
        </w:tc>
        <w:tc>
          <w:tcPr>
            <w:tcW w:w="5198" w:type="dxa"/>
            <w:shd w:val="clear" w:color="000000"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10</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22"/>
                <w:szCs w:val="22"/>
                <w:highlight w:val="none"/>
                <w:lang w:val="en-US" w:eastAsia="zh-CN"/>
              </w:rPr>
            </w:pPr>
            <w:r>
              <w:rPr>
                <w:rFonts w:hint="default" w:ascii="Times New Roman" w:hAnsi="Times New Roman" w:cs="Times New Roman"/>
                <w:b/>
                <w:bCs/>
                <w:color w:val="000000"/>
                <w:kern w:val="0"/>
                <w:sz w:val="22"/>
                <w:szCs w:val="22"/>
                <w:highlight w:val="none"/>
                <w:lang w:val="en-US" w:eastAsia="zh-CN"/>
              </w:rPr>
              <w:t>10</w:t>
            </w:r>
          </w:p>
        </w:tc>
      </w:tr>
    </w:tbl>
    <w:p>
      <w:pPr>
        <w:rPr>
          <w:rFonts w:hint="default" w:ascii="Times New Roman" w:hAnsi="Times New Roman" w:cs="Times New Roman"/>
        </w:rPr>
      </w:pPr>
    </w:p>
    <w:sectPr>
      <w:pgSz w:w="16838" w:h="11906" w:orient="landscape"/>
      <w:pgMar w:top="2098" w:right="1531" w:bottom="1984" w:left="1531" w:header="737" w:footer="850" w:gutter="0"/>
      <w:cols w:space="0" w:num="1"/>
      <w:rtlGutter w:val="0"/>
      <w:docGrid w:type="lines" w:linePitch="41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42717433"/>
    <w:multiLevelType w:val="singleLevel"/>
    <w:tmpl w:val="4271743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205"/>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wNWM2OWI1ZWI0MDQzZjY5YzE4ZTJiNjRmZjMxZmIifQ=="/>
  </w:docVars>
  <w:rsids>
    <w:rsidRoot w:val="007D49C5"/>
    <w:rsid w:val="000D63FA"/>
    <w:rsid w:val="005B64E8"/>
    <w:rsid w:val="00614288"/>
    <w:rsid w:val="00670592"/>
    <w:rsid w:val="00792CFE"/>
    <w:rsid w:val="007D49C5"/>
    <w:rsid w:val="008175E0"/>
    <w:rsid w:val="008C631D"/>
    <w:rsid w:val="00A114ED"/>
    <w:rsid w:val="00B24331"/>
    <w:rsid w:val="01583141"/>
    <w:rsid w:val="05253FFE"/>
    <w:rsid w:val="0F2A6BF7"/>
    <w:rsid w:val="109627EE"/>
    <w:rsid w:val="17136327"/>
    <w:rsid w:val="181871E2"/>
    <w:rsid w:val="19166846"/>
    <w:rsid w:val="20E92B23"/>
    <w:rsid w:val="22674906"/>
    <w:rsid w:val="22AC2218"/>
    <w:rsid w:val="24F464E7"/>
    <w:rsid w:val="2729052F"/>
    <w:rsid w:val="28C14634"/>
    <w:rsid w:val="2EC724D4"/>
    <w:rsid w:val="2EE30257"/>
    <w:rsid w:val="34DA27CE"/>
    <w:rsid w:val="36411DC5"/>
    <w:rsid w:val="36B72533"/>
    <w:rsid w:val="4057649F"/>
    <w:rsid w:val="450B6AE4"/>
    <w:rsid w:val="54873A1A"/>
    <w:rsid w:val="56796849"/>
    <w:rsid w:val="568F383B"/>
    <w:rsid w:val="5D555EEF"/>
    <w:rsid w:val="5DA95371"/>
    <w:rsid w:val="620C415B"/>
    <w:rsid w:val="686F7714"/>
    <w:rsid w:val="6A862BA8"/>
    <w:rsid w:val="6DFC1C65"/>
    <w:rsid w:val="75FA041F"/>
    <w:rsid w:val="760F49BD"/>
    <w:rsid w:val="76E870A0"/>
    <w:rsid w:val="7AE40DD7"/>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4"/>
    <w:basedOn w:val="1"/>
    <w:next w:val="1"/>
    <w:semiHidden/>
    <w:unhideWhenUsed/>
    <w:qFormat/>
    <w:uiPriority w:val="9"/>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6">
    <w:name w:val="Normal Indent"/>
    <w:basedOn w:val="1"/>
    <w:qFormat/>
    <w:uiPriority w:val="0"/>
    <w:pPr>
      <w:ind w:firstLine="420" w:firstLineChars="200"/>
    </w:pPr>
  </w:style>
  <w:style w:type="paragraph" w:styleId="7">
    <w:name w:val="annotation text"/>
    <w:basedOn w:val="1"/>
    <w:qFormat/>
    <w:uiPriority w:val="0"/>
    <w:pPr>
      <w:jc w:val="left"/>
    </w:pPr>
  </w:style>
  <w:style w:type="paragraph" w:styleId="8">
    <w:name w:val="footer"/>
    <w:basedOn w:val="1"/>
    <w:link w:val="20"/>
    <w:semiHidden/>
    <w:unhideWhenUsed/>
    <w:qFormat/>
    <w:uiPriority w:val="99"/>
    <w:pPr>
      <w:tabs>
        <w:tab w:val="center" w:pos="4153"/>
        <w:tab w:val="right" w:pos="8306"/>
      </w:tabs>
      <w:snapToGrid w:val="0"/>
      <w:jc w:val="left"/>
    </w:pPr>
    <w:rPr>
      <w:sz w:val="18"/>
      <w:szCs w:val="18"/>
    </w:rPr>
  </w:style>
  <w:style w:type="paragraph" w:styleId="9">
    <w:name w:val="header"/>
    <w:basedOn w:val="1"/>
    <w:link w:val="1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1">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4">
    <w:name w:val="Strong"/>
    <w:qFormat/>
    <w:uiPriority w:val="0"/>
    <w:rPr>
      <w:b/>
      <w:bCs/>
    </w:rPr>
  </w:style>
  <w:style w:type="character" w:styleId="15">
    <w:name w:val="Hyperlink"/>
    <w:basedOn w:val="13"/>
    <w:unhideWhenUsed/>
    <w:qFormat/>
    <w:uiPriority w:val="99"/>
    <w:rPr>
      <w:color w:val="0563C1" w:themeColor="hyperlink"/>
      <w:u w:val="single"/>
      <w14:textFill>
        <w14:solidFill>
          <w14:schemeClr w14:val="hlink"/>
        </w14:solidFill>
      </w14:textFill>
    </w:rPr>
  </w:style>
  <w:style w:type="character" w:customStyle="1" w:styleId="16">
    <w:name w:val="标题 1 Char"/>
    <w:basedOn w:val="13"/>
    <w:link w:val="3"/>
    <w:qFormat/>
    <w:uiPriority w:val="9"/>
    <w:rPr>
      <w:rFonts w:ascii="Times New Roman" w:hAnsi="Times New Roman" w:eastAsia="仿宋_GB2312" w:cs="Times New Roman"/>
      <w:b/>
      <w:bCs/>
      <w:kern w:val="44"/>
      <w:sz w:val="44"/>
      <w:szCs w:val="44"/>
    </w:rPr>
  </w:style>
  <w:style w:type="character" w:customStyle="1" w:styleId="17">
    <w:name w:val="标题 2 Char"/>
    <w:basedOn w:val="13"/>
    <w:link w:val="4"/>
    <w:qFormat/>
    <w:uiPriority w:val="9"/>
    <w:rPr>
      <w:rFonts w:asciiTheme="majorHAnsi" w:hAnsiTheme="majorHAnsi" w:eastAsiaTheme="majorEastAsia" w:cstheme="majorBidi"/>
      <w:b/>
      <w:bCs/>
      <w:sz w:val="32"/>
      <w:szCs w:val="32"/>
    </w:rPr>
  </w:style>
  <w:style w:type="paragraph" w:customStyle="1" w:styleId="18">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9">
    <w:name w:val="页眉 Char"/>
    <w:basedOn w:val="13"/>
    <w:link w:val="9"/>
    <w:semiHidden/>
    <w:qFormat/>
    <w:uiPriority w:val="99"/>
    <w:rPr>
      <w:rFonts w:ascii="Times New Roman" w:hAnsi="Times New Roman" w:eastAsia="仿宋_GB2312" w:cs="Times New Roman"/>
      <w:sz w:val="18"/>
      <w:szCs w:val="18"/>
    </w:rPr>
  </w:style>
  <w:style w:type="character" w:customStyle="1" w:styleId="20">
    <w:name w:val="页脚 Char"/>
    <w:basedOn w:val="13"/>
    <w:link w:val="8"/>
    <w:semiHidden/>
    <w:qFormat/>
    <w:uiPriority w:val="99"/>
    <w:rPr>
      <w:rFonts w:ascii="Times New Roman" w:hAnsi="Times New Roman" w:eastAsia="仿宋_GB2312" w:cs="Times New Roman"/>
      <w:sz w:val="18"/>
      <w:szCs w:val="18"/>
    </w:rPr>
  </w:style>
  <w:style w:type="paragraph" w:customStyle="1" w:styleId="21">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5042</Words>
  <Characters>5242</Characters>
  <Lines>37</Lines>
  <Paragraphs>10</Paragraphs>
  <TotalTime>20</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2024-04-25T08:29:20Z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474120B5BAEA43AFB94531B1C8881849</vt:lpwstr>
  </property>
</Properties>
</file>