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ascii="宋体" w:hAnsi="宋体" w:eastAsia="宋体" w:cs="Arial"/>
          <w:b/>
          <w:bCs/>
          <w:sz w:val="48"/>
          <w:szCs w:val="48"/>
        </w:rPr>
      </w:pPr>
    </w:p>
    <w:p>
      <w:pPr>
        <w:jc w:val="center"/>
        <w:rPr>
          <w:rFonts w:ascii="宋体" w:hAnsi="宋体" w:eastAsia="宋体" w:cs="Arial"/>
          <w:b/>
          <w:bCs/>
          <w:sz w:val="48"/>
          <w:szCs w:val="48"/>
        </w:rPr>
      </w:pPr>
    </w:p>
    <w:p>
      <w:pPr>
        <w:jc w:val="center"/>
        <w:rPr>
          <w:rFonts w:ascii="宋体" w:hAnsi="宋体" w:eastAsia="宋体" w:cs="Arial"/>
          <w:b/>
          <w:bCs/>
          <w:sz w:val="48"/>
          <w:szCs w:val="48"/>
        </w:rPr>
      </w:pPr>
    </w:p>
    <w:p>
      <w:pPr>
        <w:spacing w:line="540" w:lineRule="exact"/>
        <w:jc w:val="center"/>
        <w:rPr>
          <w:rFonts w:eastAsia="方正小标宋_GBK"/>
          <w:kern w:val="0"/>
          <w:sz w:val="48"/>
          <w:szCs w:val="48"/>
        </w:rPr>
      </w:pPr>
      <w:r>
        <w:rPr>
          <w:rFonts w:hint="eastAsia" w:eastAsia="方正小标宋_GBK"/>
          <w:kern w:val="0"/>
          <w:sz w:val="48"/>
          <w:szCs w:val="48"/>
        </w:rPr>
        <w:t>村医、市聘工勤工资及社保缴费</w:t>
      </w:r>
      <w:r>
        <w:rPr>
          <w:rFonts w:eastAsia="方正小标宋_GBK"/>
          <w:kern w:val="0"/>
          <w:sz w:val="48"/>
          <w:szCs w:val="48"/>
        </w:rPr>
        <w:t>资金项目支出绩效评价报告</w:t>
      </w:r>
    </w:p>
    <w:p>
      <w:pPr>
        <w:jc w:val="center"/>
        <w:rPr>
          <w:rFonts w:ascii="宋体" w:hAnsi="宋体" w:eastAsia="宋体" w:cs="Arial"/>
          <w:b/>
          <w:bCs/>
          <w:sz w:val="48"/>
          <w:szCs w:val="48"/>
        </w:rPr>
      </w:pPr>
    </w:p>
    <w:p>
      <w:pPr>
        <w:widowControl/>
        <w:spacing w:line="560" w:lineRule="exact"/>
        <w:jc w:val="center"/>
        <w:rPr>
          <w:rFonts w:ascii="仿宋_GB2312" w:hAnsi="仿宋_GB2312" w:cs="仿宋_GB2312"/>
          <w:b/>
          <w:kern w:val="0"/>
          <w:sz w:val="50"/>
          <w:szCs w:val="50"/>
          <w:lang w:bidi="en-US"/>
        </w:rPr>
      </w:pPr>
      <w:r>
        <w:rPr>
          <w:rFonts w:hint="eastAsia" w:ascii="红豆小标宋简体" w:hAnsi="红豆小标宋简体" w:eastAsia="红豆小标宋简体" w:cs="红豆小标宋简体"/>
          <w:color w:val="000000"/>
          <w:kern w:val="0"/>
          <w:sz w:val="36"/>
          <w:szCs w:val="36"/>
        </w:rPr>
        <w:t>（2</w:t>
      </w:r>
      <w:r>
        <w:rPr>
          <w:rFonts w:ascii="红豆小标宋简体" w:hAnsi="红豆小标宋简体" w:eastAsia="红豆小标宋简体" w:cs="红豆小标宋简体"/>
          <w:color w:val="000000"/>
          <w:kern w:val="0"/>
          <w:sz w:val="36"/>
          <w:szCs w:val="36"/>
        </w:rPr>
        <w:t>02</w:t>
      </w:r>
      <w:r>
        <w:rPr>
          <w:rFonts w:hint="eastAsia" w:ascii="红豆小标宋简体" w:hAnsi="红豆小标宋简体" w:eastAsia="红豆小标宋简体" w:cs="红豆小标宋简体"/>
          <w:color w:val="000000"/>
          <w:kern w:val="0"/>
          <w:sz w:val="36"/>
          <w:szCs w:val="36"/>
        </w:rPr>
        <w:t>3年度）</w:t>
      </w: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480" w:lineRule="auto"/>
        <w:jc w:val="center"/>
        <w:rPr>
          <w:rFonts w:ascii="仿宋_GB2312" w:hAnsi="仿宋_GB2312" w:cs="仿宋_GB2312"/>
          <w:b/>
          <w:kern w:val="0"/>
          <w:sz w:val="50"/>
          <w:szCs w:val="50"/>
          <w:lang w:bidi="en-US"/>
        </w:rPr>
      </w:pP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　　　　项目名称：村医、市聘工勤工资及社保缴费</w:t>
      </w:r>
    </w:p>
    <w:p>
      <w:pPr>
        <w:spacing w:line="560" w:lineRule="exact"/>
        <w:rPr>
          <w:rFonts w:ascii="宋体" w:hAnsi="宋体" w:eastAsia="宋体" w:cs="宋体"/>
          <w:kern w:val="0"/>
          <w:sz w:val="32"/>
          <w:szCs w:val="32"/>
        </w:rPr>
      </w:pPr>
      <w:r>
        <w:rPr>
          <w:rFonts w:hint="eastAsia" w:ascii="宋体" w:hAnsi="宋体" w:eastAsia="宋体" w:cs="仿宋_GB2312"/>
          <w:b/>
          <w:bCs/>
          <w:color w:val="000000"/>
          <w:kern w:val="0"/>
          <w:sz w:val="32"/>
          <w:szCs w:val="32"/>
        </w:rPr>
        <w:t>　　　　　实施单位（公章）：霍尔果斯伊车嘎善锡伯乡卫生院</w:t>
      </w:r>
    </w:p>
    <w:p>
      <w:pPr>
        <w:spacing w:line="560" w:lineRule="exact"/>
        <w:rPr>
          <w:rFonts w:ascii="宋体" w:hAnsi="宋体" w:eastAsia="宋体" w:cs="宋体"/>
          <w:kern w:val="0"/>
          <w:sz w:val="32"/>
          <w:szCs w:val="32"/>
        </w:rPr>
      </w:pPr>
      <w:r>
        <w:rPr>
          <w:rFonts w:hint="eastAsia" w:ascii="宋体" w:hAnsi="宋体" w:eastAsia="宋体" w:cs="仿宋_GB2312"/>
          <w:b/>
          <w:bCs/>
          <w:color w:val="000000"/>
          <w:kern w:val="0"/>
          <w:sz w:val="32"/>
          <w:szCs w:val="32"/>
        </w:rPr>
        <w:t>　　　　　主管部门（公章）：霍尔果斯市卫生健康委员会</w:t>
      </w:r>
    </w:p>
    <w:p>
      <w:pPr>
        <w:spacing w:line="560" w:lineRule="exact"/>
        <w:ind w:firstLine="321" w:firstLineChars="100"/>
        <w:rPr>
          <w:rFonts w:ascii="宋体" w:hAnsi="宋体" w:eastAsia="宋体" w:cs="宋体"/>
          <w:kern w:val="0"/>
          <w:sz w:val="32"/>
          <w:szCs w:val="32"/>
        </w:rPr>
      </w:pPr>
      <w:r>
        <w:rPr>
          <w:rFonts w:hint="eastAsia" w:ascii="宋体" w:hAnsi="宋体" w:eastAsia="宋体" w:cs="仿宋_GB2312"/>
          <w:b/>
          <w:bCs/>
          <w:color w:val="000000"/>
          <w:kern w:val="0"/>
          <w:sz w:val="32"/>
          <w:szCs w:val="32"/>
        </w:rPr>
        <w:t>　　　　项目负责人（签章）：王倩</w:t>
      </w:r>
    </w:p>
    <w:p>
      <w:pPr>
        <w:spacing w:line="560" w:lineRule="exact"/>
        <w:ind w:firstLine="321" w:firstLineChars="100"/>
        <w:rPr>
          <w:rFonts w:ascii="宋体" w:hAnsi="宋体" w:eastAsia="宋体" w:cs="仿宋_GB2312"/>
          <w:color w:val="000000"/>
          <w:kern w:val="0"/>
          <w:sz w:val="32"/>
          <w:szCs w:val="32"/>
        </w:rPr>
      </w:pPr>
      <w:r>
        <w:rPr>
          <w:rFonts w:hint="eastAsia" w:ascii="宋体" w:hAnsi="宋体" w:eastAsia="宋体" w:cs="仿宋_GB2312"/>
          <w:b/>
          <w:bCs/>
          <w:color w:val="000000"/>
          <w:kern w:val="0"/>
          <w:sz w:val="32"/>
          <w:szCs w:val="32"/>
        </w:rPr>
        <w:t>　　　　填报时间：</w:t>
      </w:r>
      <w:r>
        <w:rPr>
          <w:rFonts w:hint="eastAsia" w:ascii="宋体" w:hAnsi="宋体" w:eastAsia="宋体" w:cs="仿宋_GB2312"/>
          <w:color w:val="000000"/>
          <w:kern w:val="0"/>
          <w:sz w:val="32"/>
          <w:szCs w:val="32"/>
        </w:rPr>
        <w:t>2024年4月17日</w:t>
      </w:r>
    </w:p>
    <w:p>
      <w:pPr>
        <w:widowControl/>
        <w:jc w:val="left"/>
        <w:rPr>
          <w:rFonts w:ascii="宋体" w:hAnsi="宋体" w:eastAsia="宋体" w:cs="Arial"/>
          <w:b/>
          <w:bCs/>
          <w:sz w:val="36"/>
          <w:szCs w:val="36"/>
        </w:rPr>
      </w:pPr>
      <w:r>
        <w:rPr>
          <w:rFonts w:ascii="宋体" w:hAnsi="宋体" w:eastAsia="宋体" w:cs="Arial"/>
          <w:b/>
          <w:bCs/>
          <w:sz w:val="36"/>
          <w:szCs w:val="36"/>
        </w:rPr>
        <w:br w:type="page"/>
      </w:r>
    </w:p>
    <w:p>
      <w:pPr>
        <w:numPr>
          <w:ilvl w:val="0"/>
          <w:numId w:val="1"/>
        </w:numPr>
        <w:spacing w:line="560" w:lineRule="exact"/>
        <w:rPr>
          <w:rFonts w:eastAsia="黑体"/>
          <w:bCs/>
          <w:sz w:val="32"/>
          <w:szCs w:val="32"/>
        </w:rPr>
      </w:pPr>
      <w:bookmarkStart w:id="0" w:name="_Toc68703827"/>
      <w:r>
        <w:rPr>
          <w:rFonts w:hint="eastAsia" w:eastAsia="黑体"/>
          <w:bCs/>
          <w:sz w:val="32"/>
          <w:szCs w:val="32"/>
        </w:rPr>
        <w:t>基本情况</w:t>
      </w:r>
      <w:bookmarkEnd w:id="0"/>
      <w:bookmarkStart w:id="1" w:name="_Toc68703828"/>
    </w:p>
    <w:p>
      <w:pPr>
        <w:spacing w:line="560" w:lineRule="exact"/>
        <w:rPr>
          <w:rFonts w:eastAsia="楷体_GB2312"/>
          <w:b/>
          <w:bCs/>
          <w:sz w:val="32"/>
          <w:szCs w:val="32"/>
        </w:rPr>
      </w:pPr>
      <w:r>
        <w:rPr>
          <w:rFonts w:hint="eastAsia" w:eastAsia="楷体_GB2312"/>
          <w:b/>
          <w:bCs/>
          <w:sz w:val="32"/>
          <w:szCs w:val="32"/>
        </w:rPr>
        <w:t>（一）项目概况</w:t>
      </w:r>
      <w:bookmarkEnd w:id="1"/>
    </w:p>
    <w:p>
      <w:pPr>
        <w:spacing w:line="560" w:lineRule="exact"/>
      </w:pPr>
      <w:r>
        <w:rPr>
          <w:rFonts w:hint="eastAsia"/>
          <w:sz w:val="32"/>
          <w:szCs w:val="32"/>
        </w:rPr>
        <w:t>　1.项目背景：</w:t>
      </w:r>
    </w:p>
    <w:p>
      <w:pPr>
        <w:spacing w:line="560" w:lineRule="exact"/>
        <w:ind w:firstLine="640" w:firstLineChars="200"/>
        <w:rPr>
          <w:rFonts w:ascii="仿宋_GB2312"/>
          <w:sz w:val="32"/>
          <w:szCs w:val="32"/>
        </w:rPr>
      </w:pPr>
      <w:r>
        <w:rPr>
          <w:rFonts w:hint="eastAsia" w:ascii="仿宋_GB2312"/>
          <w:sz w:val="32"/>
          <w:szCs w:val="32"/>
        </w:rPr>
        <w:t>本项目依据《中共中央 国务院关于全面实施预算绩效管理的意见》（中发〔2018〕34号）、《关于印发&lt;乌鲁木齐市本级部门预算绩效目标管理暂行办法&gt;的通知》（乌财预</w:t>
      </w:r>
      <w:bookmarkStart w:id="2" w:name="_Hlk67566397"/>
      <w:r>
        <w:rPr>
          <w:rFonts w:hint="eastAsia" w:ascii="仿宋_GB2312"/>
          <w:sz w:val="32"/>
          <w:szCs w:val="32"/>
        </w:rPr>
        <w:t>〔2018〕56号</w:t>
      </w:r>
      <w:bookmarkEnd w:id="2"/>
      <w:r>
        <w:rPr>
          <w:rFonts w:hint="eastAsia" w:ascii="仿宋_GB2312"/>
          <w:sz w:val="32"/>
          <w:szCs w:val="32"/>
        </w:rPr>
        <w:t>）、《关于做好2019年部门预算项目支出绩效目标管理有关事宜的通知》（乌财预〔2018〕76号）和《项目支出绩效评价管理办法》（财预〔2020〕10号）等文件要求，结合项目开展情况，按照“谁申请资金，谁编制目标”的原则和规定的方法、程序，科学合理编制。绩效目标作为对预期指标的细化和量化描述，主要包括产出指标、效益指标和满意度指标。按照指向明确、细化量化、合理可行和相应匹配的要求，设定三级绩效目标（数量指标、质量指标、时效指标、成本指标、效益指标、满意度指标），以准确、清晰地反映财政资金在使用期所能达到的预期产出和效果。</w:t>
      </w:r>
    </w:p>
    <w:p>
      <w:pPr>
        <w:spacing w:line="560" w:lineRule="exact"/>
        <w:rPr>
          <w:sz w:val="32"/>
          <w:szCs w:val="32"/>
        </w:rPr>
      </w:pPr>
      <w:r>
        <w:rPr>
          <w:rFonts w:hint="eastAsia"/>
          <w:sz w:val="32"/>
          <w:szCs w:val="32"/>
        </w:rPr>
        <w:t>　2.主要内容及实施情况</w:t>
      </w:r>
    </w:p>
    <w:p>
      <w:pPr>
        <w:spacing w:line="560" w:lineRule="exact"/>
        <w:ind w:firstLine="640" w:firstLineChars="200"/>
        <w:rPr>
          <w:rFonts w:ascii="仿宋_GB2312" w:hAnsi="仿宋"/>
          <w:sz w:val="32"/>
          <w:szCs w:val="32"/>
        </w:rPr>
      </w:pPr>
      <w:r>
        <w:rPr>
          <w:rFonts w:hint="eastAsia" w:ascii="仿宋_GB2312"/>
          <w:sz w:val="32"/>
          <w:szCs w:val="32"/>
        </w:rPr>
        <w:t>主要内容：主要内容：</w:t>
      </w:r>
      <w:r>
        <w:rPr>
          <w:rFonts w:hint="eastAsia" w:ascii="仿宋_GB2312" w:hAnsi="仿宋"/>
          <w:sz w:val="32"/>
          <w:szCs w:val="32"/>
        </w:rPr>
        <w:t>霍尔果斯市伊车嘎善锡伯乡卫生院村医、工勤人员工资及社保缴纳项目预算安排资金数为35.02万元。为村医、市聘工勤人员提供良好的待遇保障，保证村卫生室的各项工作正常运转，改善农村看病及诊疗条件，该项目的实施促进村医队伍建设和农村医疗卫生事业的发展。确保项目按时完成，并达到相应要求。</w:t>
      </w:r>
    </w:p>
    <w:p>
      <w:pPr>
        <w:spacing w:line="560" w:lineRule="exact"/>
        <w:ind w:firstLine="640" w:firstLineChars="200"/>
        <w:rPr>
          <w:rFonts w:ascii="仿宋_GB2312" w:hAnsi="仿宋"/>
          <w:sz w:val="32"/>
          <w:szCs w:val="32"/>
        </w:rPr>
      </w:pPr>
      <w:r>
        <w:rPr>
          <w:rFonts w:hint="eastAsia" w:ascii="仿宋_GB2312" w:hAnsi="仿宋"/>
          <w:sz w:val="32"/>
          <w:szCs w:val="32"/>
        </w:rPr>
        <w:t>根据预算安排，每月按月发放工资、缴纳社保；</w:t>
      </w:r>
    </w:p>
    <w:p>
      <w:pPr>
        <w:spacing w:line="560" w:lineRule="exact"/>
        <w:ind w:firstLine="640" w:firstLineChars="200"/>
        <w:rPr>
          <w:rFonts w:ascii="仿宋_GB2312"/>
          <w:color w:val="FF0000"/>
          <w:sz w:val="32"/>
          <w:szCs w:val="32"/>
        </w:rPr>
      </w:pPr>
      <w:r>
        <w:rPr>
          <w:rFonts w:hint="eastAsia" w:ascii="仿宋_GB2312" w:hAnsi="仿宋"/>
          <w:sz w:val="32"/>
          <w:szCs w:val="32"/>
        </w:rPr>
        <w:t>（2）保障人员工资福利支出，保证学卫生院及村卫生室正常运转。</w:t>
      </w:r>
    </w:p>
    <w:p>
      <w:pPr>
        <w:spacing w:line="560" w:lineRule="exact"/>
        <w:ind w:firstLine="640" w:firstLineChars="200"/>
      </w:pPr>
      <w:r>
        <w:rPr>
          <w:rFonts w:hint="eastAsia" w:ascii="仿宋_GB2312"/>
          <w:sz w:val="32"/>
          <w:szCs w:val="32"/>
        </w:rPr>
        <w:t>实施情况：</w:t>
      </w:r>
      <w:r>
        <w:rPr>
          <w:sz w:val="32"/>
          <w:szCs w:val="32"/>
        </w:rPr>
        <w:t>项目目前已经完成实际设立的目标，项目在实施过程中严格按照目标设立的各阶段任务进行开展工作，在前期立项过程中严格把质量关，建立安全防护机制，保证项目实施各阶段安全顺利进行。</w:t>
      </w:r>
    </w:p>
    <w:p>
      <w:pPr>
        <w:spacing w:line="560" w:lineRule="exact"/>
        <w:rPr>
          <w:sz w:val="32"/>
          <w:szCs w:val="32"/>
        </w:rPr>
      </w:pPr>
      <w:r>
        <w:rPr>
          <w:rFonts w:hint="eastAsia"/>
          <w:sz w:val="32"/>
          <w:szCs w:val="32"/>
        </w:rPr>
        <w:t>　3.资金投入和使用情况</w:t>
      </w:r>
    </w:p>
    <w:p>
      <w:pPr>
        <w:spacing w:line="560" w:lineRule="exact"/>
        <w:ind w:firstLine="640" w:firstLineChars="200"/>
        <w:rPr>
          <w:sz w:val="32"/>
          <w:szCs w:val="32"/>
        </w:rPr>
      </w:pPr>
      <w:r>
        <w:rPr>
          <w:rFonts w:hint="eastAsia"/>
          <w:sz w:val="32"/>
          <w:szCs w:val="32"/>
        </w:rPr>
        <w:t>资金投入情况：该项目年初预算数35.02万元，全年预算数35.02万元，实际总投入27.58万元，该项目资金已全部落实到位，资金来源为财政拨款。</w:t>
      </w:r>
    </w:p>
    <w:p>
      <w:pPr>
        <w:spacing w:line="560" w:lineRule="exact"/>
        <w:ind w:firstLine="640" w:firstLineChars="200"/>
        <w:rPr>
          <w:sz w:val="32"/>
          <w:szCs w:val="32"/>
        </w:rPr>
      </w:pPr>
      <w:r>
        <w:rPr>
          <w:rFonts w:hint="eastAsia"/>
          <w:sz w:val="32"/>
          <w:szCs w:val="32"/>
        </w:rPr>
        <w:t>资金使用情况：该项目年初预算数35.02万元，全年预算数35.02万元，全年执行数27.58万元，预算执行率为78.75%，主要用于：村医工资及社保缴费13.38万元，市聘工勤工资及社保缴14.20万元。</w:t>
      </w:r>
      <w:bookmarkStart w:id="3" w:name="_Toc68703829"/>
    </w:p>
    <w:p>
      <w:pPr>
        <w:spacing w:line="560" w:lineRule="exact"/>
        <w:rPr>
          <w:color w:val="FF0000"/>
          <w:sz w:val="32"/>
          <w:szCs w:val="32"/>
        </w:rPr>
      </w:pPr>
      <w:r>
        <w:rPr>
          <w:rFonts w:hint="eastAsia" w:eastAsia="楷体_GB2312"/>
          <w:b/>
          <w:bCs/>
          <w:sz w:val="32"/>
          <w:szCs w:val="32"/>
        </w:rPr>
        <w:t>（二）项目绩效目标</w:t>
      </w:r>
      <w:bookmarkEnd w:id="3"/>
    </w:p>
    <w:p>
      <w:pPr>
        <w:spacing w:line="560" w:lineRule="exact"/>
        <w:rPr>
          <w:sz w:val="32"/>
          <w:szCs w:val="32"/>
        </w:rPr>
      </w:pPr>
      <w:r>
        <w:rPr>
          <w:rFonts w:hint="eastAsia"/>
          <w:sz w:val="32"/>
          <w:szCs w:val="32"/>
        </w:rPr>
        <w:t>　</w:t>
      </w:r>
      <w:r>
        <w:rPr>
          <w:rFonts w:hint="eastAsia"/>
          <w:sz w:val="32"/>
          <w:szCs w:val="32"/>
          <w:lang w:eastAsia="zh-CN"/>
        </w:rPr>
        <w:t>　</w:t>
      </w:r>
      <w:r>
        <w:rPr>
          <w:rFonts w:hint="eastAsia"/>
          <w:sz w:val="32"/>
          <w:szCs w:val="32"/>
        </w:rPr>
        <w:t>1.总体目标：以科学发展观为指导，坚持以人为本，进一步调动乡村医生承担公共卫生服务的积极性，不断提高居民的健康水平，督促指导乡村医生认真履行公共卫生服务职能，规范乡村居民获得公共卫生服务的同时，改善乡村医生及市聘工勤的待遇，按时足额发放工资及缴纳社保提高医疗服务积极性，加大医疗队伍服务诊疗范围，增强服务满意度。</w:t>
      </w:r>
    </w:p>
    <w:p>
      <w:pPr>
        <w:spacing w:line="560" w:lineRule="exact"/>
        <w:rPr>
          <w:sz w:val="32"/>
          <w:szCs w:val="32"/>
        </w:rPr>
      </w:pPr>
      <w:r>
        <w:rPr>
          <w:rFonts w:hint="eastAsia"/>
          <w:sz w:val="32"/>
          <w:szCs w:val="32"/>
        </w:rPr>
        <w:t>　2.阶段性目标：</w:t>
      </w:r>
      <w:bookmarkStart w:id="4" w:name="_Toc68703830"/>
      <w:r>
        <w:rPr>
          <w:rFonts w:hint="eastAsia"/>
          <w:sz w:val="32"/>
          <w:szCs w:val="32"/>
        </w:rPr>
        <w:t>2023年全面圆满的完成了各项工作任务，为适龄人群接种一类、二类疫苗等预防接种工作；按照要求抓好预防为主的工作方针，辅以门诊治疗工作，严格、准确不漏的记录门诊逐日登记，准确及时上报和登计发现的传染病，把健康教育工作融入到日常的门诊工作之中，并针对传染病、常见疾病开展健康宣教讲座，使老百姓对传染病、季节多发病、常见疾病的预防和健康保健知识有了更多的了解并掌握了健康生活的相关知识。对辖区内慢性病（高血压患者随访、糖尿病患者随访、老年人体检、严重精神病患者随访、传染病、结核病随访，死因、肿瘤、心血管患者登记上报）等管理工作。为居民开展家庭医生签约服务，以良好的履约服务提升签约获得感。做好对辖区内孕产妇及婴幼儿的健康检测管理。</w:t>
      </w:r>
    </w:p>
    <w:p>
      <w:pPr>
        <w:spacing w:line="560" w:lineRule="exact"/>
        <w:ind w:firstLine="640" w:firstLineChars="200"/>
        <w:rPr>
          <w:color w:val="FF0000"/>
          <w:sz w:val="32"/>
          <w:szCs w:val="32"/>
        </w:rPr>
      </w:pPr>
      <w:r>
        <w:rPr>
          <w:rFonts w:hint="eastAsia"/>
          <w:sz w:val="32"/>
          <w:szCs w:val="32"/>
        </w:rPr>
        <w:t>2023年在工勤的努力下有效保障救护车的正常运行，完成了急诊救护、患者的转运等工作，同时改善市聘工勤及乡村医生的待遇，按时足额发放工资及缴纳社保提高医疗服务积极性，保障医疗服务诊疗范围，增强服务满意度。</w:t>
      </w:r>
    </w:p>
    <w:p>
      <w:pPr>
        <w:spacing w:line="560" w:lineRule="exact"/>
        <w:rPr>
          <w:rFonts w:eastAsia="黑体"/>
          <w:bCs/>
          <w:sz w:val="32"/>
          <w:szCs w:val="32"/>
        </w:rPr>
      </w:pPr>
      <w:r>
        <w:rPr>
          <w:rFonts w:hint="eastAsia" w:eastAsia="黑体"/>
          <w:bCs/>
          <w:sz w:val="32"/>
          <w:szCs w:val="32"/>
        </w:rPr>
        <w:t>二、绩效评价工作开展情况</w:t>
      </w:r>
      <w:bookmarkEnd w:id="4"/>
    </w:p>
    <w:p>
      <w:pPr>
        <w:spacing w:line="560" w:lineRule="exact"/>
        <w:rPr>
          <w:rFonts w:eastAsia="楷体_GB2312"/>
          <w:b/>
          <w:bCs/>
          <w:sz w:val="32"/>
          <w:szCs w:val="32"/>
        </w:rPr>
      </w:pPr>
      <w:bookmarkStart w:id="5" w:name="_Toc68703831"/>
      <w:r>
        <w:rPr>
          <w:rFonts w:hint="eastAsia" w:eastAsia="楷体_GB2312"/>
          <w:b/>
          <w:bCs/>
          <w:sz w:val="32"/>
          <w:szCs w:val="32"/>
        </w:rPr>
        <w:t>（一）绩效评价目的、对象和范围</w:t>
      </w:r>
      <w:bookmarkEnd w:id="5"/>
    </w:p>
    <w:p>
      <w:pPr>
        <w:spacing w:line="560" w:lineRule="exact"/>
        <w:rPr>
          <w:sz w:val="32"/>
          <w:szCs w:val="32"/>
        </w:rPr>
      </w:pPr>
      <w:r>
        <w:rPr>
          <w:rFonts w:hint="eastAsia"/>
          <w:sz w:val="32"/>
          <w:szCs w:val="32"/>
        </w:rPr>
        <w:t>　1.绩效评价目的</w:t>
      </w:r>
    </w:p>
    <w:p>
      <w:pPr>
        <w:spacing w:line="560" w:lineRule="exact"/>
        <w:ind w:firstLine="640" w:firstLineChars="200"/>
        <w:rPr>
          <w:sz w:val="32"/>
          <w:szCs w:val="32"/>
        </w:rPr>
      </w:pPr>
      <w:r>
        <w:rPr>
          <w:sz w:val="32"/>
          <w:szCs w:val="32"/>
        </w:rPr>
        <w:t>财政支出绩效评价运用科学、规范的绩效评价方法，制定统一的评价标准，使财政资金得到事前、事中和事后多方面的控制。财政支出绩效评价贯穿于财政支出安排和实施的全过程，是对财政支出效益、管理水平、投入风险等方面的综合评价；是发挥财政调控功能、提高财政资金安排科学性、促进财政支持社会经济目标实现的重要保证。</w:t>
      </w:r>
    </w:p>
    <w:p>
      <w:pPr>
        <w:numPr>
          <w:ilvl w:val="0"/>
          <w:numId w:val="2"/>
        </w:numPr>
        <w:spacing w:line="560" w:lineRule="exact"/>
        <w:ind w:firstLine="640" w:firstLineChars="200"/>
        <w:rPr>
          <w:sz w:val="32"/>
          <w:szCs w:val="32"/>
        </w:rPr>
      </w:pPr>
      <w:r>
        <w:rPr>
          <w:sz w:val="32"/>
          <w:szCs w:val="32"/>
        </w:rPr>
        <w:t>项目在实施前向项目负责人提供财政支出绩效方面的资金管理信息，促进项目支出严格按照资金管理规定进行。</w:t>
      </w:r>
    </w:p>
    <w:p>
      <w:pPr>
        <w:spacing w:line="560" w:lineRule="exact"/>
        <w:ind w:firstLine="640" w:firstLineChars="200"/>
        <w:rPr>
          <w:sz w:val="32"/>
          <w:szCs w:val="32"/>
        </w:rPr>
      </w:pPr>
      <w:r>
        <w:rPr>
          <w:sz w:val="32"/>
          <w:szCs w:val="32"/>
        </w:rPr>
        <w:t>（2）项目绩效管理财政支出运行提供及时、有效的信息。</w:t>
      </w:r>
    </w:p>
    <w:p>
      <w:pPr>
        <w:pStyle w:val="24"/>
        <w:spacing w:line="560" w:lineRule="exact"/>
        <w:ind w:firstLine="640" w:firstLineChars="200"/>
        <w:rPr>
          <w:rFonts w:eastAsia="方正仿宋_GBK" w:cs="方正仿宋_GBK"/>
          <w:sz w:val="32"/>
          <w:szCs w:val="32"/>
        </w:rPr>
      </w:pPr>
      <w:r>
        <w:rPr>
          <w:sz w:val="32"/>
          <w:szCs w:val="32"/>
        </w:rPr>
        <w:t>综合来看，通过开展有效的财政支出绩效评价管理，</w:t>
      </w:r>
      <w:r>
        <w:rPr>
          <w:rFonts w:hint="eastAsia"/>
          <w:sz w:val="32"/>
          <w:szCs w:val="32"/>
        </w:rPr>
        <w:t>全面了解该项目预算编制合理性、资金使用合规性、项目管理的规范性、项目目标的实现情况、服务对象的满意度等，通过本次项目绩效评价来总结经验和教训，促进项目成果转化和应用，为今后类似项目的长效管理，提供可行性参考建议。也为下一年预算编制与评审提供充分有效的依据，以达到改进预算管理、控制节约成本，优化资源配置、提高预算资金使用效益的目的。</w:t>
      </w:r>
    </w:p>
    <w:p>
      <w:pPr>
        <w:spacing w:line="560" w:lineRule="exact"/>
        <w:rPr>
          <w:sz w:val="32"/>
          <w:szCs w:val="32"/>
        </w:rPr>
      </w:pPr>
      <w:r>
        <w:rPr>
          <w:rFonts w:hint="eastAsia"/>
          <w:b/>
          <w:bCs/>
          <w:szCs w:val="30"/>
        </w:rPr>
        <w:t>　</w:t>
      </w:r>
      <w:r>
        <w:rPr>
          <w:rFonts w:hint="eastAsia"/>
          <w:sz w:val="32"/>
          <w:szCs w:val="32"/>
        </w:rPr>
        <w:t>2.绩效评价对象：</w:t>
      </w:r>
    </w:p>
    <w:p>
      <w:pPr>
        <w:spacing w:line="560" w:lineRule="exact"/>
        <w:ind w:firstLine="640" w:firstLineChars="200"/>
        <w:rPr>
          <w:rFonts w:ascii="仿宋_GB2312" w:hAnsi="仿宋_GB2312" w:cs="仿宋_GB2312"/>
          <w:sz w:val="32"/>
          <w:szCs w:val="32"/>
        </w:rPr>
      </w:pPr>
      <w:r>
        <w:rPr>
          <w:rFonts w:hint="eastAsia" w:ascii="仿宋_GB2312" w:hAnsi="仿宋_GB2312" w:cs="仿宋_GB2312"/>
          <w:sz w:val="32"/>
          <w:szCs w:val="32"/>
        </w:rPr>
        <w:t>村医、工勤工资及社保缴纳项目项目所包含的全部项目内容。</w:t>
      </w:r>
    </w:p>
    <w:p>
      <w:pPr>
        <w:spacing w:line="560" w:lineRule="exact"/>
        <w:rPr>
          <w:sz w:val="32"/>
          <w:szCs w:val="32"/>
        </w:rPr>
      </w:pPr>
      <w:r>
        <w:rPr>
          <w:rFonts w:hint="eastAsia"/>
          <w:sz w:val="32"/>
          <w:szCs w:val="32"/>
        </w:rPr>
        <w:t>　3.绩效评价范围：</w:t>
      </w:r>
    </w:p>
    <w:p>
      <w:pPr>
        <w:spacing w:line="560" w:lineRule="exact"/>
        <w:ind w:firstLine="640" w:firstLineChars="200"/>
        <w:rPr>
          <w:sz w:val="32"/>
          <w:szCs w:val="32"/>
        </w:rPr>
      </w:pPr>
      <w:r>
        <w:rPr>
          <w:rFonts w:hint="eastAsia"/>
          <w:sz w:val="32"/>
          <w:szCs w:val="32"/>
        </w:rPr>
        <w:t>本次评价从项目决策（包括绩效目标、决策过程）、项目管理（包括项目资金、项目实施）、项目产出（包括项目产出数量、产出质量、产出时效和产出成本）项目效益四个维度进行</w:t>
      </w:r>
      <w:r>
        <w:rPr>
          <w:rFonts w:hint="eastAsia" w:ascii="仿宋_GB2312" w:hAnsi="仿宋_GB2312" w:cs="仿宋_GB2312"/>
          <w:sz w:val="32"/>
          <w:szCs w:val="32"/>
        </w:rPr>
        <w:t>村医、工勤工资及社保缴纳</w:t>
      </w:r>
      <w:r>
        <w:rPr>
          <w:rFonts w:hint="eastAsia"/>
          <w:sz w:val="32"/>
          <w:szCs w:val="32"/>
        </w:rPr>
        <w:t>评价，评价核心为资金的支出完成情况和效果。</w:t>
      </w:r>
      <w:bookmarkStart w:id="6" w:name="_Toc68703832"/>
    </w:p>
    <w:p>
      <w:pPr>
        <w:spacing w:line="560" w:lineRule="exact"/>
        <w:ind w:firstLine="643" w:firstLineChars="200"/>
        <w:rPr>
          <w:rFonts w:eastAsia="楷体_GB2312"/>
          <w:b/>
          <w:bCs/>
          <w:sz w:val="32"/>
          <w:szCs w:val="32"/>
        </w:rPr>
      </w:pPr>
      <w:r>
        <w:rPr>
          <w:rFonts w:hint="eastAsia" w:eastAsia="楷体_GB2312"/>
          <w:b/>
          <w:bCs/>
          <w:sz w:val="32"/>
          <w:szCs w:val="32"/>
        </w:rPr>
        <w:t>（二）绩效评价原则、评价指标体系</w:t>
      </w:r>
      <w:r>
        <w:rPr>
          <w:rFonts w:eastAsia="楷体_GB2312"/>
          <w:b/>
          <w:bCs/>
          <w:sz w:val="32"/>
          <w:szCs w:val="32"/>
        </w:rPr>
        <w:t>（详情见表1）</w:t>
      </w:r>
      <w:r>
        <w:rPr>
          <w:rFonts w:hint="eastAsia" w:eastAsia="楷体_GB2312"/>
          <w:b/>
          <w:bCs/>
          <w:sz w:val="32"/>
          <w:szCs w:val="32"/>
        </w:rPr>
        <w:t>、评价方法、评价标准</w:t>
      </w:r>
      <w:bookmarkEnd w:id="6"/>
    </w:p>
    <w:p>
      <w:pPr>
        <w:spacing w:line="560" w:lineRule="exact"/>
        <w:ind w:firstLine="640" w:firstLineChars="200"/>
        <w:jc w:val="left"/>
        <w:rPr>
          <w:sz w:val="32"/>
          <w:szCs w:val="32"/>
        </w:rPr>
      </w:pPr>
      <w:r>
        <w:rPr>
          <w:rFonts w:hint="eastAsia"/>
          <w:sz w:val="32"/>
          <w:szCs w:val="32"/>
        </w:rPr>
        <w:t>1.绩效评价原则</w:t>
      </w:r>
    </w:p>
    <w:p>
      <w:pPr>
        <w:spacing w:line="560" w:lineRule="exact"/>
        <w:ind w:firstLine="640" w:firstLineChars="200"/>
        <w:rPr>
          <w:color w:val="000000"/>
          <w:sz w:val="32"/>
          <w:szCs w:val="32"/>
        </w:rPr>
      </w:pPr>
      <w:r>
        <w:rPr>
          <w:color w:val="000000"/>
          <w:sz w:val="32"/>
          <w:szCs w:val="32"/>
        </w:rPr>
        <w:t>本次项目绩效评价遵循以下基本原则：</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（1）科学公正。绩效评价应当运用科学合理的方法，按照规范的程序，对项目绩效进行客观、公正的反映。</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（2）统筹兼顾。单位自评、部门评价和财政评价应职责明确，各有侧重，相互衔接。单位自评应由项目单位自主实施，即“谁支出、谁自评”。部门评价和财政评价应在单位自评的基础上开展。</w:t>
      </w:r>
    </w:p>
    <w:p>
      <w:pPr>
        <w:pStyle w:val="2"/>
        <w:spacing w:before="0" w:after="0" w:line="560" w:lineRule="exact"/>
        <w:ind w:firstLine="640" w:firstLineChars="200"/>
        <w:jc w:val="both"/>
        <w:outlineLvl w:val="9"/>
        <w:rPr>
          <w:rFonts w:ascii="Times New Roman" w:hAnsi="Times New Roman" w:eastAsia="仿宋_GB2312"/>
          <w:b w:val="0"/>
          <w:bCs w:val="0"/>
        </w:rPr>
      </w:pPr>
      <w:r>
        <w:rPr>
          <w:rFonts w:ascii="Times New Roman" w:hAnsi="Times New Roman" w:eastAsia="仿宋_GB2312"/>
          <w:b w:val="0"/>
          <w:bCs w:val="0"/>
        </w:rPr>
        <w:t>（3）激励约束。绩效评价结果应与预算安排、政策调整、改进管理实质性挂钩，体现奖优罚劣和激励相容导向，有效要安排、低效要压减、无效要问责。</w:t>
      </w:r>
    </w:p>
    <w:p>
      <w:pPr>
        <w:pStyle w:val="2"/>
        <w:spacing w:before="0" w:after="0" w:line="560" w:lineRule="exact"/>
        <w:ind w:firstLine="640" w:firstLineChars="200"/>
        <w:jc w:val="both"/>
        <w:outlineLvl w:val="9"/>
      </w:pPr>
      <w:r>
        <w:rPr>
          <w:rFonts w:ascii="Times New Roman" w:hAnsi="Times New Roman" w:eastAsia="仿宋_GB2312"/>
          <w:b w:val="0"/>
          <w:bCs w:val="0"/>
        </w:rPr>
        <w:t>（4）公开透明。绩效评价结果应依法依规公开，并自觉接受社会监督。</w:t>
      </w:r>
    </w:p>
    <w:p>
      <w:pPr>
        <w:spacing w:line="360" w:lineRule="auto"/>
        <w:ind w:firstLine="600" w:firstLineChars="200"/>
        <w:jc w:val="left"/>
        <w:rPr>
          <w:sz w:val="32"/>
          <w:szCs w:val="32"/>
        </w:rPr>
      </w:pPr>
      <w:r>
        <w:rPr>
          <w:rFonts w:hint="eastAsia"/>
        </w:rPr>
        <w:t>2、</w:t>
      </w:r>
      <w:r>
        <w:rPr>
          <w:rFonts w:hint="eastAsia"/>
          <w:sz w:val="32"/>
          <w:szCs w:val="32"/>
        </w:rPr>
        <w:t>评价指标体系</w:t>
      </w:r>
    </w:p>
    <w:p>
      <w:pPr>
        <w:spacing w:line="560" w:lineRule="exact"/>
        <w:ind w:firstLine="708" w:firstLineChars="200"/>
        <w:rPr>
          <w:color w:val="000000"/>
          <w:spacing w:val="17"/>
          <w:sz w:val="32"/>
          <w:szCs w:val="32"/>
        </w:rPr>
      </w:pPr>
      <w:r>
        <w:rPr>
          <w:color w:val="000000"/>
          <w:spacing w:val="17"/>
          <w:sz w:val="32"/>
          <w:szCs w:val="32"/>
        </w:rPr>
        <w:t>绩效评价框架是开展绩效评价的核心。绩效评价框架包括评价准则、关键评价问题、评价指标、数据来源、数据收集方法等。指标体系建立过程如下：</w:t>
      </w:r>
    </w:p>
    <w:p>
      <w:pPr>
        <w:spacing w:line="560" w:lineRule="exact"/>
        <w:ind w:firstLine="708" w:firstLineChars="200"/>
        <w:rPr>
          <w:color w:val="000000"/>
          <w:spacing w:val="17"/>
          <w:sz w:val="32"/>
          <w:szCs w:val="32"/>
        </w:rPr>
      </w:pPr>
      <w:r>
        <w:rPr>
          <w:color w:val="000000"/>
          <w:spacing w:val="17"/>
          <w:sz w:val="32"/>
          <w:szCs w:val="32"/>
        </w:rPr>
        <w:t>（1）确定评价指标</w:t>
      </w:r>
    </w:p>
    <w:p>
      <w:pPr>
        <w:spacing w:line="560" w:lineRule="exact"/>
        <w:ind w:firstLine="708" w:firstLineChars="200"/>
        <w:rPr>
          <w:color w:val="000000"/>
          <w:spacing w:val="17"/>
          <w:sz w:val="32"/>
          <w:szCs w:val="32"/>
        </w:rPr>
      </w:pPr>
      <w:r>
        <w:rPr>
          <w:color w:val="000000"/>
          <w:spacing w:val="17"/>
          <w:sz w:val="32"/>
          <w:szCs w:val="32"/>
        </w:rPr>
        <w:t>采用层次分析法，建立评价指标体系。绩效评价将指标分为项目决策指标、项目过程指标、项目产出指标、项目效益指标四个维度，最终形成一个由多个相互联系的指标组成的多层次指标体系。</w:t>
      </w:r>
    </w:p>
    <w:p>
      <w:pPr>
        <w:spacing w:line="560" w:lineRule="exact"/>
        <w:ind w:firstLine="708" w:firstLineChars="200"/>
        <w:rPr>
          <w:color w:val="000000"/>
          <w:spacing w:val="17"/>
          <w:sz w:val="32"/>
          <w:szCs w:val="32"/>
        </w:rPr>
      </w:pPr>
      <w:r>
        <w:rPr>
          <w:color w:val="000000"/>
          <w:spacing w:val="17"/>
          <w:sz w:val="32"/>
          <w:szCs w:val="32"/>
        </w:rPr>
        <w:t>（2）确定权重</w:t>
      </w:r>
    </w:p>
    <w:p>
      <w:pPr>
        <w:spacing w:line="560" w:lineRule="exact"/>
        <w:ind w:firstLine="708" w:firstLineChars="200"/>
        <w:rPr>
          <w:color w:val="000000"/>
          <w:spacing w:val="17"/>
          <w:sz w:val="32"/>
          <w:szCs w:val="32"/>
        </w:rPr>
      </w:pPr>
      <w:r>
        <w:rPr>
          <w:color w:val="000000"/>
          <w:spacing w:val="17"/>
          <w:sz w:val="32"/>
          <w:szCs w:val="32"/>
        </w:rPr>
        <w:t>确定各个指标相对于项目总体绩效的权重分值。在绩效评价指标体系中，项目决策权重为20分，项目过程权重为20分，项目产出权重为40分，项目效益权重为20分。</w:t>
      </w:r>
    </w:p>
    <w:p>
      <w:pPr>
        <w:spacing w:line="560" w:lineRule="exact"/>
        <w:ind w:firstLine="708" w:firstLineChars="200"/>
        <w:rPr>
          <w:color w:val="000000"/>
          <w:spacing w:val="17"/>
          <w:sz w:val="32"/>
          <w:szCs w:val="32"/>
        </w:rPr>
      </w:pPr>
      <w:r>
        <w:rPr>
          <w:color w:val="000000"/>
          <w:spacing w:val="17"/>
          <w:sz w:val="32"/>
          <w:szCs w:val="32"/>
        </w:rPr>
        <w:t>（3）确定指标标准值</w:t>
      </w:r>
    </w:p>
    <w:p>
      <w:pPr>
        <w:spacing w:line="560" w:lineRule="exact"/>
        <w:ind w:firstLine="708" w:firstLineChars="200"/>
        <w:rPr>
          <w:color w:val="000000"/>
          <w:spacing w:val="17"/>
          <w:sz w:val="32"/>
          <w:szCs w:val="32"/>
        </w:rPr>
      </w:pPr>
      <w:r>
        <w:rPr>
          <w:color w:val="000000"/>
          <w:spacing w:val="17"/>
          <w:sz w:val="32"/>
          <w:szCs w:val="32"/>
        </w:rPr>
        <w:t>指标标准值是绩效评价指标的尺度，既要反映同类项目的先进水平，又要符合项目的实际绩效水平。具体采用计划标准等确定此次绩效评价指标标准值。</w:t>
      </w:r>
    </w:p>
    <w:p>
      <w:pPr>
        <w:pStyle w:val="2"/>
        <w:spacing w:before="0" w:after="0" w:line="560" w:lineRule="exact"/>
        <w:ind w:firstLine="708" w:firstLineChars="200"/>
        <w:jc w:val="both"/>
        <w:rPr>
          <w:rFonts w:ascii="Times New Roman" w:hAnsi="Times New Roman" w:eastAsia="仿宋_GB2312"/>
          <w:b w:val="0"/>
          <w:bCs w:val="0"/>
          <w:color w:val="000000"/>
          <w:spacing w:val="17"/>
          <w:kern w:val="2"/>
        </w:rPr>
      </w:pPr>
      <w:r>
        <w:rPr>
          <w:rFonts w:ascii="Times New Roman" w:hAnsi="Times New Roman" w:eastAsia="仿宋_GB2312"/>
          <w:b w:val="0"/>
          <w:bCs w:val="0"/>
          <w:color w:val="000000"/>
          <w:spacing w:val="17"/>
          <w:kern w:val="2"/>
        </w:rPr>
        <w:t>绩效评价总分值100分，根据综合评分结果，评价计分90分-100分（含90分）对应的评分结果级别为优，80-90分（含80分）对应的评分结果级别为良，60-80分（含60分）对应的评分结果级别为中，60分以下对应的评分结果级别为差。</w:t>
      </w:r>
    </w:p>
    <w:p>
      <w:pPr>
        <w:pStyle w:val="2"/>
        <w:widowControl w:val="0"/>
        <w:spacing w:before="0" w:after="0" w:line="560" w:lineRule="exact"/>
        <w:ind w:firstLine="708" w:firstLineChars="200"/>
        <w:jc w:val="both"/>
        <w:outlineLvl w:val="9"/>
      </w:pPr>
      <w:r>
        <w:rPr>
          <w:rFonts w:ascii="Times New Roman" w:hAnsi="Times New Roman" w:eastAsia="仿宋_GB2312"/>
          <w:b w:val="0"/>
          <w:bCs w:val="0"/>
          <w:color w:val="000000"/>
          <w:spacing w:val="17"/>
        </w:rPr>
        <w:t>具体评价指标体系详情见附件1</w:t>
      </w:r>
    </w:p>
    <w:p>
      <w:pPr>
        <w:pStyle w:val="8"/>
        <w:rPr>
          <w:sz w:val="32"/>
          <w:szCs w:val="32"/>
        </w:rPr>
      </w:pPr>
      <w:r>
        <w:rPr>
          <w:rFonts w:hint="eastAsia"/>
          <w:sz w:val="32"/>
          <w:szCs w:val="32"/>
        </w:rPr>
        <w:t>3、评价方法</w:t>
      </w:r>
    </w:p>
    <w:p>
      <w:pPr>
        <w:spacing w:line="560" w:lineRule="exact"/>
        <w:ind w:firstLine="708" w:firstLineChars="200"/>
        <w:rPr>
          <w:color w:val="000000"/>
          <w:spacing w:val="17"/>
          <w:sz w:val="32"/>
          <w:szCs w:val="32"/>
        </w:rPr>
      </w:pPr>
      <w:r>
        <w:rPr>
          <w:color w:val="000000"/>
          <w:spacing w:val="17"/>
          <w:sz w:val="32"/>
          <w:szCs w:val="32"/>
        </w:rPr>
        <w:t>绩效评价从项目决策、项目过程、项目产出、项目效益四个维度进行评价。评价对象为项目目标实施情况，  评价核心为资金的支出完成情况和项目的产出效益。</w:t>
      </w:r>
    </w:p>
    <w:p>
      <w:pPr>
        <w:spacing w:line="560" w:lineRule="exact"/>
        <w:ind w:firstLine="708" w:firstLineChars="200"/>
        <w:rPr>
          <w:bCs/>
          <w:color w:val="FF0000"/>
          <w:sz w:val="32"/>
          <w:szCs w:val="32"/>
        </w:rPr>
      </w:pPr>
      <w:r>
        <w:rPr>
          <w:color w:val="000000"/>
          <w:spacing w:val="17"/>
          <w:sz w:val="32"/>
          <w:szCs w:val="32"/>
        </w:rPr>
        <w:t>本次评价指标中，既有定性指标又有定量指标，各类指标因考核内容不同和客观标准不同存在较大差异，因此核定具体指标时采用了不同方法，具体评价方法如下：</w:t>
      </w:r>
    </w:p>
    <w:p>
      <w:pPr>
        <w:spacing w:line="560" w:lineRule="exact"/>
        <w:ind w:firstLine="708" w:firstLineChars="200"/>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（1）比较法</w:t>
      </w:r>
    </w:p>
    <w:p>
      <w:pPr>
        <w:spacing w:line="560" w:lineRule="exact"/>
        <w:ind w:firstLine="708" w:firstLineChars="200"/>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通过对绩效目标与实施效果、历史与当期情况，综合分析绩效目标实现程度。对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最终验收情况与年度绩效目标对比、预算资金执行情况等相关因素进行比较。</w:t>
      </w:r>
    </w:p>
    <w:p>
      <w:pPr>
        <w:spacing w:line="560" w:lineRule="exact"/>
        <w:ind w:firstLine="708" w:firstLineChars="200"/>
        <w:rPr>
          <w:color w:val="000000" w:themeColor="text1"/>
          <w:spacing w:val="17"/>
          <w:sz w:val="32"/>
          <w:szCs w:val="32"/>
          <w14:textFill>
            <w14:solidFill>
              <w14:schemeClr w14:val="tx1"/>
            </w14:solidFill>
          </w14:textFill>
        </w:rPr>
      </w:pPr>
      <w:r>
        <w:rPr>
          <w:color w:val="000000" w:themeColor="text1"/>
          <w:spacing w:val="17"/>
          <w:sz w:val="32"/>
          <w:szCs w:val="32"/>
          <w14:textFill>
            <w14:solidFill>
              <w14:schemeClr w14:val="tx1"/>
            </w14:solidFill>
          </w14:textFill>
        </w:rPr>
        <w:t>（2）因素分析法</w:t>
      </w:r>
    </w:p>
    <w:p>
      <w:pPr>
        <w:spacing w:line="560" w:lineRule="exact"/>
        <w:ind w:firstLine="708" w:firstLineChars="200"/>
        <w:rPr>
          <w:bCs/>
          <w:color w:val="000000" w:themeColor="text1"/>
          <w:sz w:val="32"/>
          <w:szCs w:val="32"/>
          <w14:textFill>
            <w14:solidFill>
              <w14:schemeClr w14:val="tx1"/>
            </w14:solidFill>
          </w14:textFill>
        </w:rPr>
      </w:pPr>
      <w:r>
        <w:rPr>
          <w:color w:val="000000" w:themeColor="text1"/>
          <w:spacing w:val="17"/>
          <w:sz w:val="32"/>
          <w:szCs w:val="32"/>
          <w14:textFill>
            <w14:solidFill>
              <w14:schemeClr w14:val="tx1"/>
            </w14:solidFill>
          </w14:textFill>
        </w:rPr>
        <w:t>通过综合分析影响绩效目标实现、实施效果的内外因素，评价绩效目标实现程度。通过对</w:t>
      </w:r>
      <w:r>
        <w:rPr>
          <w:color w:val="000000" w:themeColor="text1"/>
          <w:sz w:val="32"/>
          <w:szCs w:val="32"/>
          <w14:textFill>
            <w14:solidFill>
              <w14:schemeClr w14:val="tx1"/>
            </w14:solidFill>
          </w14:textFill>
        </w:rPr>
        <w:t>项目</w:t>
      </w:r>
      <w:r>
        <w:rPr>
          <w:color w:val="000000" w:themeColor="text1"/>
          <w:spacing w:val="17"/>
          <w:sz w:val="32"/>
          <w:szCs w:val="32"/>
          <w14:textFill>
            <w14:solidFill>
              <w14:schemeClr w14:val="tx1"/>
            </w14:solidFill>
          </w14:textFill>
        </w:rPr>
        <w:t>的开展情况、项目产出数量、成本控制、资金拨付文件及自评报告等相关资料的收集和审核，综合分析各因素对绩效目标实现的影响。</w:t>
      </w:r>
    </w:p>
    <w:p>
      <w:pPr>
        <w:spacing w:line="560" w:lineRule="exact"/>
        <w:jc w:val="left"/>
      </w:pPr>
      <w:r>
        <w:rPr>
          <w:rFonts w:hint="eastAsia"/>
        </w:rPr>
        <w:t>　　</w:t>
      </w:r>
      <w:r>
        <w:rPr>
          <w:rFonts w:hint="eastAsia"/>
          <w:sz w:val="32"/>
          <w:szCs w:val="32"/>
        </w:rPr>
        <w:t>4.评价标准</w:t>
      </w:r>
    </w:p>
    <w:p>
      <w:pPr>
        <w:spacing w:line="560" w:lineRule="exact"/>
        <w:ind w:firstLine="640"/>
        <w:rPr>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绩效评价标准通常包括计划标准、行业标准、历史标准等，用于对绩效指标完成情况进行比较、分析、评价。本次评价主要采用了计划标准。</w:t>
      </w:r>
    </w:p>
    <w:p>
      <w:pPr>
        <w:spacing w:line="560" w:lineRule="exact"/>
        <w:ind w:firstLine="640"/>
        <w:rPr>
          <w:bCs/>
          <w:color w:val="000000" w:themeColor="text1"/>
          <w:sz w:val="32"/>
          <w:szCs w:val="32"/>
          <w14:textFill>
            <w14:solidFill>
              <w14:schemeClr w14:val="tx1"/>
            </w14:solidFill>
          </w14:textFill>
        </w:rPr>
      </w:pPr>
      <w:r>
        <w:rPr>
          <w:rFonts w:hint="eastAsia"/>
          <w:bCs/>
          <w:color w:val="000000" w:themeColor="text1"/>
          <w:sz w:val="32"/>
          <w:szCs w:val="32"/>
          <w14:textFill>
            <w14:solidFill>
              <w14:schemeClr w14:val="tx1"/>
            </w14:solidFill>
          </w14:textFill>
        </w:rPr>
        <w:t>计划标准。指以预先制定的目标、计划、预算、定额等作为评价标准。</w:t>
      </w:r>
    </w:p>
    <w:p>
      <w:pPr>
        <w:spacing w:line="560" w:lineRule="exact"/>
        <w:rPr>
          <w:rFonts w:eastAsia="楷体_GB2312"/>
          <w:b/>
          <w:bCs/>
          <w:sz w:val="32"/>
          <w:szCs w:val="32"/>
        </w:rPr>
      </w:pPr>
      <w:bookmarkStart w:id="7" w:name="_Toc68703833"/>
      <w:r>
        <w:rPr>
          <w:rFonts w:hint="eastAsia" w:eastAsia="楷体_GB2312"/>
          <w:b/>
          <w:bCs/>
          <w:sz w:val="32"/>
          <w:szCs w:val="32"/>
        </w:rPr>
        <w:t>（三）绩效评价工作过程</w:t>
      </w:r>
      <w:bookmarkEnd w:id="7"/>
    </w:p>
    <w:p>
      <w:pPr>
        <w:spacing w:line="560" w:lineRule="exact"/>
        <w:ind w:firstLine="640" w:firstLineChars="200"/>
        <w:jc w:val="left"/>
        <w:rPr>
          <w:sz w:val="32"/>
          <w:szCs w:val="32"/>
        </w:rPr>
      </w:pPr>
      <w:r>
        <w:rPr>
          <w:rFonts w:hint="eastAsia"/>
          <w:sz w:val="32"/>
          <w:szCs w:val="32"/>
        </w:rPr>
        <w:t>1.前期准备：</w:t>
      </w:r>
    </w:p>
    <w:p>
      <w:pPr>
        <w:spacing w:line="560" w:lineRule="exact"/>
        <w:ind w:firstLine="640" w:firstLineChars="200"/>
        <w:rPr>
          <w:bCs/>
          <w:sz w:val="32"/>
          <w:szCs w:val="32"/>
        </w:rPr>
      </w:pPr>
      <w:r>
        <w:rPr>
          <w:rFonts w:hint="eastAsia"/>
          <w:bCs/>
          <w:sz w:val="32"/>
          <w:szCs w:val="32"/>
        </w:rPr>
        <w:t>首先成立评价工作组，开展前期调研；其次明确项目绩效目标，设计绩效评价指标体系并确定绩效评价方法；接着确定现场和非现场评价范围，设计资料清单；最后制定评价实施方案并进行论证。</w:t>
      </w:r>
    </w:p>
    <w:p>
      <w:pPr>
        <w:spacing w:line="560" w:lineRule="exact"/>
        <w:ind w:firstLine="640" w:firstLineChars="200"/>
        <w:jc w:val="left"/>
        <w:rPr>
          <w:sz w:val="32"/>
          <w:szCs w:val="32"/>
        </w:rPr>
      </w:pPr>
      <w:r>
        <w:rPr>
          <w:rFonts w:hint="eastAsia"/>
          <w:sz w:val="32"/>
          <w:szCs w:val="32"/>
        </w:rPr>
        <w:t>2.组织实施：</w:t>
      </w:r>
    </w:p>
    <w:p>
      <w:pPr>
        <w:spacing w:line="560" w:lineRule="exact"/>
        <w:ind w:firstLine="640" w:firstLineChars="200"/>
        <w:rPr>
          <w:bCs/>
          <w:sz w:val="32"/>
          <w:szCs w:val="32"/>
        </w:rPr>
      </w:pPr>
      <w:r>
        <w:rPr>
          <w:rFonts w:hint="eastAsia"/>
          <w:bCs/>
          <w:sz w:val="32"/>
          <w:szCs w:val="32"/>
        </w:rPr>
        <w:t>制定绩效评价工作方案，具体包括项目概况、评价思路、方法手段、组织实施、进度安排等。收集项目立项依据、相关会议纪要、实施方案、财政资金分配方案、支付管理情况等相关评价资料并进行梳理。</w:t>
      </w:r>
    </w:p>
    <w:p>
      <w:pPr>
        <w:spacing w:line="560" w:lineRule="exact"/>
        <w:ind w:firstLine="640" w:firstLineChars="200"/>
        <w:jc w:val="left"/>
        <w:rPr>
          <w:sz w:val="32"/>
          <w:szCs w:val="32"/>
        </w:rPr>
      </w:pPr>
      <w:r>
        <w:rPr>
          <w:rFonts w:hint="eastAsia"/>
          <w:sz w:val="32"/>
          <w:szCs w:val="32"/>
        </w:rPr>
        <w:t>3.分析评价：</w:t>
      </w:r>
    </w:p>
    <w:p>
      <w:pPr>
        <w:spacing w:line="560" w:lineRule="exact"/>
        <w:ind w:firstLine="640" w:firstLineChars="200"/>
        <w:rPr>
          <w:sz w:val="32"/>
          <w:szCs w:val="32"/>
        </w:rPr>
      </w:pPr>
      <w:bookmarkStart w:id="8" w:name="_Toc68703834"/>
      <w:r>
        <w:rPr>
          <w:rFonts w:hint="eastAsia"/>
          <w:bCs/>
          <w:sz w:val="32"/>
          <w:szCs w:val="32"/>
        </w:rPr>
        <w:t>根据收集梳理的资料围绕项目立项、资金落实、业务管理、财务管理、项目产出、项目效益等内容，对照已确定的绩效评价指标进行详细全面的分析评价，逐项打分并形成绩效评价最终结果。</w:t>
      </w:r>
    </w:p>
    <w:p>
      <w:pPr>
        <w:spacing w:line="560" w:lineRule="exact"/>
        <w:rPr>
          <w:rFonts w:eastAsia="黑体"/>
          <w:bCs/>
          <w:sz w:val="32"/>
          <w:szCs w:val="32"/>
        </w:rPr>
      </w:pPr>
      <w:r>
        <w:rPr>
          <w:rFonts w:hint="eastAsia" w:eastAsia="黑体"/>
          <w:bCs/>
          <w:sz w:val="32"/>
          <w:szCs w:val="32"/>
        </w:rPr>
        <w:t>三、综合评价情况及评价结论</w:t>
      </w:r>
      <w:bookmarkEnd w:id="8"/>
      <w:r>
        <w:rPr>
          <w:rFonts w:eastAsia="黑体"/>
          <w:sz w:val="32"/>
          <w:szCs w:val="32"/>
        </w:rPr>
        <w:t>（附相关评分表）</w:t>
      </w:r>
    </w:p>
    <w:p>
      <w:pPr>
        <w:spacing w:line="560" w:lineRule="exact"/>
        <w:rPr>
          <w:rFonts w:eastAsia="楷体_GB2312"/>
          <w:b/>
          <w:bCs/>
          <w:sz w:val="32"/>
          <w:szCs w:val="32"/>
        </w:rPr>
      </w:pPr>
      <w:bookmarkStart w:id="9" w:name="_Toc68703835"/>
      <w:r>
        <w:rPr>
          <w:rFonts w:hint="eastAsia" w:eastAsia="楷体_GB2312"/>
          <w:b/>
          <w:bCs/>
          <w:sz w:val="32"/>
          <w:szCs w:val="32"/>
        </w:rPr>
        <w:t>（一）综合评价情况</w:t>
      </w:r>
      <w:bookmarkEnd w:id="9"/>
    </w:p>
    <w:p>
      <w:pPr>
        <w:spacing w:line="560" w:lineRule="exact"/>
        <w:ind w:firstLine="640" w:firstLineChars="200"/>
        <w:rPr>
          <w:color w:val="FF0000"/>
          <w:sz w:val="32"/>
          <w:szCs w:val="32"/>
        </w:rPr>
      </w:pPr>
      <w:r>
        <w:rPr>
          <w:rFonts w:hint="eastAsia"/>
          <w:kern w:val="28"/>
          <w:sz w:val="32"/>
          <w:szCs w:val="32"/>
        </w:rPr>
        <w:t>项目总体组织规范，在项目实施过程做到认真履职，监督到位。按照相关制度的要求，项目负责人对项目绩效监控执行情况进行跟踪监督，有效完成了本项目的工作目标，确保资金使用安全和最大效益的发挥，保障项目如期按要求完成。规范了项目档案资料的整理。项目的实施达到项目预期效果。</w:t>
      </w:r>
    </w:p>
    <w:p>
      <w:pPr>
        <w:pStyle w:val="4"/>
        <w:spacing w:line="560" w:lineRule="exact"/>
        <w:rPr>
          <w:rFonts w:ascii="Times New Roman" w:hAnsi="Times New Roman" w:eastAsia="楷体_GB2312" w:cs="Times New Roman"/>
        </w:rPr>
      </w:pPr>
      <w:bookmarkStart w:id="10" w:name="_Toc68703836"/>
      <w:r>
        <w:rPr>
          <w:rFonts w:hint="eastAsia" w:ascii="Times New Roman" w:hAnsi="Times New Roman" w:eastAsia="楷体_GB2312" w:cs="Times New Roman"/>
        </w:rPr>
        <w:t>（二）评价结论</w:t>
      </w:r>
      <w:bookmarkEnd w:id="10"/>
    </w:p>
    <w:p>
      <w:pPr>
        <w:pStyle w:val="2"/>
        <w:spacing w:line="560" w:lineRule="exact"/>
        <w:jc w:val="both"/>
      </w:pPr>
      <w:r>
        <w:rPr>
          <w:rFonts w:hint="eastAsia" w:ascii="Times New Roman" w:hAnsi="Times New Roman" w:eastAsia="仿宋_GB2312"/>
          <w:b w:val="0"/>
          <w:bCs w:val="0"/>
        </w:rPr>
        <w:t>　　运用绩效评价组制定的评价指标体系以及财政部《项目支出绩效评价管理办法》（财预〔2020〕10号）文件的评分标准，通过数据采集、问卷调查及访谈等方式，对本项目进行客观评价，最终评分结果：总得分为96.80分，属于“优”。其中，项目决策类指标权重为20分，得分为 20分，得分率为 100%。项目过程类指标权重为20分，得分为19.15分，得分率为95.75%。项目产出类指标权重为40分，得分为37.65分，得分率为 94.13%。项目效益类指标权重为20分，得分为20分，得分率为100%。具体打分情况详见：附件1综合评分表。</w:t>
      </w:r>
    </w:p>
    <w:p>
      <w:pPr>
        <w:spacing w:line="560" w:lineRule="exact"/>
        <w:ind w:firstLine="600" w:firstLineChars="200"/>
        <w:rPr>
          <w:kern w:val="28"/>
          <w:sz w:val="32"/>
          <w:szCs w:val="32"/>
        </w:rPr>
      </w:pPr>
      <w:r>
        <w:rPr>
          <w:rFonts w:hint="eastAsia"/>
          <w:szCs w:val="30"/>
        </w:rPr>
        <w:t>　　　　　　　　</w:t>
      </w:r>
      <w:r>
        <w:rPr>
          <w:rFonts w:hint="eastAsia"/>
          <w:kern w:val="28"/>
          <w:sz w:val="32"/>
          <w:szCs w:val="32"/>
        </w:rPr>
        <w:t>表1综合评分表</w:t>
      </w:r>
    </w:p>
    <w:tbl>
      <w:tblPr>
        <w:tblStyle w:val="14"/>
        <w:tblW w:w="7583" w:type="dxa"/>
        <w:jc w:val="center"/>
        <w:tblInd w:w="0" w:type="dxa"/>
        <w:tblLayout w:type="fixed"/>
        <w:tblCellMar>
          <w:top w:w="0" w:type="dxa"/>
          <w:left w:w="108" w:type="dxa"/>
          <w:bottom w:w="0" w:type="dxa"/>
          <w:right w:w="108" w:type="dxa"/>
        </w:tblCellMar>
      </w:tblPr>
      <w:tblGrid>
        <w:gridCol w:w="3137"/>
        <w:gridCol w:w="2168"/>
        <w:gridCol w:w="2278"/>
      </w:tblGrid>
      <w:tr>
        <w:tblPrEx>
          <w:tblLayout w:type="fixed"/>
          <w:tblCellMar>
            <w:top w:w="0" w:type="dxa"/>
            <w:left w:w="108" w:type="dxa"/>
            <w:bottom w:w="0" w:type="dxa"/>
            <w:right w:w="108" w:type="dxa"/>
          </w:tblCellMar>
        </w:tblPrEx>
        <w:trPr>
          <w:trHeight w:val="90" w:hRule="atLeast"/>
          <w:tblHeader/>
          <w:jc w:val="center"/>
        </w:trPr>
        <w:tc>
          <w:tcPr>
            <w:tcW w:w="3137" w:type="dxa"/>
            <w:tcBorders>
              <w:top w:val="single" w:color="auto" w:sz="4" w:space="0"/>
              <w:left w:val="single" w:color="auto" w:sz="4" w:space="0"/>
              <w:bottom w:val="single" w:color="auto" w:sz="4" w:space="0"/>
              <w:right w:val="single" w:color="auto" w:sz="4" w:space="0"/>
            </w:tcBorders>
            <w:shd w:val="clear" w:color="000000" w:fill="BEBEBE" w:themeFill="background1" w:themeFillShade="BF"/>
            <w:vAlign w:val="center"/>
          </w:tcPr>
          <w:p>
            <w:pPr>
              <w:spacing w:line="560" w:lineRule="exact"/>
              <w:jc w:val="center"/>
              <w:rPr>
                <w:b/>
                <w:bCs/>
                <w:color w:val="000000"/>
                <w:sz w:val="22"/>
              </w:rPr>
            </w:pPr>
            <w:r>
              <w:rPr>
                <w:rFonts w:hint="eastAsia"/>
                <w:b/>
                <w:bCs/>
                <w:color w:val="000000"/>
                <w:sz w:val="22"/>
              </w:rPr>
              <w:t>一级指标</w:t>
            </w:r>
          </w:p>
        </w:tc>
        <w:tc>
          <w:tcPr>
            <w:tcW w:w="216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560" w:lineRule="exact"/>
              <w:jc w:val="center"/>
              <w:rPr>
                <w:b/>
                <w:bCs/>
                <w:color w:val="000000"/>
                <w:sz w:val="22"/>
              </w:rPr>
            </w:pPr>
            <w:r>
              <w:rPr>
                <w:rFonts w:hint="eastAsia"/>
                <w:b/>
                <w:bCs/>
                <w:color w:val="000000"/>
                <w:sz w:val="22"/>
              </w:rPr>
              <w:t>权重分</w:t>
            </w:r>
          </w:p>
        </w:tc>
        <w:tc>
          <w:tcPr>
            <w:tcW w:w="2278" w:type="dxa"/>
            <w:tcBorders>
              <w:top w:val="single" w:color="auto" w:sz="4" w:space="0"/>
              <w:left w:val="nil"/>
              <w:bottom w:val="single" w:color="auto" w:sz="4" w:space="0"/>
              <w:right w:val="single" w:color="auto" w:sz="4" w:space="0"/>
            </w:tcBorders>
            <w:shd w:val="clear" w:color="000000" w:fill="BEBEBE" w:themeFill="background1" w:themeFillShade="BF"/>
            <w:vAlign w:val="center"/>
          </w:tcPr>
          <w:p>
            <w:pPr>
              <w:spacing w:line="560" w:lineRule="exact"/>
              <w:jc w:val="center"/>
              <w:rPr>
                <w:b/>
                <w:bCs/>
                <w:color w:val="000000"/>
                <w:sz w:val="22"/>
              </w:rPr>
            </w:pPr>
            <w:r>
              <w:rPr>
                <w:rFonts w:hint="eastAsia"/>
                <w:b/>
                <w:bCs/>
                <w:color w:val="000000"/>
                <w:sz w:val="22"/>
              </w:rPr>
              <w:t>得分</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项目决策</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项目过程</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19.15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项目产出</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40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37.65</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jc w:val="center"/>
              <w:rPr>
                <w:rFonts w:eastAsia="宋体"/>
                <w:color w:val="000000"/>
                <w:sz w:val="22"/>
              </w:rPr>
            </w:pPr>
            <w:r>
              <w:rPr>
                <w:rFonts w:hint="eastAsia" w:eastAsia="宋体"/>
                <w:color w:val="000000"/>
                <w:sz w:val="22"/>
              </w:rPr>
              <w:t>项目效益</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color w:val="000000"/>
                <w:sz w:val="22"/>
              </w:rPr>
            </w:pPr>
            <w:r>
              <w:rPr>
                <w:rFonts w:hint="eastAsia"/>
                <w:color w:val="000000"/>
                <w:sz w:val="22"/>
              </w:rPr>
              <w:t>20</w:t>
            </w:r>
          </w:p>
        </w:tc>
      </w:tr>
      <w:tr>
        <w:tblPrEx>
          <w:tblLayout w:type="fixed"/>
          <w:tblCellMar>
            <w:top w:w="0" w:type="dxa"/>
            <w:left w:w="108" w:type="dxa"/>
            <w:bottom w:w="0" w:type="dxa"/>
            <w:right w:w="108" w:type="dxa"/>
          </w:tblCellMar>
        </w:tblPrEx>
        <w:trPr>
          <w:trHeight w:val="340" w:hRule="atLeast"/>
          <w:jc w:val="center"/>
        </w:trPr>
        <w:tc>
          <w:tcPr>
            <w:tcW w:w="3137" w:type="dxa"/>
            <w:tcBorders>
              <w:top w:val="nil"/>
              <w:left w:val="single" w:color="auto" w:sz="4" w:space="0"/>
              <w:bottom w:val="single" w:color="auto" w:sz="4" w:space="0"/>
              <w:right w:val="single" w:color="auto" w:sz="4" w:space="0"/>
            </w:tcBorders>
            <w:shd w:val="clear" w:color="auto" w:fill="auto"/>
            <w:vAlign w:val="center"/>
          </w:tcPr>
          <w:p>
            <w:pPr>
              <w:spacing w:line="560" w:lineRule="exact"/>
              <w:jc w:val="center"/>
              <w:rPr>
                <w:rFonts w:cs="宋体"/>
                <w:b/>
                <w:bCs/>
                <w:color w:val="000000"/>
                <w:sz w:val="22"/>
              </w:rPr>
            </w:pPr>
            <w:r>
              <w:rPr>
                <w:rFonts w:hint="eastAsia" w:cs="宋体"/>
                <w:b/>
                <w:bCs/>
                <w:color w:val="000000"/>
                <w:sz w:val="22"/>
              </w:rPr>
              <w:t>合计</w:t>
            </w:r>
          </w:p>
        </w:tc>
        <w:tc>
          <w:tcPr>
            <w:tcW w:w="2168" w:type="dxa"/>
            <w:tcBorders>
              <w:top w:val="nil"/>
              <w:left w:val="nil"/>
              <w:bottom w:val="single" w:color="auto" w:sz="4" w:space="0"/>
              <w:right w:val="single" w:color="auto" w:sz="4" w:space="0"/>
            </w:tcBorders>
            <w:shd w:val="clear" w:color="auto" w:fill="auto"/>
            <w:vAlign w:val="center"/>
          </w:tcPr>
          <w:p>
            <w:pPr>
              <w:spacing w:line="560" w:lineRule="exact"/>
              <w:jc w:val="center"/>
              <w:rPr>
                <w:b/>
                <w:bCs/>
                <w:color w:val="000000"/>
                <w:sz w:val="22"/>
              </w:rPr>
            </w:pPr>
            <w:r>
              <w:rPr>
                <w:rFonts w:hint="eastAsia"/>
                <w:b/>
                <w:bCs/>
                <w:color w:val="000000"/>
                <w:sz w:val="22"/>
              </w:rPr>
              <w:t>100</w:t>
            </w:r>
          </w:p>
        </w:tc>
        <w:tc>
          <w:tcPr>
            <w:tcW w:w="2278" w:type="dxa"/>
            <w:tcBorders>
              <w:top w:val="nil"/>
              <w:left w:val="nil"/>
              <w:bottom w:val="single" w:color="auto" w:sz="4" w:space="0"/>
              <w:right w:val="single" w:color="auto" w:sz="4" w:space="0"/>
            </w:tcBorders>
            <w:shd w:val="clear" w:color="auto" w:fill="auto"/>
            <w:vAlign w:val="center"/>
          </w:tcPr>
          <w:p>
            <w:pPr>
              <w:spacing w:line="560" w:lineRule="exact"/>
              <w:jc w:val="center"/>
              <w:rPr>
                <w:b/>
                <w:bCs/>
                <w:color w:val="000000"/>
                <w:sz w:val="22"/>
              </w:rPr>
            </w:pPr>
            <w:r>
              <w:rPr>
                <w:rFonts w:hint="eastAsia"/>
                <w:b/>
                <w:bCs/>
                <w:color w:val="000000"/>
                <w:sz w:val="22"/>
              </w:rPr>
              <w:t>96.80</w:t>
            </w:r>
          </w:p>
        </w:tc>
      </w:tr>
    </w:tbl>
    <w:p>
      <w:pPr>
        <w:spacing w:line="560" w:lineRule="exact"/>
        <w:rPr>
          <w:rFonts w:eastAsia="黑体"/>
          <w:bCs/>
          <w:sz w:val="32"/>
          <w:szCs w:val="32"/>
        </w:rPr>
      </w:pPr>
      <w:bookmarkStart w:id="11" w:name="_Toc68703837"/>
      <w:r>
        <w:rPr>
          <w:rFonts w:hint="eastAsia" w:eastAsia="黑体"/>
          <w:bCs/>
          <w:sz w:val="32"/>
          <w:szCs w:val="32"/>
        </w:rPr>
        <w:t>四、绩效评价指标分析</w:t>
      </w:r>
      <w:bookmarkEnd w:id="11"/>
    </w:p>
    <w:p>
      <w:pPr>
        <w:spacing w:line="560" w:lineRule="exact"/>
        <w:rPr>
          <w:rFonts w:eastAsia="楷体_GB2312"/>
          <w:b/>
          <w:bCs/>
          <w:sz w:val="32"/>
          <w:szCs w:val="32"/>
        </w:rPr>
      </w:pPr>
      <w:bookmarkStart w:id="12" w:name="_Toc68703838"/>
      <w:r>
        <w:rPr>
          <w:rFonts w:hint="eastAsia" w:eastAsia="楷体_GB2312"/>
          <w:b/>
          <w:bCs/>
          <w:sz w:val="32"/>
          <w:szCs w:val="32"/>
        </w:rPr>
        <w:t>（一）项目决策情况</w:t>
      </w:r>
      <w:bookmarkEnd w:id="12"/>
    </w:p>
    <w:p>
      <w:pPr>
        <w:spacing w:line="560" w:lineRule="exact"/>
        <w:jc w:val="left"/>
        <w:rPr>
          <w:sz w:val="32"/>
          <w:szCs w:val="32"/>
        </w:rPr>
      </w:pPr>
      <w:r>
        <w:rPr>
          <w:rFonts w:hint="eastAsia"/>
          <w:sz w:val="32"/>
          <w:szCs w:val="32"/>
        </w:rPr>
        <w:t>　　项目决策类指标包括项目立项、绩效目标和资金投入三方面的内容，由6个三级指标构成，权重分值为20分，实际得分20分，得分率为100%。</w:t>
      </w:r>
    </w:p>
    <w:p>
      <w:pPr>
        <w:pStyle w:val="24"/>
        <w:spacing w:line="560" w:lineRule="exact"/>
        <w:ind w:left="640" w:firstLine="0"/>
        <w:rPr>
          <w:rFonts w:ascii="仿宋_GB2312" w:hAnsi="仿宋_GB2312" w:cs="仿宋_GB2312"/>
          <w:b/>
          <w:bCs/>
          <w:sz w:val="32"/>
          <w:szCs w:val="32"/>
        </w:rPr>
      </w:pPr>
      <w:r>
        <w:rPr>
          <w:rFonts w:hint="eastAsia" w:ascii="仿宋_GB2312" w:hAnsi="仿宋_GB2312" w:cs="仿宋_GB2312"/>
          <w:b/>
          <w:bCs/>
          <w:sz w:val="32"/>
          <w:szCs w:val="32"/>
        </w:rPr>
        <w:t>1.项目立项</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（1）立项依据充分性</w:t>
      </w:r>
    </w:p>
    <w:p>
      <w:pPr>
        <w:spacing w:line="600" w:lineRule="exact"/>
        <w:ind w:firstLine="640" w:firstLineChars="200"/>
        <w:outlineLvl w:val="0"/>
        <w:rPr>
          <w:color w:val="FF0000"/>
          <w:sz w:val="32"/>
          <w:szCs w:val="32"/>
        </w:rPr>
      </w:pPr>
      <w:r>
        <w:rPr>
          <w:rFonts w:hint="eastAsia" w:ascii="仿宋_GB2312" w:hAnsi="仿宋_GB2312" w:cs="仿宋_GB2312"/>
          <w:sz w:val="32"/>
          <w:szCs w:val="32"/>
        </w:rPr>
        <w:t>该项目立项符合国家相关法律法规及发展政策，符合行业规划要求，围绕本年度工作重点和工作计划制定经费预算，属于公共财政支持范围。本项目与部门内部其他相关项目不重复。部门发展规划及职能文件等归档完整。</w:t>
      </w:r>
    </w:p>
    <w:p>
      <w:pPr>
        <w:spacing w:line="560" w:lineRule="exact"/>
        <w:ind w:firstLine="640" w:firstLineChars="200"/>
        <w:jc w:val="left"/>
        <w:rPr>
          <w:sz w:val="32"/>
          <w:szCs w:val="32"/>
        </w:rPr>
      </w:pPr>
      <w:r>
        <w:rPr>
          <w:rFonts w:hint="eastAsia"/>
          <w:sz w:val="32"/>
          <w:szCs w:val="32"/>
        </w:rPr>
        <w:t>2.立项程序规范性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项目申请、设立过程符合相关要求，</w:t>
      </w:r>
      <w:r>
        <w:rPr>
          <w:rFonts w:hint="eastAsia" w:ascii="仿宋_GB2312" w:hAnsi="仿宋_GB2312" w:cs="仿宋_GB2312"/>
          <w:sz w:val="32"/>
          <w:szCs w:val="32"/>
          <w:lang w:eastAsia="zh-Hans"/>
        </w:rPr>
        <w:t>严格按照审批流程准备符合要求的文件、材料；</w:t>
      </w:r>
      <w:r>
        <w:rPr>
          <w:rFonts w:hint="eastAsia" w:ascii="仿宋_GB2312" w:hAnsi="仿宋_GB2312" w:cs="仿宋_GB2312"/>
          <w:sz w:val="32"/>
          <w:szCs w:val="32"/>
        </w:rPr>
        <w:t>根据决算依据编制工作计划和经费预算，经过与部门项目分管领导沟通、筛选确定经费预算计划，确定最终预算方案。项目的审批文件、材料符合相关要求，项目事前经过必要的可行性研究、专家论证、风险评估、绩效评估、集体决策，保障了程序的规范性。</w:t>
      </w:r>
    </w:p>
    <w:p>
      <w:pPr>
        <w:pStyle w:val="24"/>
        <w:spacing w:line="560" w:lineRule="exact"/>
        <w:ind w:firstLine="640"/>
        <w:rPr>
          <w:sz w:val="32"/>
          <w:szCs w:val="32"/>
        </w:rPr>
      </w:pPr>
      <w:r>
        <w:rPr>
          <w:rFonts w:hint="eastAsia" w:ascii="仿宋_GB2312" w:hAnsi="仿宋_GB2312" w:cs="仿宋_GB2312"/>
          <w:b/>
          <w:bCs/>
          <w:sz w:val="32"/>
          <w:szCs w:val="32"/>
        </w:rPr>
        <w:t>2.绩效目标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（1）绩效目标合理性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lang w:eastAsia="zh-Hans"/>
        </w:rPr>
        <w:t>年初结合实际工作内容</w:t>
      </w:r>
      <w:r>
        <w:rPr>
          <w:rFonts w:hint="eastAsia" w:ascii="仿宋_GB2312" w:hAnsi="仿宋_GB2312" w:cs="仿宋_GB2312"/>
          <w:sz w:val="32"/>
          <w:szCs w:val="32"/>
        </w:rPr>
        <w:t>设定绩效目标</w:t>
      </w:r>
      <w:r>
        <w:rPr>
          <w:rFonts w:hint="eastAsia" w:ascii="仿宋_GB2312" w:hAnsi="仿宋_GB2312" w:cs="仿宋_GB2312"/>
          <w:sz w:val="32"/>
          <w:szCs w:val="32"/>
          <w:lang w:eastAsia="zh-Hans"/>
        </w:rPr>
        <w:t>，绩效目标</w:t>
      </w:r>
      <w:r>
        <w:rPr>
          <w:rFonts w:hint="eastAsia" w:ascii="仿宋_GB2312" w:hAnsi="仿宋_GB2312" w:cs="仿宋_GB2312"/>
          <w:sz w:val="32"/>
          <w:szCs w:val="32"/>
        </w:rPr>
        <w:t>依据充分，符合客观实际，能反映和考核项目绩效目标与项目实施的相符情况，依据绩效目标设定的绩效指标清晰、细化、可衡量，能反映和考核项目绩效目标的明细化情况。绩效目标表经过审核，绩效目标与实际工作内容具有相关性，预算与确定的项目投资额相匹配，对项目任务进行了详细分解。项目预期产出效益及效果符合正常的业绩水平。</w:t>
      </w:r>
    </w:p>
    <w:p>
      <w:pPr>
        <w:spacing w:line="600" w:lineRule="exact"/>
        <w:ind w:firstLine="640" w:firstLineChars="200"/>
        <w:outlineLvl w:val="0"/>
        <w:rPr>
          <w:rFonts w:ascii="仿宋_GB2312" w:hAnsi="仿宋_GB2312" w:cs="仿宋_GB2312"/>
          <w:sz w:val="32"/>
          <w:szCs w:val="32"/>
        </w:rPr>
      </w:pPr>
      <w:bookmarkStart w:id="13" w:name="_Hlk68699917"/>
      <w:r>
        <w:rPr>
          <w:rFonts w:hint="eastAsia" w:ascii="仿宋_GB2312" w:hAnsi="仿宋_GB2312" w:cs="仿宋_GB2312"/>
          <w:sz w:val="32"/>
          <w:szCs w:val="32"/>
        </w:rPr>
        <w:t>（2）绩效指标明确性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项目设置了明确的预期产出效益和效果，将绩效目标细化分解为具体的绩效指标，绩效目标与项目目标任务数相对应，绩效目标设定的绩效指标清晰、细化、可衡量。</w:t>
      </w:r>
    </w:p>
    <w:bookmarkEnd w:id="13"/>
    <w:p>
      <w:pPr>
        <w:pStyle w:val="24"/>
        <w:spacing w:line="560" w:lineRule="exact"/>
        <w:ind w:left="640" w:firstLine="0"/>
        <w:rPr>
          <w:rFonts w:ascii="仿宋_GB2312" w:hAnsi="仿宋_GB2312" w:cs="仿宋_GB2312"/>
          <w:b/>
          <w:bCs/>
          <w:sz w:val="32"/>
          <w:szCs w:val="32"/>
        </w:rPr>
      </w:pPr>
      <w:r>
        <w:rPr>
          <w:rFonts w:hint="eastAsia" w:ascii="仿宋_GB2312" w:hAnsi="仿宋_GB2312" w:cs="仿宋_GB2312"/>
          <w:b/>
          <w:bCs/>
          <w:sz w:val="32"/>
          <w:szCs w:val="32"/>
        </w:rPr>
        <w:t>3.资金投入</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（1）预算编制科学性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预算编制经过科学论证，提供充分的测算依据佐证资料，预算内容与项目内容相匹配。项目投资额与工作任务相匹配。</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（2）资金分配合理性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资金分配额度与项目单位实际工作内容相适应，资金分配额度合理，资金分配依据充分。</w:t>
      </w:r>
    </w:p>
    <w:p>
      <w:pPr>
        <w:pStyle w:val="2"/>
        <w:spacing w:before="0" w:after="0" w:line="560" w:lineRule="exact"/>
        <w:jc w:val="both"/>
        <w:rPr>
          <w:rFonts w:ascii="楷体" w:hAnsi="楷体" w:eastAsia="楷体" w:cs="楷体"/>
        </w:rPr>
      </w:pPr>
      <w:r>
        <w:rPr>
          <w:rFonts w:hint="eastAsia" w:ascii="楷体" w:hAnsi="楷体" w:eastAsia="楷体" w:cs="楷体"/>
        </w:rPr>
        <w:t>（二）项目过程情况</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项目过程类指标包括资金管理和组织实施两方面的内容，由5个三级指标构成，权重分值为20分，实际得分19.15分，得分率为95.75%。</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项目资金使用符合相关的财务管理制度规定，能够反映和考核项目资金的规范运行情况；项目实施单位的财务和业务管理制度健全，能够反映和考核财务和业务管理制度对项目顺利实施的保障情况。</w:t>
      </w:r>
    </w:p>
    <w:p>
      <w:pPr>
        <w:pStyle w:val="24"/>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1.资金管理</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（1）资金到位率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本项目总投资35.02万元，财政资金及时足额到位，到位率100%，预算资金按计划进度执行。</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（2）预算执行率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预算编制较为详细，项目资金支出总体能够按照预算执行，预算资金支出27.58万元，预算执行率为78.75%。</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（3）资金使用合规性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严格按照预期绩效目标执行预算资金。制定了相关的制度和管理规定，对项目经费使用进行规范管理，财务制度健全、执行严格。资金的拨付有完整的审批程序和手续，在项目资金拨付和使用过程中，为确保项目资金的安全性，提高项目资金使用效率，严格遵循项目资金的拨付程序，认真审核项目实施各阶段的相关材料和手续，根据项目实施进展情况拨付资金。资金使用符合该项目的立项批复。资金不存在截留、挤占、挪用、虚列支出等情况。</w:t>
      </w:r>
    </w:p>
    <w:p>
      <w:pPr>
        <w:pStyle w:val="24"/>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2.组织实施</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（1）管理制度健全性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制定了相关管理办法，对财政资金进行严格管理，做到专款专用，项目资金使用符合相关的财务管理制度规定，能够反映和考核项目资金的规范运行情况；项目实施单位的财务和业务管理制度健全，能够反映和考核财务和业务管理制度对项目顺利实施的保障情况。</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（2）制度执行有效性</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对资金使用的合法合规性进行监督，年末对资金使用效果进行评价。项目管理、实施人员落实到位，有效按照计划执行。项目执行情况等资料齐全，项目相关手续完备，及时进行归档。</w:t>
      </w:r>
    </w:p>
    <w:p>
      <w:pPr>
        <w:pStyle w:val="24"/>
        <w:tabs>
          <w:tab w:val="left" w:pos="566"/>
        </w:tabs>
        <w:spacing w:line="560" w:lineRule="exact"/>
        <w:ind w:firstLine="640"/>
        <w:rPr>
          <w:rFonts w:ascii="仿宋_GB2312" w:hAnsi="仿宋_GB2312" w:cs="仿宋_GB2312"/>
          <w:b/>
          <w:bCs/>
          <w:sz w:val="32"/>
          <w:szCs w:val="32"/>
        </w:rPr>
      </w:pPr>
      <w:bookmarkStart w:id="14" w:name="_Toc68703840"/>
      <w:r>
        <w:rPr>
          <w:rFonts w:hint="eastAsia" w:ascii="仿宋_GB2312" w:hAnsi="仿宋_GB2312" w:cs="仿宋_GB2312"/>
          <w:b/>
          <w:bCs/>
          <w:sz w:val="32"/>
          <w:szCs w:val="32"/>
        </w:rPr>
        <w:t>（三）项目产出情况</w:t>
      </w:r>
      <w:bookmarkEnd w:id="14"/>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项目产出类指标包括产出数量、产出质量、产出时效、产出成本四方面的内容，由7个三级指标构成，权重分为40分，实际得分37.65分，得分率为94.13%。具体产出指标完成情况如下：</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1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①</w:t>
      </w:r>
      <w:r>
        <w:rPr>
          <w:rFonts w:hint="eastAsia" w:ascii="仿宋_GB2312" w:hAnsi="仿宋_GB2312" w:cs="仿宋_GB2312"/>
          <w:sz w:val="32"/>
          <w:szCs w:val="32"/>
        </w:rPr>
        <w:fldChar w:fldCharType="end"/>
      </w:r>
      <w:r>
        <w:rPr>
          <w:rFonts w:hint="eastAsia" w:ascii="仿宋_GB2312" w:hAnsi="仿宋_GB2312" w:cs="仿宋_GB2312"/>
          <w:sz w:val="32"/>
          <w:szCs w:val="32"/>
        </w:rPr>
        <w:t>数量指标：</w:t>
      </w:r>
    </w:p>
    <w:p>
      <w:pPr>
        <w:spacing w:line="560" w:lineRule="exact"/>
        <w:ind w:firstLine="640" w:firstLineChars="200"/>
        <w:rPr>
          <w:color w:val="FF0000"/>
          <w:sz w:val="32"/>
          <w:szCs w:val="32"/>
        </w:rPr>
      </w:pPr>
      <w:r>
        <w:rPr>
          <w:rFonts w:hint="eastAsia"/>
          <w:sz w:val="32"/>
          <w:szCs w:val="32"/>
        </w:rPr>
        <w:t>指标1：定额工勤人数，指标值：≥2人，实际完成值：2人，指标完成率100%。</w:t>
      </w:r>
    </w:p>
    <w:p>
      <w:pPr>
        <w:spacing w:line="560" w:lineRule="exact"/>
        <w:ind w:firstLine="640" w:firstLineChars="200"/>
        <w:rPr>
          <w:color w:val="FF0000"/>
          <w:sz w:val="32"/>
          <w:szCs w:val="32"/>
        </w:rPr>
      </w:pPr>
      <w:r>
        <w:rPr>
          <w:rFonts w:hint="eastAsia"/>
          <w:sz w:val="32"/>
          <w:szCs w:val="32"/>
        </w:rPr>
        <w:t>指标2：村医人数，指标值：≥7人，实际完成值：6人，指标完成率85.71%，偏差原因：2023年2月一名村医辞职，计划新增招聘村医，因条件环境影响，招聘较为困难，未招录成功。加强村医培训，加强人员管理。</w:t>
      </w:r>
    </w:p>
    <w:p>
      <w:pPr>
        <w:spacing w:line="600" w:lineRule="exact"/>
        <w:ind w:firstLine="640" w:firstLineChars="200"/>
        <w:outlineLvl w:val="0"/>
        <w:rPr>
          <w:color w:val="FF0000"/>
          <w:sz w:val="32"/>
          <w:szCs w:val="32"/>
        </w:rPr>
      </w:pPr>
      <w:r>
        <w:rPr>
          <w:rFonts w:hint="eastAsia" w:ascii="仿宋_GB2312" w:hAnsi="仿宋_GB2312" w:cs="仿宋_GB2312"/>
          <w:sz w:val="32"/>
          <w:szCs w:val="32"/>
        </w:rPr>
        <w:t>指标3：资金发放次数，</w:t>
      </w:r>
      <w:r>
        <w:rPr>
          <w:rFonts w:hint="eastAsia"/>
          <w:sz w:val="32"/>
          <w:szCs w:val="32"/>
        </w:rPr>
        <w:t>指标值：＝12次，实际完成值：12次，指标完成率100%。</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2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②</w:t>
      </w:r>
      <w:r>
        <w:rPr>
          <w:rFonts w:hint="eastAsia" w:ascii="仿宋_GB2312" w:hAnsi="仿宋_GB2312" w:cs="仿宋_GB2312"/>
          <w:sz w:val="32"/>
          <w:szCs w:val="32"/>
        </w:rPr>
        <w:fldChar w:fldCharType="end"/>
      </w:r>
      <w:r>
        <w:rPr>
          <w:rFonts w:hint="eastAsia" w:ascii="仿宋_GB2312" w:hAnsi="仿宋_GB2312" w:cs="仿宋_GB2312"/>
          <w:sz w:val="32"/>
          <w:szCs w:val="32"/>
        </w:rPr>
        <w:t>质量指标：</w:t>
      </w:r>
    </w:p>
    <w:p>
      <w:pPr>
        <w:spacing w:line="560" w:lineRule="exact"/>
        <w:ind w:firstLine="640" w:firstLineChars="200"/>
      </w:pPr>
      <w:r>
        <w:rPr>
          <w:rFonts w:hint="eastAsia"/>
          <w:sz w:val="32"/>
          <w:szCs w:val="32"/>
        </w:rPr>
        <w:t>指标1：村医及工勤工资发放准确性，指标值：≥95%，实际完成值：100%，指标完成率105.26%。</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3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③</w:t>
      </w:r>
      <w:r>
        <w:rPr>
          <w:rFonts w:hint="eastAsia" w:ascii="仿宋_GB2312" w:hAnsi="仿宋_GB2312" w:cs="仿宋_GB2312"/>
          <w:sz w:val="32"/>
          <w:szCs w:val="32"/>
        </w:rPr>
        <w:fldChar w:fldCharType="end"/>
      </w:r>
      <w:r>
        <w:rPr>
          <w:rFonts w:hint="eastAsia" w:ascii="仿宋_GB2312" w:hAnsi="仿宋_GB2312" w:cs="仿宋_GB2312"/>
          <w:sz w:val="32"/>
          <w:szCs w:val="32"/>
        </w:rPr>
        <w:t>时效指标：</w:t>
      </w:r>
    </w:p>
    <w:p>
      <w:pPr>
        <w:spacing w:line="600" w:lineRule="exact"/>
        <w:ind w:firstLine="640" w:firstLineChars="200"/>
        <w:outlineLvl w:val="0"/>
        <w:rPr>
          <w:rFonts w:ascii="仿宋_GB2312" w:hAnsi="仿宋_GB2312" w:cs="仿宋_GB2312"/>
          <w:sz w:val="32"/>
          <w:szCs w:val="32"/>
        </w:rPr>
      </w:pPr>
      <w:bookmarkStart w:id="15" w:name="_Toc68703841"/>
      <w:r>
        <w:rPr>
          <w:rFonts w:hint="eastAsia"/>
          <w:sz w:val="32"/>
          <w:szCs w:val="32"/>
        </w:rPr>
        <w:t>指标1：</w:t>
      </w:r>
      <w:r>
        <w:rPr>
          <w:rFonts w:hint="eastAsia" w:ascii="仿宋_GB2312" w:hAnsi="仿宋_GB2312" w:cs="仿宋_GB2312"/>
          <w:sz w:val="32"/>
          <w:szCs w:val="32"/>
        </w:rPr>
        <w:t>　</w:t>
      </w:r>
      <w:r>
        <w:rPr>
          <w:rFonts w:hint="eastAsia"/>
          <w:sz w:val="32"/>
          <w:szCs w:val="32"/>
        </w:rPr>
        <w:t>资金发放（补助）及时率，指标值：≥95%，实际完成值：100%，指标完成率105.26%。</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fldChar w:fldCharType="begin"/>
      </w:r>
      <w:r>
        <w:rPr>
          <w:rFonts w:hint="eastAsia" w:ascii="仿宋_GB2312" w:hAnsi="仿宋_GB2312" w:cs="仿宋_GB2312"/>
          <w:sz w:val="32"/>
          <w:szCs w:val="32"/>
        </w:rPr>
        <w:instrText xml:space="preserve"> = 4 \* GB3 </w:instrText>
      </w:r>
      <w:r>
        <w:rPr>
          <w:rFonts w:hint="eastAsia" w:ascii="仿宋_GB2312" w:hAnsi="仿宋_GB2312" w:cs="仿宋_GB2312"/>
          <w:sz w:val="32"/>
          <w:szCs w:val="32"/>
        </w:rPr>
        <w:fldChar w:fldCharType="separate"/>
      </w:r>
      <w:r>
        <w:rPr>
          <w:rFonts w:hint="eastAsia" w:ascii="仿宋_GB2312" w:hAnsi="仿宋_GB2312" w:cs="仿宋_GB2312"/>
          <w:sz w:val="32"/>
          <w:szCs w:val="32"/>
        </w:rPr>
        <w:t>④</w:t>
      </w:r>
      <w:r>
        <w:rPr>
          <w:rFonts w:hint="eastAsia" w:ascii="仿宋_GB2312" w:hAnsi="仿宋_GB2312" w:cs="仿宋_GB2312"/>
          <w:sz w:val="32"/>
          <w:szCs w:val="32"/>
        </w:rPr>
        <w:fldChar w:fldCharType="end"/>
      </w:r>
      <w:r>
        <w:rPr>
          <w:rFonts w:hint="eastAsia" w:ascii="仿宋_GB2312" w:hAnsi="仿宋_GB2312" w:cs="仿宋_GB2312"/>
          <w:sz w:val="32"/>
          <w:szCs w:val="32"/>
        </w:rPr>
        <w:t>成本指标：</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指标1：村医工资及社保缴纳金额，</w:t>
      </w:r>
      <w:r>
        <w:rPr>
          <w:rFonts w:hint="eastAsia"/>
          <w:sz w:val="32"/>
          <w:szCs w:val="32"/>
        </w:rPr>
        <w:t>指标值：≤20.82万元，实际完成值：13.38万元，指标完成率64.27%，偏差原因：2023年2月一名村医辞职，导致其工资及社保未发放，计划新增招聘村医，因条件环境影响，招聘较为困难，未招录成功。加强人员培训，以实际情况对村医人数核实预算。</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指标2：市聘工勤工资及社保缴纳金额，</w:t>
      </w:r>
      <w:r>
        <w:rPr>
          <w:rFonts w:hint="eastAsia"/>
          <w:sz w:val="32"/>
          <w:szCs w:val="32"/>
        </w:rPr>
        <w:t>指标值：≤14.20万元，实际完成值：14.2万元，指标完成率100%。</w:t>
      </w:r>
    </w:p>
    <w:p>
      <w:pPr>
        <w:pStyle w:val="24"/>
        <w:spacing w:line="560" w:lineRule="exact"/>
        <w:ind w:firstLine="640"/>
        <w:rPr>
          <w:rFonts w:ascii="仿宋_GB2312" w:hAnsi="仿宋_GB2312" w:cs="仿宋_GB2312"/>
          <w:b/>
          <w:bCs/>
          <w:sz w:val="32"/>
          <w:szCs w:val="32"/>
        </w:rPr>
      </w:pPr>
      <w:r>
        <w:rPr>
          <w:rFonts w:hint="eastAsia" w:ascii="仿宋_GB2312" w:hAnsi="仿宋_GB2312" w:cs="仿宋_GB2312"/>
          <w:b/>
          <w:bCs/>
          <w:sz w:val="32"/>
          <w:szCs w:val="32"/>
        </w:rPr>
        <w:t>（四）项目效益情况</w:t>
      </w:r>
      <w:bookmarkEnd w:id="15"/>
    </w:p>
    <w:p>
      <w:pPr>
        <w:spacing w:line="600" w:lineRule="exact"/>
        <w:ind w:firstLine="640" w:firstLineChars="200"/>
        <w:outlineLvl w:val="0"/>
      </w:pPr>
      <w:r>
        <w:rPr>
          <w:rFonts w:hint="eastAsia" w:ascii="仿宋_GB2312" w:hAnsi="仿宋_GB2312" w:cs="仿宋_GB2312"/>
          <w:sz w:val="32"/>
          <w:szCs w:val="32"/>
        </w:rPr>
        <w:t>项目效益类指标包括项目实施效益和满意度两方面的内容，由2个三级指标构成，权重分为20分，实际得分20分，得分率为100%。具体效益指标及满意度指标完成情况如下：</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1.实施效益</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①社会效益指标：</w:t>
      </w:r>
    </w:p>
    <w:p>
      <w:pPr>
        <w:spacing w:line="600" w:lineRule="exact"/>
        <w:ind w:firstLine="640" w:firstLineChars="200"/>
        <w:outlineLvl w:val="0"/>
        <w:rPr>
          <w:sz w:val="32"/>
          <w:szCs w:val="32"/>
        </w:rPr>
      </w:pPr>
      <w:r>
        <w:rPr>
          <w:rFonts w:hint="eastAsia" w:ascii="仿宋_GB2312" w:hAnsi="仿宋_GB2312" w:cs="仿宋_GB2312"/>
          <w:sz w:val="32"/>
          <w:szCs w:val="32"/>
        </w:rPr>
        <w:t>指标1：改善城乡居民就医条件，</w:t>
      </w:r>
      <w:r>
        <w:rPr>
          <w:rFonts w:hint="eastAsia"/>
          <w:sz w:val="32"/>
          <w:szCs w:val="32"/>
        </w:rPr>
        <w:t>指标值：明显改善，实际完成值：明显改善，指标完成率100%。</w:t>
      </w:r>
    </w:p>
    <w:p>
      <w:pPr>
        <w:spacing w:line="600" w:lineRule="exact"/>
        <w:ind w:firstLine="640" w:firstLineChars="200"/>
        <w:outlineLvl w:val="0"/>
        <w:rPr>
          <w:sz w:val="32"/>
          <w:szCs w:val="32"/>
        </w:rPr>
      </w:pPr>
      <w:r>
        <w:rPr>
          <w:rFonts w:hint="eastAsia" w:ascii="仿宋_GB2312" w:hAnsi="仿宋_GB2312" w:cs="仿宋_GB2312"/>
          <w:sz w:val="32"/>
          <w:szCs w:val="32"/>
        </w:rPr>
        <w:t>指标2：保障卫生院工资正常开展</w:t>
      </w:r>
      <w:r>
        <w:rPr>
          <w:rFonts w:hint="eastAsia"/>
          <w:sz w:val="32"/>
          <w:szCs w:val="32"/>
        </w:rPr>
        <w:t>，指标值：有效保障，实际完成值：有效保障，指标完成率100%。</w:t>
      </w:r>
    </w:p>
    <w:p>
      <w:pPr>
        <w:spacing w:line="600" w:lineRule="exact"/>
        <w:ind w:firstLine="640" w:firstLineChars="200"/>
        <w:outlineLvl w:val="0"/>
        <w:rPr>
          <w:sz w:val="32"/>
          <w:szCs w:val="32"/>
        </w:rPr>
      </w:pPr>
      <w:r>
        <w:rPr>
          <w:rFonts w:hint="eastAsia"/>
          <w:sz w:val="32"/>
          <w:szCs w:val="32"/>
        </w:rPr>
        <w:t>2.满意度</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满意度指标：指标1：职工满意度，</w:t>
      </w:r>
      <w:r>
        <w:rPr>
          <w:rFonts w:hint="eastAsia"/>
          <w:sz w:val="32"/>
          <w:szCs w:val="32"/>
        </w:rPr>
        <w:t>指标值：≥95%，实际完成值：95%，指标完成率100%。</w:t>
      </w:r>
    </w:p>
    <w:p>
      <w:pPr>
        <w:spacing w:line="560" w:lineRule="exact"/>
        <w:rPr>
          <w:rFonts w:eastAsia="黑体"/>
          <w:sz w:val="32"/>
          <w:szCs w:val="32"/>
          <w:lang w:eastAsia="zh-Hans"/>
        </w:rPr>
      </w:pPr>
      <w:r>
        <w:rPr>
          <w:rFonts w:hint="eastAsia" w:eastAsia="黑体"/>
          <w:sz w:val="32"/>
          <w:szCs w:val="32"/>
          <w:lang w:eastAsia="zh-Hans"/>
        </w:rPr>
        <w:t>五、预算执行进度与绩效指标总体完成率偏差</w:t>
      </w:r>
    </w:p>
    <w:p>
      <w:pPr>
        <w:pStyle w:val="24"/>
        <w:spacing w:line="560" w:lineRule="exact"/>
        <w:ind w:firstLine="640"/>
      </w:pPr>
      <w:r>
        <w:rPr>
          <w:rFonts w:hint="eastAsia"/>
          <w:sz w:val="32"/>
          <w:szCs w:val="32"/>
        </w:rPr>
        <w:t>村医、工勤工资及社保缴纳项目年初预算35.02万元，全年预算35.02万元，实际支出27.58万元，预算执行率为78.75%，项目绩效指标总体完成率为96.05%，</w:t>
      </w:r>
      <w:r>
        <w:rPr>
          <w:rFonts w:hint="eastAsia"/>
          <w:sz w:val="32"/>
          <w:szCs w:val="32"/>
          <w:lang w:eastAsia="zh-Hans"/>
        </w:rPr>
        <w:t>总体</w:t>
      </w:r>
      <w:r>
        <w:rPr>
          <w:rFonts w:hint="eastAsia"/>
          <w:sz w:val="32"/>
          <w:szCs w:val="32"/>
        </w:rPr>
        <w:t>偏差率为17.30%,</w:t>
      </w:r>
      <w:r>
        <w:rPr>
          <w:rFonts w:hint="eastAsia"/>
          <w:sz w:val="32"/>
          <w:szCs w:val="32"/>
          <w:lang w:eastAsia="zh-Hans"/>
        </w:rPr>
        <w:t>偏差</w:t>
      </w:r>
      <w:r>
        <w:rPr>
          <w:rFonts w:hint="eastAsia"/>
          <w:sz w:val="32"/>
          <w:szCs w:val="32"/>
        </w:rPr>
        <w:t>原因2023年2月一名村医辞职，导致其工资及社保未发放，计划新增招聘2名村医，因条件环境影响，招聘较为困难，未招录成功。加强人员培训，以实际情况对村医人数核实预算。</w:t>
      </w:r>
    </w:p>
    <w:p>
      <w:pPr>
        <w:spacing w:line="560" w:lineRule="exact"/>
        <w:rPr>
          <w:rFonts w:eastAsia="黑体"/>
          <w:bCs/>
          <w:sz w:val="32"/>
          <w:szCs w:val="32"/>
        </w:rPr>
      </w:pPr>
      <w:bookmarkStart w:id="16" w:name="_Toc68703842"/>
      <w:r>
        <w:rPr>
          <w:rFonts w:hint="eastAsia" w:eastAsia="黑体"/>
          <w:bCs/>
          <w:sz w:val="32"/>
          <w:szCs w:val="32"/>
        </w:rPr>
        <w:t>六、主要经验及做法、存在的问题及原因分析</w:t>
      </w:r>
      <w:bookmarkEnd w:id="16"/>
    </w:p>
    <w:p>
      <w:pPr>
        <w:spacing w:line="560" w:lineRule="exact"/>
        <w:rPr>
          <w:rFonts w:eastAsia="楷体_GB2312"/>
          <w:b/>
          <w:bCs/>
          <w:sz w:val="32"/>
          <w:szCs w:val="32"/>
        </w:rPr>
      </w:pPr>
      <w:bookmarkStart w:id="17" w:name="_Toc68703843"/>
      <w:r>
        <w:rPr>
          <w:rFonts w:hint="eastAsia" w:eastAsia="楷体_GB2312"/>
          <w:b/>
          <w:bCs/>
          <w:sz w:val="32"/>
          <w:szCs w:val="32"/>
        </w:rPr>
        <w:t>（一）主要经验及做法</w:t>
      </w:r>
      <w:bookmarkEnd w:id="17"/>
    </w:p>
    <w:p>
      <w:pPr>
        <w:spacing w:line="560" w:lineRule="exact"/>
        <w:ind w:firstLine="640" w:firstLineChars="200"/>
        <w:rPr>
          <w:sz w:val="32"/>
          <w:szCs w:val="32"/>
        </w:rPr>
      </w:pPr>
      <w:r>
        <w:rPr>
          <w:sz w:val="32"/>
          <w:szCs w:val="32"/>
        </w:rPr>
        <w:t>为确保项目顺利进行，提前做好项目规划，将所列计划再三审核。在项目实施过程中做好定期监督检查，严格按照项目管理规范进行，在项目资金使用过程中，严格落实把关，按照项目资金使用范围做好审核工作，让项目资金落于实处。在项目完成后，做好受益群众民意调查及项目防范工作。</w:t>
      </w:r>
    </w:p>
    <w:p>
      <w:pPr>
        <w:pStyle w:val="2"/>
        <w:spacing w:before="0" w:after="0" w:line="560" w:lineRule="exact"/>
        <w:ind w:firstLine="640" w:firstLineChars="200"/>
        <w:jc w:val="left"/>
      </w:pPr>
      <w:r>
        <w:rPr>
          <w:rFonts w:ascii="Times New Roman" w:hAnsi="Times New Roman" w:eastAsia="仿宋_GB2312"/>
          <w:b w:val="0"/>
          <w:bCs w:val="0"/>
          <w:kern w:val="2"/>
        </w:rPr>
        <w:t>严格坚持先做事、后验收、再拨付的原则，基本杜绝了资金被挤占和挪用现象的发生，跟踪检查到位。财政、纪检、监察等职能部门全面参与专项资金事前、事中和事后全过程的监管。在监督环节上，实行关口前移，从事后监督管理转向事前审核，事中监督和事后检查稽核相结合的监督制度上来，形成多环节全过程的监督管理格局，尽量早发现问题，早解决问题。</w:t>
      </w:r>
    </w:p>
    <w:p>
      <w:pPr>
        <w:spacing w:line="560" w:lineRule="exact"/>
        <w:rPr>
          <w:rFonts w:eastAsia="楷体_GB2312"/>
          <w:b/>
          <w:bCs/>
          <w:sz w:val="32"/>
          <w:szCs w:val="32"/>
        </w:rPr>
      </w:pPr>
      <w:bookmarkStart w:id="18" w:name="_Toc68703844"/>
      <w:r>
        <w:rPr>
          <w:rFonts w:hint="eastAsia" w:eastAsia="楷体_GB2312"/>
          <w:b/>
          <w:bCs/>
          <w:sz w:val="32"/>
          <w:szCs w:val="32"/>
        </w:rPr>
        <w:t>（二）存在的问题及原因分析</w:t>
      </w:r>
      <w:bookmarkEnd w:id="18"/>
      <w:r>
        <w:rPr>
          <w:rFonts w:hint="eastAsia" w:eastAsia="楷体_GB2312"/>
          <w:b/>
          <w:bCs/>
          <w:sz w:val="32"/>
          <w:szCs w:val="32"/>
        </w:rPr>
        <w:t>　</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相关绩效管理方面专业知识的系统性学习有待加强。各项指标的设置要进一步优化、完善，主要在细化、量化上改进。在绩效自评过程中，由于部分人员缺乏相关绩效管理专业知识，自评价工作还存在自我审定的局限性，影响评价质量。</w:t>
      </w:r>
    </w:p>
    <w:p>
      <w:pPr>
        <w:spacing w:line="600" w:lineRule="exact"/>
        <w:ind w:firstLine="640" w:firstLineChars="200"/>
        <w:outlineLvl w:val="0"/>
        <w:rPr>
          <w:rFonts w:ascii="仿宋_GB2312" w:hAnsi="仿宋_GB2312" w:cs="仿宋_GB2312"/>
          <w:sz w:val="32"/>
          <w:szCs w:val="32"/>
        </w:rPr>
      </w:pPr>
      <w:bookmarkStart w:id="19" w:name="_Toc68703845"/>
      <w:r>
        <w:rPr>
          <w:rFonts w:hint="eastAsia" w:ascii="仿宋_GB2312" w:hAnsi="仿宋_GB2312" w:cs="仿宋_GB2312"/>
          <w:sz w:val="32"/>
          <w:szCs w:val="32"/>
        </w:rPr>
        <w:t>2.该项目所设定的绩效目标依据充分，绩效目标设定的绩</w:t>
      </w:r>
    </w:p>
    <w:p>
      <w:pPr>
        <w:spacing w:line="600" w:lineRule="exact"/>
        <w:outlineLvl w:val="0"/>
        <w:rPr>
          <w:rFonts w:ascii="仿宋_GB2312" w:hAnsi="仿宋_GB2312" w:cs="仿宋_GB2312"/>
          <w:sz w:val="32"/>
          <w:szCs w:val="32"/>
        </w:rPr>
      </w:pPr>
      <w:r>
        <w:rPr>
          <w:rFonts w:hint="eastAsia" w:ascii="仿宋_GB2312" w:hAnsi="仿宋_GB2312" w:cs="仿宋_GB2312"/>
          <w:sz w:val="32"/>
          <w:szCs w:val="32"/>
        </w:rPr>
        <w:t>指标明确，项目预算资金分配额度分配合理，制度健全完全，相关制度执行有效，资金到位及时，未影响项目进度。项目资金按计划使用，严格按照预算管理规定开支，资金使用情况与年初预算分配资金一致。后期将逐步完善预算绩效管理体系，实现预算和绩效管理一体化，着力提高财政资金配置效率和使用效益，改变预算资金分配的固化格式，提高预算管理水平和政策实施效果，为经济社会发展提供有力保障。</w:t>
      </w:r>
    </w:p>
    <w:p>
      <w:pPr>
        <w:spacing w:line="560" w:lineRule="exact"/>
        <w:rPr>
          <w:rFonts w:eastAsia="黑体"/>
          <w:sz w:val="32"/>
          <w:szCs w:val="32"/>
        </w:rPr>
      </w:pPr>
      <w:r>
        <w:rPr>
          <w:rFonts w:hint="eastAsia" w:eastAsia="黑体"/>
          <w:sz w:val="32"/>
          <w:szCs w:val="32"/>
        </w:rPr>
        <w:t>七、有关建议</w:t>
      </w:r>
      <w:bookmarkEnd w:id="19"/>
      <w:r>
        <w:rPr>
          <w:rFonts w:hint="eastAsia" w:eastAsia="黑体"/>
          <w:sz w:val="32"/>
          <w:szCs w:val="32"/>
        </w:rPr>
        <w:t>　</w:t>
      </w:r>
      <w:bookmarkStart w:id="20" w:name="_Toc68703846"/>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1.多进行有关绩效管理工作方面的培训。积极组织第三方开展绩效管理工作培训，进一步夯实业务基础，提高我单位绩效人员水平。</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2.专门设定对绩效工作人员定职、定岗、定责等相关制度措施，进一步提升我单位绩效管理工作业务水平，扎实做好绩效管理工作。</w:t>
      </w:r>
    </w:p>
    <w:p>
      <w:pPr>
        <w:spacing w:line="600" w:lineRule="exact"/>
        <w:ind w:firstLine="640" w:firstLineChars="200"/>
        <w:outlineLvl w:val="0"/>
        <w:rPr>
          <w:rFonts w:ascii="仿宋_GB2312" w:hAnsi="仿宋_GB2312" w:cs="仿宋_GB2312"/>
          <w:sz w:val="32"/>
          <w:szCs w:val="32"/>
        </w:rPr>
      </w:pPr>
      <w:r>
        <w:rPr>
          <w:rFonts w:hint="eastAsia" w:ascii="仿宋_GB2312" w:hAnsi="仿宋_GB2312" w:cs="仿宋_GB2312"/>
          <w:sz w:val="32"/>
          <w:szCs w:val="32"/>
        </w:rPr>
        <w:t>3.进一步加强对绩效管理工作的组织领导，提高对预算绩效管理工作重要性的认识，总结经验查找问题，抓紧研究制定更全面更完善的绩效评价管理办法。结合食品安全考核建立绩效工作考核制度，加大全局对全面实施预算绩效管理和绩效管理工作的学习力度，让“花钱必问效，无效必问责”的理念深入工作每个环节。</w:t>
      </w:r>
    </w:p>
    <w:bookmarkEnd w:id="20"/>
    <w:p>
      <w:pPr>
        <w:spacing w:line="560" w:lineRule="exact"/>
        <w:rPr>
          <w:rFonts w:eastAsia="黑体"/>
          <w:sz w:val="32"/>
          <w:szCs w:val="32"/>
          <w:lang w:eastAsia="zh-Hans"/>
        </w:rPr>
      </w:pPr>
      <w:r>
        <w:rPr>
          <w:rFonts w:hint="eastAsia" w:eastAsia="黑体"/>
          <w:sz w:val="32"/>
          <w:szCs w:val="32"/>
        </w:rPr>
        <w:t>八</w:t>
      </w:r>
      <w:r>
        <w:rPr>
          <w:rFonts w:hint="eastAsia" w:eastAsia="黑体"/>
          <w:sz w:val="32"/>
          <w:szCs w:val="32"/>
          <w:lang w:eastAsia="zh-Hans"/>
        </w:rPr>
        <w:t>、其他需要说明的问题</w:t>
      </w:r>
    </w:p>
    <w:p>
      <w:pPr>
        <w:pStyle w:val="2"/>
        <w:jc w:val="both"/>
        <w:rPr>
          <w:rFonts w:ascii="仿宋_GB2312" w:hAnsi="仿宋_GB2312" w:eastAsia="仿宋_GB2312" w:cs="仿宋_GB2312"/>
          <w:b w:val="0"/>
          <w:bCs w:val="0"/>
          <w:kern w:val="2"/>
        </w:rPr>
      </w:pPr>
      <w:r>
        <w:rPr>
          <w:rFonts w:hint="eastAsia" w:ascii="仿宋_GB2312" w:hAnsi="仿宋_GB2312" w:eastAsia="仿宋_GB2312" w:cs="仿宋_GB2312"/>
          <w:b w:val="0"/>
          <w:bCs w:val="0"/>
          <w:kern w:val="2"/>
          <w:lang w:eastAsia="zh-Hans"/>
        </w:rPr>
        <w:t>本项目无其他需说明的问题</w:t>
      </w:r>
      <w:r>
        <w:rPr>
          <w:rFonts w:hint="eastAsia" w:ascii="仿宋_GB2312" w:hAnsi="仿宋_GB2312" w:eastAsia="仿宋_GB2312" w:cs="仿宋_GB2312"/>
          <w:b w:val="0"/>
          <w:bCs w:val="0"/>
          <w:kern w:val="2"/>
        </w:rPr>
        <w:t>。</w:t>
      </w:r>
    </w:p>
    <w:p/>
    <w:p>
      <w:pPr>
        <w:tabs>
          <w:tab w:val="left" w:pos="3300"/>
        </w:tabs>
        <w:rPr>
          <w:rFonts w:hint="eastAsia"/>
        </w:rPr>
      </w:pPr>
      <w:r>
        <w:tab/>
      </w:r>
    </w:p>
    <w:p>
      <w:pPr>
        <w:pStyle w:val="2"/>
      </w:pPr>
    </w:p>
    <w:tbl>
      <w:tblPr>
        <w:tblStyle w:val="14"/>
        <w:tblpPr w:leftFromText="180" w:rightFromText="180" w:vertAnchor="text" w:horzAnchor="page" w:tblpX="965" w:tblpY="558"/>
        <w:tblOverlap w:val="never"/>
        <w:tblW w:w="9259" w:type="dxa"/>
        <w:tblInd w:w="0" w:type="dxa"/>
        <w:tblLayout w:type="fixed"/>
        <w:tblCellMar>
          <w:top w:w="0" w:type="dxa"/>
          <w:left w:w="0" w:type="dxa"/>
          <w:bottom w:w="0" w:type="dxa"/>
          <w:right w:w="0" w:type="dxa"/>
        </w:tblCellMar>
      </w:tblPr>
      <w:tblGrid>
        <w:gridCol w:w="921"/>
        <w:gridCol w:w="531"/>
        <w:gridCol w:w="859"/>
        <w:gridCol w:w="695"/>
        <w:gridCol w:w="646"/>
        <w:gridCol w:w="405"/>
        <w:gridCol w:w="988"/>
        <w:gridCol w:w="859"/>
        <w:gridCol w:w="205"/>
        <w:gridCol w:w="504"/>
        <w:gridCol w:w="696"/>
        <w:gridCol w:w="1055"/>
        <w:gridCol w:w="895"/>
      </w:tblGrid>
      <w:tr>
        <w:tblPrEx>
          <w:tblLayout w:type="fixed"/>
          <w:tblCellMar>
            <w:top w:w="0" w:type="dxa"/>
            <w:left w:w="0" w:type="dxa"/>
            <w:bottom w:w="0" w:type="dxa"/>
            <w:right w:w="0" w:type="dxa"/>
          </w:tblCellMar>
        </w:tblPrEx>
        <w:trPr>
          <w:trHeight w:val="420" w:hRule="atLeast"/>
        </w:trPr>
        <w:tc>
          <w:tcPr>
            <w:tcW w:w="9259" w:type="dxa"/>
            <w:gridSpan w:val="13"/>
            <w:tcBorders>
              <w:top w:val="nil"/>
              <w:left w:val="nil"/>
              <w:bottom w:val="single" w:color="auto" w:sz="4" w:space="0"/>
              <w:right w:val="nil"/>
            </w:tcBorders>
            <w:shd w:val="clear" w:color="auto" w:fill="auto"/>
            <w:tcMar>
              <w:top w:w="12" w:type="dxa"/>
              <w:left w:w="12" w:type="dxa"/>
              <w:right w:w="12" w:type="dxa"/>
            </w:tcMar>
            <w:vAlign w:val="center"/>
          </w:tcPr>
          <w:p>
            <w:pPr>
              <w:widowControl/>
              <w:jc w:val="center"/>
              <w:textAlignment w:val="center"/>
              <w:rPr>
                <w:rFonts w:eastAsia="方正小标宋简体"/>
                <w:b/>
                <w:sz w:val="32"/>
                <w:szCs w:val="32"/>
                <w:u w:val="single"/>
              </w:rPr>
            </w:pPr>
            <w:r>
              <w:rPr>
                <w:rFonts w:hint="eastAsia" w:ascii="宋体" w:hAnsi="宋体" w:eastAsia="宋体" w:cs="宋体"/>
                <w:b/>
                <w:color w:val="000000"/>
                <w:kern w:val="0"/>
                <w:sz w:val="32"/>
                <w:szCs w:val="32"/>
                <w:lang w:bidi="ar"/>
              </w:rPr>
              <w:t>项目支出绩效自评表</w:t>
            </w:r>
          </w:p>
        </w:tc>
      </w:tr>
      <w:tr>
        <w:tblPrEx>
          <w:tblLayout w:type="fixed"/>
          <w:tblCellMar>
            <w:top w:w="0" w:type="dxa"/>
            <w:left w:w="0" w:type="dxa"/>
            <w:bottom w:w="0" w:type="dxa"/>
            <w:right w:w="0" w:type="dxa"/>
          </w:tblCellMar>
        </w:tblPrEx>
        <w:trPr>
          <w:trHeight w:val="288" w:hRule="atLeast"/>
        </w:trPr>
        <w:tc>
          <w:tcPr>
            <w:tcW w:w="9259" w:type="dxa"/>
            <w:gridSpan w:val="13"/>
            <w:tcBorders>
              <w:top w:val="single" w:color="auto"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(2023年度)</w:t>
            </w:r>
          </w:p>
        </w:tc>
      </w:tr>
      <w:tr>
        <w:tblPrEx>
          <w:tblLayout w:type="fixed"/>
          <w:tblCellMar>
            <w:top w:w="0" w:type="dxa"/>
            <w:left w:w="0" w:type="dxa"/>
            <w:bottom w:w="0" w:type="dxa"/>
            <w:right w:w="0" w:type="dxa"/>
          </w:tblCellMar>
        </w:tblPrEx>
        <w:trPr>
          <w:trHeight w:val="276" w:hRule="atLeast"/>
        </w:trPr>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项目名称</w:t>
            </w:r>
          </w:p>
        </w:tc>
        <w:tc>
          <w:tcPr>
            <w:tcW w:w="7807" w:type="dxa"/>
            <w:gridSpan w:val="11"/>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eastAsia="宋体"/>
                <w:kern w:val="0"/>
                <w:sz w:val="18"/>
                <w:szCs w:val="18"/>
                <w:lang w:bidi="ar"/>
              </w:rPr>
              <w:t>村医、市聘工勤工资及社保缴纳</w:t>
            </w:r>
          </w:p>
        </w:tc>
      </w:tr>
      <w:tr>
        <w:tblPrEx>
          <w:tblLayout w:type="fixed"/>
          <w:tblCellMar>
            <w:top w:w="0" w:type="dxa"/>
            <w:left w:w="0" w:type="dxa"/>
            <w:bottom w:w="0" w:type="dxa"/>
            <w:right w:w="0" w:type="dxa"/>
          </w:tblCellMar>
        </w:tblPrEx>
        <w:trPr>
          <w:trHeight w:val="276" w:hRule="atLeast"/>
        </w:trPr>
        <w:tc>
          <w:tcPr>
            <w:tcW w:w="1452"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主管部门</w:t>
            </w:r>
          </w:p>
        </w:tc>
        <w:tc>
          <w:tcPr>
            <w:tcW w:w="3593" w:type="dxa"/>
            <w:gridSpan w:val="5"/>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eastAsia="宋体"/>
                <w:kern w:val="0"/>
                <w:sz w:val="18"/>
                <w:szCs w:val="18"/>
                <w:lang w:bidi="ar"/>
              </w:rPr>
              <w:t>霍尔果斯市卫生健康委员会</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实施单位</w:t>
            </w:r>
          </w:p>
        </w:tc>
        <w:tc>
          <w:tcPr>
            <w:tcW w:w="3150" w:type="dxa"/>
            <w:gridSpan w:val="4"/>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ascii="宋体" w:hAnsi="宋体" w:eastAsia="宋体" w:cs="宋体"/>
                <w:color w:val="000000"/>
                <w:kern w:val="0"/>
                <w:sz w:val="20"/>
                <w:szCs w:val="20"/>
                <w:lang w:bidi="ar"/>
              </w:rPr>
              <w:t>霍尔果斯市伊车嘎善锡伯乡卫生院</w:t>
            </w:r>
          </w:p>
        </w:tc>
      </w:tr>
      <w:tr>
        <w:tblPrEx>
          <w:tblLayout w:type="fixed"/>
          <w:tblCellMar>
            <w:top w:w="0" w:type="dxa"/>
            <w:left w:w="0" w:type="dxa"/>
            <w:bottom w:w="0" w:type="dxa"/>
            <w:right w:w="0" w:type="dxa"/>
          </w:tblCellMar>
        </w:tblPrEx>
        <w:trPr>
          <w:trHeight w:val="276" w:hRule="atLeast"/>
        </w:trPr>
        <w:tc>
          <w:tcPr>
            <w:tcW w:w="1452" w:type="dxa"/>
            <w:gridSpan w:val="2"/>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项目资金</w:t>
            </w:r>
            <w:r>
              <w:rPr>
                <w:rFonts w:hint="eastAsia" w:ascii="宋体" w:hAnsi="宋体" w:eastAsia="宋体" w:cs="宋体"/>
                <w:color w:val="000000"/>
                <w:kern w:val="0"/>
                <w:sz w:val="20"/>
                <w:szCs w:val="20"/>
                <w:lang w:bidi="ar"/>
              </w:rPr>
              <w:br w:type="textWrapping"/>
            </w:r>
            <w:r>
              <w:rPr>
                <w:rFonts w:hint="eastAsia" w:ascii="宋体" w:hAnsi="宋体" w:eastAsia="宋体" w:cs="宋体"/>
                <w:color w:val="000000"/>
                <w:kern w:val="0"/>
                <w:sz w:val="20"/>
                <w:szCs w:val="20"/>
                <w:lang w:bidi="ar"/>
              </w:rPr>
              <w:t>（万元）</w:t>
            </w: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年初预算数</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全年预算数</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全年执行数</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分值</w:t>
            </w:r>
          </w:p>
        </w:tc>
        <w:tc>
          <w:tcPr>
            <w:tcW w:w="10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执行率</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得分</w:t>
            </w:r>
          </w:p>
        </w:tc>
      </w:tr>
      <w:tr>
        <w:tblPrEx>
          <w:tblLayout w:type="fixed"/>
          <w:tblCellMar>
            <w:top w:w="0" w:type="dxa"/>
            <w:left w:w="0" w:type="dxa"/>
            <w:bottom w:w="0" w:type="dxa"/>
            <w:right w:w="0" w:type="dxa"/>
          </w:tblCellMar>
        </w:tblPrEx>
        <w:trPr>
          <w:trHeight w:val="623" w:hRule="atLeast"/>
        </w:trPr>
        <w:tc>
          <w:tcPr>
            <w:tcW w:w="1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年度资金总额</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35.02</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35.02</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27.58</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10</w:t>
            </w:r>
          </w:p>
        </w:tc>
        <w:tc>
          <w:tcPr>
            <w:tcW w:w="10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78.75%</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7.88</w:t>
            </w:r>
          </w:p>
        </w:tc>
      </w:tr>
      <w:tr>
        <w:tblPrEx>
          <w:tblLayout w:type="fixed"/>
          <w:tblCellMar>
            <w:top w:w="0" w:type="dxa"/>
            <w:left w:w="0" w:type="dxa"/>
            <w:bottom w:w="0" w:type="dxa"/>
            <w:right w:w="0" w:type="dxa"/>
          </w:tblCellMar>
        </w:tblPrEx>
        <w:trPr>
          <w:trHeight w:val="638" w:hRule="atLeast"/>
        </w:trPr>
        <w:tc>
          <w:tcPr>
            <w:tcW w:w="1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其中：当年财政拨款</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35.02</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35.02</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27.58</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w:t>
            </w:r>
          </w:p>
        </w:tc>
      </w:tr>
      <w:tr>
        <w:tblPrEx>
          <w:tblLayout w:type="fixed"/>
          <w:tblCellMar>
            <w:top w:w="0" w:type="dxa"/>
            <w:left w:w="0" w:type="dxa"/>
            <w:bottom w:w="0" w:type="dxa"/>
            <w:right w:w="0" w:type="dxa"/>
          </w:tblCellMar>
        </w:tblPrEx>
        <w:trPr>
          <w:trHeight w:val="276" w:hRule="atLeast"/>
        </w:trPr>
        <w:tc>
          <w:tcPr>
            <w:tcW w:w="1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 xml:space="preserve">      上年结转资金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0</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eastAsia="宋体"/>
                <w:kern w:val="0"/>
                <w:sz w:val="18"/>
                <w:szCs w:val="18"/>
                <w:lang w:bidi="ar"/>
              </w:rPr>
              <w:t>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w:t>
            </w:r>
          </w:p>
        </w:tc>
      </w:tr>
      <w:tr>
        <w:tblPrEx>
          <w:tblLayout w:type="fixed"/>
          <w:tblCellMar>
            <w:top w:w="0" w:type="dxa"/>
            <w:left w:w="0" w:type="dxa"/>
            <w:bottom w:w="0" w:type="dxa"/>
            <w:right w:w="0" w:type="dxa"/>
          </w:tblCellMar>
        </w:tblPrEx>
        <w:trPr>
          <w:trHeight w:val="276" w:hRule="atLeast"/>
        </w:trPr>
        <w:tc>
          <w:tcPr>
            <w:tcW w:w="1452" w:type="dxa"/>
            <w:gridSpan w:val="2"/>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155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 xml:space="preserve">  其他资金</w:t>
            </w:r>
          </w:p>
        </w:tc>
        <w:tc>
          <w:tcPr>
            <w:tcW w:w="64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0</w:t>
            </w:r>
          </w:p>
        </w:tc>
        <w:tc>
          <w:tcPr>
            <w:tcW w:w="1393"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0</w:t>
            </w:r>
          </w:p>
        </w:tc>
        <w:tc>
          <w:tcPr>
            <w:tcW w:w="1064"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eastAsia="宋体"/>
                <w:kern w:val="0"/>
                <w:sz w:val="18"/>
                <w:szCs w:val="18"/>
                <w:lang w:bidi="ar"/>
              </w:rPr>
              <w:t>0</w:t>
            </w:r>
          </w:p>
        </w:tc>
        <w:tc>
          <w:tcPr>
            <w:tcW w:w="120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w:t>
            </w:r>
          </w:p>
        </w:tc>
        <w:tc>
          <w:tcPr>
            <w:tcW w:w="105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w:t>
            </w:r>
          </w:p>
        </w:tc>
        <w:tc>
          <w:tcPr>
            <w:tcW w:w="895"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w:t>
            </w:r>
          </w:p>
        </w:tc>
      </w:tr>
      <w:tr>
        <w:tblPrEx>
          <w:tblLayout w:type="fixed"/>
          <w:tblCellMar>
            <w:top w:w="0" w:type="dxa"/>
            <w:left w:w="0" w:type="dxa"/>
            <w:bottom w:w="0" w:type="dxa"/>
            <w:right w:w="0" w:type="dxa"/>
          </w:tblCellMar>
        </w:tblPrEx>
        <w:trPr>
          <w:trHeight w:val="276" w:hRule="atLeast"/>
        </w:trPr>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年度总体目标</w:t>
            </w:r>
          </w:p>
        </w:tc>
        <w:tc>
          <w:tcPr>
            <w:tcW w:w="4124"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预期目标</w:t>
            </w:r>
          </w:p>
        </w:tc>
        <w:tc>
          <w:tcPr>
            <w:tcW w:w="4214"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实际完成情况</w:t>
            </w:r>
          </w:p>
        </w:tc>
      </w:tr>
      <w:tr>
        <w:tblPrEx>
          <w:tblLayout w:type="fixed"/>
          <w:tblCellMar>
            <w:top w:w="0" w:type="dxa"/>
            <w:left w:w="0" w:type="dxa"/>
            <w:bottom w:w="0" w:type="dxa"/>
            <w:right w:w="0" w:type="dxa"/>
          </w:tblCellMar>
        </w:tblPrEx>
        <w:trPr>
          <w:trHeight w:val="72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4124"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tabs>
                <w:tab w:val="left" w:pos="730"/>
              </w:tabs>
              <w:jc w:val="left"/>
              <w:rPr>
                <w:rFonts w:eastAsia="宋体"/>
                <w:kern w:val="0"/>
                <w:sz w:val="18"/>
                <w:szCs w:val="18"/>
                <w:lang w:bidi="ar"/>
              </w:rPr>
            </w:pPr>
            <w:r>
              <w:rPr>
                <w:rFonts w:hint="eastAsia" w:eastAsia="宋体"/>
                <w:kern w:val="0"/>
                <w:sz w:val="18"/>
                <w:szCs w:val="18"/>
                <w:lang w:bidi="ar"/>
              </w:rPr>
              <w:tab/>
            </w:r>
            <w:r>
              <w:rPr>
                <w:rFonts w:hint="eastAsia" w:eastAsia="宋体"/>
                <w:kern w:val="0"/>
                <w:sz w:val="18"/>
                <w:szCs w:val="18"/>
                <w:lang w:bidi="ar"/>
              </w:rPr>
              <w:t>以科学发展观为指导，坚持以人为本，进一步调动乡村医生承担公共卫生服务的积极性，不断提高居民的健康水平，督促指导乡村医生认真履行公共卫生服务职能，规范乡村居民获得公共卫生服务的同时，改善乡村医生及市聘工勤的待遇，按时足额发放工资及缴纳社保提高医疗服务积极性，加大医疗队伍服务诊疗范围，增强服务满意度。</w:t>
            </w:r>
          </w:p>
        </w:tc>
        <w:tc>
          <w:tcPr>
            <w:tcW w:w="4214" w:type="dxa"/>
            <w:gridSpan w:val="6"/>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tcPr>
          <w:p>
            <w:pPr>
              <w:jc w:val="left"/>
              <w:rPr>
                <w:rFonts w:eastAsia="宋体"/>
                <w:kern w:val="0"/>
                <w:sz w:val="18"/>
                <w:szCs w:val="18"/>
                <w:lang w:bidi="ar"/>
              </w:rPr>
            </w:pPr>
            <w:r>
              <w:rPr>
                <w:rFonts w:hint="eastAsia" w:eastAsia="宋体"/>
                <w:kern w:val="0"/>
                <w:sz w:val="18"/>
                <w:szCs w:val="18"/>
                <w:lang w:bidi="ar"/>
              </w:rPr>
              <w:t>调动了乡村医生承担公共卫生服务的积极性，提高了居民的健康水平，规范了乡村居民获得公共卫生服务的同时，改善了乡村医生及市聘工勤的待遇，按时足额发放工资及缴纳社保提高了医疗服务积极性，加大了医疗队伍服务诊疗范围，增强服务满意度。完成发放村医工资及社保共计17.75万元，发放市聘工勤工资及社保13.89万元。</w:t>
            </w:r>
          </w:p>
        </w:tc>
      </w:tr>
      <w:tr>
        <w:tblPrEx>
          <w:tblLayout w:type="fixed"/>
          <w:tblCellMar>
            <w:top w:w="0" w:type="dxa"/>
            <w:left w:w="0" w:type="dxa"/>
            <w:bottom w:w="0" w:type="dxa"/>
            <w:right w:w="0" w:type="dxa"/>
          </w:tblCellMar>
        </w:tblPrEx>
        <w:trPr>
          <w:trHeight w:val="408"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一级指标</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二级指标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三级指标</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年度指标值</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实际完成值</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分值</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pPr>
            <w:r>
              <w:rPr>
                <w:rFonts w:hint="eastAsia" w:ascii="宋体" w:hAnsi="宋体" w:eastAsia="宋体" w:cs="宋体"/>
                <w:color w:val="000000"/>
                <w:kern w:val="0"/>
                <w:sz w:val="20"/>
                <w:szCs w:val="20"/>
                <w:lang w:bidi="ar"/>
              </w:rPr>
              <w:t>得分</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偏差原因分析及改进措施</w:t>
            </w:r>
          </w:p>
        </w:tc>
      </w:tr>
      <w:tr>
        <w:tblPrEx>
          <w:tblLayout w:type="fixed"/>
          <w:tblCellMar>
            <w:top w:w="0" w:type="dxa"/>
            <w:left w:w="0" w:type="dxa"/>
            <w:bottom w:w="0" w:type="dxa"/>
            <w:right w:w="0" w:type="dxa"/>
          </w:tblCellMar>
        </w:tblPrEx>
        <w:trPr>
          <w:trHeight w:val="408" w:hRule="atLeast"/>
        </w:trPr>
        <w:tc>
          <w:tcPr>
            <w:tcW w:w="92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年度绩效指标完成情况</w:t>
            </w:r>
          </w:p>
        </w:tc>
        <w:tc>
          <w:tcPr>
            <w:tcW w:w="531" w:type="dxa"/>
            <w:vMerge w:val="restart"/>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产出指标</w:t>
            </w: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数量指标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定额工勤人数</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eastAsia="宋体"/>
                <w:kern w:val="0"/>
                <w:sz w:val="18"/>
                <w:szCs w:val="18"/>
                <w:lang w:bidi="ar"/>
              </w:rPr>
              <w:t>2人</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56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859" w:type="dxa"/>
            <w:vMerge w:val="continue"/>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村医人数</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≥7人</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ascii="宋体" w:hAnsi="宋体" w:eastAsia="宋体" w:cs="宋体"/>
                <w:color w:val="000000"/>
                <w:kern w:val="0"/>
                <w:sz w:val="20"/>
                <w:szCs w:val="20"/>
                <w:lang w:bidi="ar"/>
              </w:rPr>
              <w:t>6人</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6.86</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2月一名村医辞职，导致工资及社保未发放，计划招聘村医，因条件环境影响招聘较为困难，未招录成功。</w:t>
            </w:r>
          </w:p>
        </w:tc>
      </w:tr>
      <w:tr>
        <w:tblPrEx>
          <w:tblLayout w:type="fixed"/>
          <w:tblCellMar>
            <w:top w:w="0" w:type="dxa"/>
            <w:left w:w="0" w:type="dxa"/>
            <w:bottom w:w="0" w:type="dxa"/>
            <w:right w:w="0" w:type="dxa"/>
          </w:tblCellMar>
        </w:tblPrEx>
        <w:trPr>
          <w:trHeight w:val="56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资金发放次数</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＝12次</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eastAsia="宋体"/>
                <w:kern w:val="0"/>
                <w:sz w:val="18"/>
                <w:szCs w:val="18"/>
                <w:lang w:bidi="ar"/>
              </w:rPr>
              <w:t>12次</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56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53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eastAsia="宋体"/>
                <w:kern w:val="0"/>
                <w:sz w:val="18"/>
                <w:szCs w:val="18"/>
                <w:lang w:bidi="ar"/>
              </w:rPr>
            </w:pPr>
            <w:r>
              <w:rPr>
                <w:rFonts w:hint="eastAsia" w:ascii="宋体" w:hAnsi="宋体" w:eastAsia="宋体" w:cs="宋体"/>
                <w:color w:val="000000"/>
                <w:kern w:val="0"/>
                <w:sz w:val="20"/>
                <w:szCs w:val="20"/>
                <w:lang w:bidi="ar"/>
              </w:rPr>
              <w:t>质量指标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村医及工勤工资发放准确率</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eastAsia="宋体"/>
                <w:kern w:val="0"/>
                <w:sz w:val="18"/>
                <w:szCs w:val="18"/>
                <w:lang w:bidi="ar"/>
              </w:rPr>
            </w:pPr>
            <w:r>
              <w:rPr>
                <w:rFonts w:hint="eastAsia" w:ascii="宋体" w:hAnsi="宋体" w:eastAsia="宋体" w:cs="宋体"/>
                <w:color w:val="000000"/>
                <w:kern w:val="0"/>
                <w:sz w:val="20"/>
                <w:szCs w:val="20"/>
                <w:lang w:bidi="ar"/>
              </w:rPr>
              <w:t>100%</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jc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62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vMerge w:val="continue"/>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时效指标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资金发放及时率</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8</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62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vMerge w:val="restart"/>
            <w:tcBorders>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成本指标</w:t>
            </w: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经济成本指标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村医工资及社保缴费金额</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≤20.82万元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13.38万元</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6.43</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2月1名村医辞职，导致工资及社保未发放，计划招聘2名村医，因条件环境影响招聘较为困难，未招录成功。</w:t>
            </w:r>
          </w:p>
        </w:tc>
      </w:tr>
      <w:tr>
        <w:tblPrEx>
          <w:tblLayout w:type="fixed"/>
          <w:tblCellMar>
            <w:top w:w="0" w:type="dxa"/>
            <w:left w:w="0" w:type="dxa"/>
            <w:bottom w:w="0" w:type="dxa"/>
            <w:right w:w="0" w:type="dxa"/>
          </w:tblCellMar>
        </w:tblPrEx>
        <w:trPr>
          <w:trHeight w:val="620"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市聘工勤工资及社保缴费金额</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≤14.20万元</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14.20万元</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432"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效益指标</w:t>
            </w:r>
          </w:p>
        </w:tc>
        <w:tc>
          <w:tcPr>
            <w:tcW w:w="859" w:type="dxa"/>
            <w:vMerge w:val="restart"/>
            <w:tcBorders>
              <w:top w:val="single" w:color="000000" w:sz="4" w:space="0"/>
              <w:left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社会效益指标</w:t>
            </w: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改善城乡居民就医条件</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明显改善</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明显改善</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432"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859" w:type="dxa"/>
            <w:vMerge w:val="continue"/>
            <w:tcBorders>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保障卫生院工作正常开展</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有效保障</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有效保障</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432" w:hRule="atLeast"/>
        </w:trPr>
        <w:tc>
          <w:tcPr>
            <w:tcW w:w="921" w:type="dxa"/>
            <w:vMerge w:val="continue"/>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满意度在编</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职工满意度</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≥95%</w:t>
            </w: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≥95%</w:t>
            </w: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r>
        <w:tblPrEx>
          <w:tblLayout w:type="fixed"/>
          <w:tblCellMar>
            <w:top w:w="0" w:type="dxa"/>
            <w:left w:w="0" w:type="dxa"/>
            <w:bottom w:w="0" w:type="dxa"/>
            <w:right w:w="0" w:type="dxa"/>
          </w:tblCellMar>
        </w:tblPrEx>
        <w:trPr>
          <w:trHeight w:val="432" w:hRule="atLeast"/>
        </w:trPr>
        <w:tc>
          <w:tcPr>
            <w:tcW w:w="92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531"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1746" w:type="dxa"/>
            <w:gridSpan w:val="3"/>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总分</w:t>
            </w:r>
          </w:p>
        </w:tc>
        <w:tc>
          <w:tcPr>
            <w:tcW w:w="988"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859"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c>
          <w:tcPr>
            <w:tcW w:w="709"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100</w:t>
            </w:r>
          </w:p>
        </w:tc>
        <w:tc>
          <w:tcPr>
            <w:tcW w:w="696" w:type="dxa"/>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r>
              <w:rPr>
                <w:rFonts w:hint="eastAsia" w:ascii="宋体" w:hAnsi="宋体" w:eastAsia="宋体" w:cs="宋体"/>
                <w:color w:val="000000"/>
                <w:kern w:val="0"/>
                <w:sz w:val="20"/>
                <w:szCs w:val="20"/>
                <w:lang w:bidi="ar"/>
              </w:rPr>
              <w:t>93.17</w:t>
            </w:r>
          </w:p>
        </w:tc>
        <w:tc>
          <w:tcPr>
            <w:tcW w:w="1950" w:type="dxa"/>
            <w:gridSpan w:val="2"/>
            <w:tcBorders>
              <w:top w:val="single" w:color="000000" w:sz="4" w:space="0"/>
              <w:left w:val="single" w:color="000000" w:sz="4" w:space="0"/>
              <w:bottom w:val="single" w:color="000000" w:sz="4" w:space="0"/>
              <w:right w:val="single" w:color="000000" w:sz="4" w:space="0"/>
            </w:tcBorders>
            <w:shd w:val="clear" w:color="auto" w:fill="auto"/>
            <w:tcMar>
              <w:top w:w="12" w:type="dxa"/>
              <w:left w:w="12" w:type="dxa"/>
              <w:right w:w="12" w:type="dxa"/>
            </w:tcMar>
            <w:vAlign w:val="center"/>
          </w:tcPr>
          <w:p>
            <w:pPr>
              <w:widowControl/>
              <w:jc w:val="center"/>
              <w:textAlignment w:val="center"/>
              <w:rPr>
                <w:rFonts w:ascii="宋体" w:hAnsi="宋体" w:eastAsia="宋体" w:cs="宋体"/>
                <w:color w:val="000000"/>
                <w:kern w:val="0"/>
                <w:sz w:val="20"/>
                <w:szCs w:val="20"/>
                <w:lang w:bidi="ar"/>
              </w:rPr>
            </w:pPr>
          </w:p>
        </w:tc>
      </w:tr>
    </w:tbl>
    <w:p>
      <w:pPr>
        <w:spacing w:line="600" w:lineRule="exact"/>
        <w:rPr>
          <w:rFonts w:ascii="黑体" w:hAnsi="黑体" w:eastAsia="黑体" w:cs="黑体"/>
          <w:bCs/>
          <w:sz w:val="32"/>
          <w:szCs w:val="32"/>
        </w:rPr>
        <w:sectPr>
          <w:headerReference r:id="rId3" w:type="default"/>
          <w:pgSz w:w="11906" w:h="16838"/>
          <w:pgMar w:top="1928" w:right="1531" w:bottom="1701" w:left="1531" w:header="737" w:footer="851" w:gutter="0"/>
          <w:cols w:space="720" w:num="1"/>
          <w:docGrid w:type="lines" w:linePitch="408" w:charSpace="0"/>
        </w:sectPr>
      </w:pPr>
    </w:p>
    <w:p>
      <w:pPr>
        <w:pStyle w:val="24"/>
        <w:ind w:firstLine="562"/>
        <w:jc w:val="center"/>
        <w:rPr>
          <w:sz w:val="28"/>
          <w:szCs w:val="40"/>
        </w:rPr>
      </w:pPr>
      <w:bookmarkStart w:id="21" w:name="_Toc30064_WPSOffice_Level1"/>
      <w:bookmarkStart w:id="22" w:name="_Toc26499_WPSOffice_Level2"/>
      <w:r>
        <w:rPr>
          <w:rFonts w:hint="eastAsia"/>
          <w:b/>
          <w:bCs/>
          <w:sz w:val="28"/>
          <w:szCs w:val="40"/>
        </w:rPr>
        <w:t>村医、工勤工资及社保缴纳项目绩效评价指标体系及综合评分表</w:t>
      </w:r>
      <w:bookmarkEnd w:id="21"/>
      <w:bookmarkEnd w:id="22"/>
      <w:bookmarkStart w:id="23" w:name="_GoBack"/>
      <w:bookmarkEnd w:id="23"/>
    </w:p>
    <w:tbl>
      <w:tblPr>
        <w:tblStyle w:val="14"/>
        <w:tblW w:w="12683" w:type="dxa"/>
        <w:jc w:val="center"/>
        <w:tblInd w:w="0" w:type="dxa"/>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
      <w:tblGrid>
        <w:gridCol w:w="832"/>
        <w:gridCol w:w="764"/>
        <w:gridCol w:w="873"/>
        <w:gridCol w:w="2353"/>
        <w:gridCol w:w="5198"/>
        <w:gridCol w:w="1300"/>
        <w:gridCol w:w="136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692" w:hRule="atLeast"/>
          <w:tblHeader/>
          <w:jc w:val="center"/>
        </w:trPr>
        <w:tc>
          <w:tcPr>
            <w:tcW w:w="832"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一级指标</w:t>
            </w:r>
          </w:p>
        </w:tc>
        <w:tc>
          <w:tcPr>
            <w:tcW w:w="764"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二级指标</w:t>
            </w:r>
          </w:p>
        </w:tc>
        <w:tc>
          <w:tcPr>
            <w:tcW w:w="87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三级指标</w:t>
            </w:r>
          </w:p>
        </w:tc>
        <w:tc>
          <w:tcPr>
            <w:tcW w:w="235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指标解释</w:t>
            </w:r>
          </w:p>
        </w:tc>
        <w:tc>
          <w:tcPr>
            <w:tcW w:w="5198"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指标说明</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权重</w:t>
            </w:r>
          </w:p>
        </w:tc>
        <w:tc>
          <w:tcPr>
            <w:tcW w:w="1363"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得分</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91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p>
          <w:p>
            <w:pPr>
              <w:widowControl/>
              <w:spacing w:line="0" w:lineRule="atLeast"/>
              <w:jc w:val="center"/>
              <w:rPr>
                <w:color w:val="000000"/>
                <w:kern w:val="0"/>
                <w:sz w:val="22"/>
                <w:szCs w:val="22"/>
              </w:rPr>
            </w:pPr>
            <w:r>
              <w:rPr>
                <w:color w:val="000000"/>
                <w:kern w:val="0"/>
                <w:sz w:val="22"/>
                <w:szCs w:val="22"/>
              </w:rPr>
              <w:t>决策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项目立项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立项依据</w:t>
            </w:r>
          </w:p>
          <w:p>
            <w:pPr>
              <w:widowControl/>
              <w:spacing w:line="0" w:lineRule="atLeast"/>
              <w:jc w:val="center"/>
              <w:rPr>
                <w:color w:val="000000"/>
                <w:kern w:val="0"/>
                <w:sz w:val="22"/>
                <w:szCs w:val="22"/>
              </w:rPr>
            </w:pPr>
            <w:r>
              <w:rPr>
                <w:color w:val="000000"/>
                <w:kern w:val="0"/>
                <w:sz w:val="22"/>
                <w:szCs w:val="22"/>
              </w:rPr>
              <w:t>充分性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项目立项是否符合法律法规、相关政策、发展规划以及部门职责，用以反映和考核项目立项依据情况。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①项目立项是否符合国家法律法规、国民经济发展规划和相关政策；</w:t>
            </w:r>
            <w:r>
              <w:rPr>
                <w:color w:val="000000"/>
                <w:kern w:val="0"/>
                <w:sz w:val="22"/>
                <w:szCs w:val="22"/>
              </w:rPr>
              <w:br w:type="textWrapping"/>
            </w:r>
            <w:r>
              <w:rPr>
                <w:color w:val="000000"/>
                <w:kern w:val="0"/>
                <w:sz w:val="22"/>
                <w:szCs w:val="22"/>
              </w:rPr>
              <w:t>②项目立项是否符合行业发展规划和政策要求；</w:t>
            </w:r>
            <w:r>
              <w:rPr>
                <w:color w:val="000000"/>
                <w:kern w:val="0"/>
                <w:sz w:val="22"/>
                <w:szCs w:val="22"/>
              </w:rPr>
              <w:br w:type="textWrapping"/>
            </w:r>
            <w:r>
              <w:rPr>
                <w:color w:val="000000"/>
                <w:kern w:val="0"/>
                <w:sz w:val="22"/>
                <w:szCs w:val="22"/>
              </w:rPr>
              <w:t>③项目立项是否与部门职责范围相符，属于部门履职所需；</w:t>
            </w:r>
            <w:r>
              <w:rPr>
                <w:color w:val="000000"/>
                <w:kern w:val="0"/>
                <w:sz w:val="22"/>
                <w:szCs w:val="22"/>
              </w:rPr>
              <w:br w:type="textWrapping"/>
            </w:r>
            <w:r>
              <w:rPr>
                <w:color w:val="000000"/>
                <w:kern w:val="0"/>
                <w:sz w:val="22"/>
                <w:szCs w:val="22"/>
              </w:rPr>
              <w:t>④项目是否属于公共财政支持范围，是否符合中央、地方事权支出责任划分原则；</w:t>
            </w:r>
            <w:r>
              <w:rPr>
                <w:color w:val="000000"/>
                <w:kern w:val="0"/>
                <w:sz w:val="22"/>
                <w:szCs w:val="22"/>
              </w:rPr>
              <w:br w:type="textWrapping"/>
            </w:r>
            <w:r>
              <w:rPr>
                <w:color w:val="000000"/>
                <w:kern w:val="0"/>
                <w:sz w:val="22"/>
                <w:szCs w:val="22"/>
              </w:rPr>
              <w:t>⑤项目是否与相关部门同类项目或部门内部相关项目重复。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立项程序</w:t>
            </w:r>
          </w:p>
          <w:p>
            <w:pPr>
              <w:widowControl/>
              <w:spacing w:line="0" w:lineRule="atLeast"/>
              <w:jc w:val="center"/>
              <w:rPr>
                <w:color w:val="000000"/>
                <w:kern w:val="0"/>
                <w:sz w:val="22"/>
                <w:szCs w:val="22"/>
              </w:rPr>
            </w:pPr>
            <w:r>
              <w:rPr>
                <w:color w:val="000000"/>
                <w:kern w:val="0"/>
                <w:sz w:val="22"/>
                <w:szCs w:val="22"/>
              </w:rPr>
              <w:t>规范性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项目申请、设立过程是否符合相关要求，用以反映和考核项目立项的规范情况。</w:t>
            </w:r>
          </w:p>
        </w:tc>
        <w:tc>
          <w:tcPr>
            <w:tcW w:w="5198" w:type="dxa"/>
            <w:shd w:val="clear" w:color="auto"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①项目是否按照规定的程序申请设立；</w:t>
            </w:r>
            <w:r>
              <w:rPr>
                <w:color w:val="000000"/>
                <w:kern w:val="0"/>
                <w:sz w:val="22"/>
                <w:szCs w:val="22"/>
              </w:rPr>
              <w:br w:type="textWrapping"/>
            </w:r>
            <w:r>
              <w:rPr>
                <w:color w:val="000000"/>
                <w:kern w:val="0"/>
                <w:sz w:val="22"/>
                <w:szCs w:val="22"/>
              </w:rPr>
              <w:t>②审批文件、材料是否符合相关要求；</w:t>
            </w:r>
            <w:r>
              <w:rPr>
                <w:color w:val="000000"/>
                <w:kern w:val="0"/>
                <w:sz w:val="22"/>
                <w:szCs w:val="22"/>
              </w:rPr>
              <w:br w:type="textWrapping"/>
            </w:r>
            <w:r>
              <w:rPr>
                <w:color w:val="000000"/>
                <w:kern w:val="0"/>
                <w:sz w:val="22"/>
                <w:szCs w:val="22"/>
              </w:rPr>
              <w:t>③事前是否已经过必要的可行性研究、专家论证、风险评估、绩效评估、集体决策。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9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绩效目标</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项目所设定的绩效目标是否依据充分，是否符合客观实际，用以反映和考核项目绩效目标与项目实施的相符情况。</w:t>
            </w:r>
          </w:p>
        </w:tc>
        <w:tc>
          <w:tcPr>
            <w:tcW w:w="5198" w:type="dxa"/>
            <w:shd w:val="clear" w:color="000000" w:fill="FFFFFF"/>
            <w:vAlign w:val="center"/>
          </w:tcPr>
          <w:p>
            <w:pPr>
              <w:widowControl/>
              <w:spacing w:line="0" w:lineRule="atLeast"/>
              <w:jc w:val="lef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（如未设定预算绩效目标，也可考核其他工作任务目标）</w:t>
            </w:r>
            <w:r>
              <w:rPr>
                <w:color w:val="000000"/>
                <w:kern w:val="0"/>
                <w:sz w:val="22"/>
                <w:szCs w:val="22"/>
              </w:rPr>
              <w:br w:type="textWrapping"/>
            </w:r>
            <w:r>
              <w:rPr>
                <w:color w:val="000000"/>
                <w:kern w:val="0"/>
                <w:sz w:val="22"/>
                <w:szCs w:val="22"/>
              </w:rPr>
              <w:t>①项目是否有绩效目标；</w:t>
            </w:r>
            <w:r>
              <w:rPr>
                <w:color w:val="000000"/>
                <w:kern w:val="0"/>
                <w:sz w:val="22"/>
                <w:szCs w:val="22"/>
              </w:rPr>
              <w:br w:type="textWrapping"/>
            </w:r>
            <w:r>
              <w:rPr>
                <w:color w:val="000000"/>
                <w:kern w:val="0"/>
                <w:sz w:val="22"/>
                <w:szCs w:val="22"/>
              </w:rPr>
              <w:t>②项目绩效目标与实际工作内容是否具有相关性；</w:t>
            </w:r>
            <w:r>
              <w:rPr>
                <w:color w:val="000000"/>
                <w:kern w:val="0"/>
                <w:sz w:val="22"/>
                <w:szCs w:val="22"/>
              </w:rPr>
              <w:br w:type="textWrapping"/>
            </w:r>
            <w:r>
              <w:rPr>
                <w:color w:val="000000"/>
                <w:kern w:val="0"/>
                <w:sz w:val="22"/>
                <w:szCs w:val="22"/>
              </w:rPr>
              <w:t>③项目预期产出效益和效果是否符合正常的业绩水平；</w:t>
            </w:r>
          </w:p>
          <w:p>
            <w:pPr>
              <w:widowControl/>
              <w:spacing w:line="0" w:lineRule="atLeast"/>
              <w:jc w:val="left"/>
              <w:rPr>
                <w:color w:val="000000"/>
                <w:kern w:val="0"/>
                <w:sz w:val="22"/>
                <w:szCs w:val="22"/>
              </w:rPr>
            </w:pPr>
            <w:r>
              <w:rPr>
                <w:color w:val="000000"/>
                <w:kern w:val="0"/>
                <w:sz w:val="22"/>
                <w:szCs w:val="22"/>
              </w:rPr>
              <w:t>④是否与预算确定的项目投资额或资金量相匹配。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64"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绩效指标</w:t>
            </w:r>
          </w:p>
          <w:p>
            <w:pPr>
              <w:widowControl/>
              <w:spacing w:line="0" w:lineRule="atLeast"/>
              <w:jc w:val="center"/>
              <w:rPr>
                <w:color w:val="000000"/>
                <w:kern w:val="0"/>
                <w:sz w:val="22"/>
                <w:szCs w:val="22"/>
              </w:rPr>
            </w:pPr>
            <w:r>
              <w:rPr>
                <w:color w:val="000000"/>
                <w:kern w:val="0"/>
                <w:sz w:val="22"/>
                <w:szCs w:val="22"/>
              </w:rPr>
              <w:t>明确性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依据绩效目标设定的绩效指标是否清晰、细化、可衡量等，用以反映和考核项目绩效目标的明细化情况。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①是否将项目绩效目标细化分解为具体的绩效指标；</w:t>
            </w:r>
            <w:r>
              <w:rPr>
                <w:color w:val="000000"/>
                <w:kern w:val="0"/>
                <w:sz w:val="22"/>
                <w:szCs w:val="22"/>
              </w:rPr>
              <w:br w:type="textWrapping"/>
            </w:r>
            <w:r>
              <w:rPr>
                <w:color w:val="000000"/>
                <w:kern w:val="0"/>
                <w:sz w:val="22"/>
                <w:szCs w:val="22"/>
              </w:rPr>
              <w:t>②是否通过清晰、可衡量的指标值予以体现；</w:t>
            </w:r>
            <w:r>
              <w:rPr>
                <w:color w:val="000000"/>
                <w:kern w:val="0"/>
                <w:sz w:val="22"/>
                <w:szCs w:val="22"/>
              </w:rPr>
              <w:br w:type="textWrapping"/>
            </w:r>
            <w:r>
              <w:rPr>
                <w:color w:val="000000"/>
                <w:kern w:val="0"/>
                <w:sz w:val="22"/>
                <w:szCs w:val="22"/>
              </w:rPr>
              <w:t>③是否与项目目标任务数或计划数相对应。</w:t>
            </w:r>
            <w:r>
              <w:rPr>
                <w:color w:val="000000"/>
                <w:kern w:val="0"/>
                <w:sz w:val="22"/>
                <w:szCs w:val="22"/>
              </w:rPr>
              <w:br w:type="textWrapping"/>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3</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42"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资金投入</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预算编制</w:t>
            </w:r>
          </w:p>
          <w:p>
            <w:pPr>
              <w:widowControl/>
              <w:spacing w:line="0" w:lineRule="atLeast"/>
              <w:jc w:val="center"/>
              <w:rPr>
                <w:color w:val="000000"/>
                <w:kern w:val="0"/>
                <w:sz w:val="22"/>
                <w:szCs w:val="22"/>
              </w:rPr>
            </w:pPr>
            <w:r>
              <w:rPr>
                <w:color w:val="000000"/>
                <w:kern w:val="0"/>
                <w:sz w:val="22"/>
                <w:szCs w:val="22"/>
              </w:rPr>
              <w:t>科学性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项目预算编制是否经过科学论证、有明确标准，资金额度与年度目标是否相适应，用以反映和考核项目预算编制的科学性、合理性情况。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①预算编制是否经过科学论证；</w:t>
            </w:r>
            <w:r>
              <w:rPr>
                <w:color w:val="000000"/>
                <w:kern w:val="0"/>
                <w:sz w:val="22"/>
                <w:szCs w:val="22"/>
              </w:rPr>
              <w:br w:type="textWrapping"/>
            </w:r>
            <w:r>
              <w:rPr>
                <w:color w:val="000000"/>
                <w:kern w:val="0"/>
                <w:sz w:val="22"/>
                <w:szCs w:val="22"/>
              </w:rPr>
              <w:t>②预算内容与项目内容是否匹配；</w:t>
            </w:r>
            <w:r>
              <w:rPr>
                <w:color w:val="000000"/>
                <w:kern w:val="0"/>
                <w:sz w:val="22"/>
                <w:szCs w:val="22"/>
              </w:rPr>
              <w:br w:type="textWrapping"/>
            </w:r>
            <w:r>
              <w:rPr>
                <w:color w:val="000000"/>
                <w:kern w:val="0"/>
                <w:sz w:val="22"/>
                <w:szCs w:val="22"/>
              </w:rPr>
              <w:t>③预算额度测算依据是否充分，是否按照标准编制；</w:t>
            </w:r>
            <w:r>
              <w:rPr>
                <w:color w:val="000000"/>
                <w:kern w:val="0"/>
                <w:sz w:val="22"/>
                <w:szCs w:val="22"/>
              </w:rPr>
              <w:br w:type="textWrapping"/>
            </w:r>
            <w:r>
              <w:rPr>
                <w:color w:val="000000"/>
                <w:kern w:val="0"/>
                <w:sz w:val="22"/>
                <w:szCs w:val="22"/>
              </w:rPr>
              <w:t>④预算确定的项目投资额或资金量是否与工作任务相匹配。</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0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资金分配</w:t>
            </w:r>
          </w:p>
          <w:p>
            <w:pPr>
              <w:widowControl/>
              <w:spacing w:line="0" w:lineRule="atLeast"/>
              <w:jc w:val="center"/>
              <w:rPr>
                <w:color w:val="000000"/>
                <w:kern w:val="0"/>
                <w:sz w:val="22"/>
                <w:szCs w:val="22"/>
              </w:rPr>
            </w:pPr>
            <w:r>
              <w:rPr>
                <w:color w:val="000000"/>
                <w:kern w:val="0"/>
                <w:sz w:val="22"/>
                <w:szCs w:val="22"/>
              </w:rPr>
              <w:t>合理性</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项目预算资金分配是否有测算依据，与补助单位或地方实际是否相适应，用以反映和考核项目预算资金分配的科学性、合理性情况。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①预算资金分配依据是否充分；</w:t>
            </w:r>
            <w:r>
              <w:rPr>
                <w:color w:val="000000"/>
                <w:kern w:val="0"/>
                <w:sz w:val="22"/>
                <w:szCs w:val="22"/>
              </w:rPr>
              <w:br w:type="textWrapping"/>
            </w:r>
            <w:r>
              <w:rPr>
                <w:color w:val="000000"/>
                <w:kern w:val="0"/>
                <w:sz w:val="22"/>
                <w:szCs w:val="22"/>
              </w:rPr>
              <w:t>②资金分配额度是否合理，与项目单位或地方实际是否相适应。</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415" w:hRule="atLeast"/>
          <w:jc w:val="center"/>
        </w:trPr>
        <w:tc>
          <w:tcPr>
            <w:tcW w:w="832" w:type="dxa"/>
            <w:vMerge w:val="restart"/>
            <w:shd w:val="clear" w:color="auto" w:fill="FFFFFF"/>
            <w:vAlign w:val="center"/>
          </w:tcPr>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p>
          <w:p>
            <w:pPr>
              <w:spacing w:line="0" w:lineRule="atLeast"/>
              <w:jc w:val="center"/>
              <w:rPr>
                <w:color w:val="000000"/>
                <w:kern w:val="0"/>
                <w:sz w:val="22"/>
                <w:szCs w:val="22"/>
              </w:rPr>
            </w:pPr>
            <w:r>
              <w:rPr>
                <w:color w:val="000000"/>
                <w:kern w:val="0"/>
                <w:sz w:val="22"/>
                <w:szCs w:val="22"/>
              </w:rPr>
              <w:t>过程</w:t>
            </w:r>
          </w:p>
          <w:p>
            <w:pPr>
              <w:widowControl/>
              <w:spacing w:line="0" w:lineRule="atLeast"/>
              <w:jc w:val="center"/>
              <w:rPr>
                <w:color w:val="000000"/>
                <w:kern w:val="0"/>
                <w:sz w:val="22"/>
                <w:szCs w:val="22"/>
              </w:rPr>
            </w:pPr>
            <w:r>
              <w:rPr>
                <w:color w:val="000000"/>
                <w:kern w:val="0"/>
                <w:sz w:val="22"/>
                <w:szCs w:val="22"/>
              </w:rPr>
              <w:t>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资金到位率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实际到位资金与预算资金的比率，用以反映和考核资金落实情况对项目实施的总体保障程度。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资金到位率=（实际到位资金/预算资金）×100%。</w:t>
            </w:r>
          </w:p>
          <w:p>
            <w:pPr>
              <w:widowControl/>
              <w:spacing w:line="0" w:lineRule="atLeast"/>
              <w:rPr>
                <w:color w:val="000000"/>
                <w:kern w:val="0"/>
                <w:sz w:val="22"/>
                <w:szCs w:val="22"/>
              </w:rPr>
            </w:pPr>
            <w:r>
              <w:rPr>
                <w:color w:val="000000"/>
                <w:kern w:val="0"/>
                <w:sz w:val="22"/>
                <w:szCs w:val="22"/>
              </w:rPr>
              <w:t>实际到位资金：一定时期（本年度或项目期）内落实到具体项目的资金。</w:t>
            </w:r>
          </w:p>
          <w:p>
            <w:pPr>
              <w:widowControl/>
              <w:spacing w:line="0" w:lineRule="atLeast"/>
              <w:rPr>
                <w:color w:val="000000"/>
                <w:kern w:val="0"/>
                <w:sz w:val="22"/>
                <w:szCs w:val="22"/>
              </w:rPr>
            </w:pPr>
            <w:r>
              <w:rPr>
                <w:color w:val="000000"/>
                <w:kern w:val="0"/>
                <w:sz w:val="22"/>
                <w:szCs w:val="22"/>
              </w:rPr>
              <w:t>预算资金：一定时期（本年度或项目期）内预算安排到具体项目的资金。</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320"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continue"/>
            <w:shd w:val="clear" w:color="auto" w:fill="FFFFFF"/>
            <w:vAlign w:val="center"/>
          </w:tcPr>
          <w:p>
            <w:pPr>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预算执行率</w:t>
            </w:r>
          </w:p>
        </w:tc>
        <w:tc>
          <w:tcPr>
            <w:tcW w:w="2353" w:type="dxa"/>
            <w:shd w:val="clear" w:color="auto" w:fill="FFFFFF"/>
            <w:vAlign w:val="center"/>
          </w:tcPr>
          <w:p>
            <w:pPr>
              <w:widowControl/>
              <w:spacing w:line="0" w:lineRule="atLeast"/>
              <w:rPr>
                <w:color w:val="000000"/>
                <w:kern w:val="0"/>
                <w:sz w:val="22"/>
                <w:szCs w:val="22"/>
              </w:rPr>
            </w:pPr>
            <w:r>
              <w:rPr>
                <w:color w:val="000000"/>
                <w:kern w:val="0"/>
                <w:sz w:val="22"/>
                <w:szCs w:val="22"/>
              </w:rPr>
              <w:t>项目预算资金是否按照计划执行，用以反映或考核项目预算执行情况。</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预算执行率=（实际支出资金/实际到位资金）×100%。</w:t>
            </w:r>
            <w:r>
              <w:rPr>
                <w:color w:val="000000"/>
                <w:kern w:val="0"/>
                <w:sz w:val="22"/>
                <w:szCs w:val="22"/>
              </w:rPr>
              <w:br w:type="textWrapping"/>
            </w:r>
            <w:r>
              <w:rPr>
                <w:color w:val="000000"/>
                <w:kern w:val="0"/>
                <w:sz w:val="22"/>
                <w:szCs w:val="22"/>
              </w:rPr>
              <w:t>实际支出资金：一定时期（本年度或项目期）内项目实际拨付的资金。</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3.15</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资金管理</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资金使用</w:t>
            </w:r>
          </w:p>
          <w:p>
            <w:pPr>
              <w:widowControl/>
              <w:spacing w:line="0" w:lineRule="atLeast"/>
              <w:jc w:val="center"/>
              <w:rPr>
                <w:color w:val="000000"/>
                <w:kern w:val="0"/>
                <w:sz w:val="22"/>
                <w:szCs w:val="22"/>
              </w:rPr>
            </w:pPr>
            <w:r>
              <w:rPr>
                <w:color w:val="000000"/>
                <w:kern w:val="0"/>
                <w:sz w:val="22"/>
                <w:szCs w:val="22"/>
              </w:rPr>
              <w:t>合规性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项目资金使用是否符合相关的财务管理制度规定，用以反映和考核项目资金的规范运行情况。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①是否符合国家财经法规和财务管理制度以及有关专项资金管理办法的规定；</w:t>
            </w:r>
            <w:r>
              <w:rPr>
                <w:color w:val="000000"/>
                <w:kern w:val="0"/>
                <w:sz w:val="22"/>
                <w:szCs w:val="22"/>
              </w:rPr>
              <w:br w:type="textWrapping"/>
            </w:r>
            <w:r>
              <w:rPr>
                <w:color w:val="000000"/>
                <w:kern w:val="0"/>
                <w:sz w:val="22"/>
                <w:szCs w:val="22"/>
              </w:rPr>
              <w:t>②资金的拨付是否有完整的审批程序和手续；</w:t>
            </w:r>
            <w:r>
              <w:rPr>
                <w:color w:val="000000"/>
                <w:kern w:val="0"/>
                <w:sz w:val="22"/>
                <w:szCs w:val="22"/>
              </w:rPr>
              <w:br w:type="textWrapping"/>
            </w:r>
            <w:r>
              <w:rPr>
                <w:color w:val="000000"/>
                <w:kern w:val="0"/>
                <w:sz w:val="22"/>
                <w:szCs w:val="22"/>
              </w:rPr>
              <w:t>③是否符合项目预算批复或合同规定的用途；</w:t>
            </w:r>
            <w:r>
              <w:rPr>
                <w:color w:val="000000"/>
                <w:kern w:val="0"/>
                <w:sz w:val="22"/>
                <w:szCs w:val="22"/>
              </w:rPr>
              <w:br w:type="textWrapping"/>
            </w:r>
            <w:r>
              <w:rPr>
                <w:color w:val="000000"/>
                <w:kern w:val="0"/>
                <w:sz w:val="22"/>
                <w:szCs w:val="22"/>
              </w:rPr>
              <w:t>④是否存在截留、挤占、挪用、虚列支出等情况。</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97"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组织实施</w:t>
            </w:r>
          </w:p>
          <w:p>
            <w:pPr>
              <w:spacing w:line="0" w:lineRule="atLeast"/>
              <w:jc w:val="center"/>
              <w:rPr>
                <w:color w:val="000000"/>
                <w:kern w:val="0"/>
                <w:sz w:val="22"/>
                <w:szCs w:val="22"/>
              </w:rPr>
            </w:pPr>
            <w:r>
              <w:rPr>
                <w:color w:val="000000"/>
                <w:kern w:val="0"/>
                <w:sz w:val="22"/>
                <w:szCs w:val="22"/>
              </w:rPr>
              <w:t>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管理制度</w:t>
            </w:r>
          </w:p>
          <w:p>
            <w:pPr>
              <w:widowControl/>
              <w:spacing w:line="0" w:lineRule="atLeast"/>
              <w:jc w:val="center"/>
              <w:rPr>
                <w:color w:val="000000"/>
                <w:kern w:val="0"/>
                <w:sz w:val="22"/>
                <w:szCs w:val="22"/>
              </w:rPr>
            </w:pPr>
            <w:r>
              <w:rPr>
                <w:color w:val="000000"/>
                <w:kern w:val="0"/>
                <w:sz w:val="22"/>
                <w:szCs w:val="22"/>
              </w:rPr>
              <w:t>健全性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项目实施单位的财务和业务管理制度是否健全，用以反映和考核财务和业务管理制度对项目顺利实施的保障情况。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①是否已制定或具有相应的财务和业务管理制度；</w:t>
            </w:r>
            <w:r>
              <w:rPr>
                <w:color w:val="000000"/>
                <w:kern w:val="0"/>
                <w:sz w:val="22"/>
                <w:szCs w:val="22"/>
              </w:rPr>
              <w:br w:type="textWrapping"/>
            </w:r>
            <w:r>
              <w:rPr>
                <w:color w:val="000000"/>
                <w:kern w:val="0"/>
                <w:sz w:val="22"/>
                <w:szCs w:val="22"/>
              </w:rPr>
              <w:t>②财务和业务管理制度是否合法、合规、完整。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69"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制度执行</w:t>
            </w:r>
          </w:p>
          <w:p>
            <w:pPr>
              <w:widowControl/>
              <w:spacing w:line="0" w:lineRule="atLeast"/>
              <w:jc w:val="center"/>
              <w:rPr>
                <w:color w:val="000000"/>
                <w:kern w:val="0"/>
                <w:sz w:val="22"/>
                <w:szCs w:val="22"/>
              </w:rPr>
            </w:pPr>
            <w:r>
              <w:rPr>
                <w:color w:val="000000"/>
                <w:kern w:val="0"/>
                <w:sz w:val="22"/>
                <w:szCs w:val="22"/>
              </w:rPr>
              <w:t>有效性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项目实施是否符合相关管理规定，用以反映和考核相关管理制度的有效执行情况。</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评价要点：</w:t>
            </w:r>
            <w:r>
              <w:rPr>
                <w:color w:val="000000"/>
                <w:kern w:val="0"/>
                <w:sz w:val="22"/>
                <w:szCs w:val="22"/>
              </w:rPr>
              <w:br w:type="textWrapping"/>
            </w:r>
            <w:r>
              <w:rPr>
                <w:color w:val="000000"/>
                <w:kern w:val="0"/>
                <w:sz w:val="22"/>
                <w:szCs w:val="22"/>
              </w:rPr>
              <w:t>①是否遵守相关法律法规和相关管理规定；</w:t>
            </w:r>
            <w:r>
              <w:rPr>
                <w:color w:val="000000"/>
                <w:kern w:val="0"/>
                <w:sz w:val="22"/>
                <w:szCs w:val="22"/>
              </w:rPr>
              <w:br w:type="textWrapping"/>
            </w:r>
            <w:r>
              <w:rPr>
                <w:color w:val="000000"/>
                <w:kern w:val="0"/>
                <w:sz w:val="22"/>
                <w:szCs w:val="22"/>
              </w:rPr>
              <w:t>②项目调整及支出调整手续是否完备；</w:t>
            </w:r>
            <w:r>
              <w:rPr>
                <w:color w:val="000000"/>
                <w:kern w:val="0"/>
                <w:sz w:val="22"/>
                <w:szCs w:val="22"/>
              </w:rPr>
              <w:br w:type="textWrapping"/>
            </w:r>
            <w:r>
              <w:rPr>
                <w:color w:val="000000"/>
                <w:kern w:val="0"/>
                <w:sz w:val="22"/>
                <w:szCs w:val="22"/>
              </w:rPr>
              <w:t>③项目合同书、验收报告、技术鉴定等资料是否齐全并及时归档；</w:t>
            </w:r>
            <w:r>
              <w:rPr>
                <w:color w:val="000000"/>
                <w:kern w:val="0"/>
                <w:sz w:val="22"/>
                <w:szCs w:val="22"/>
              </w:rPr>
              <w:br w:type="textWrapping"/>
            </w:r>
            <w:r>
              <w:rPr>
                <w:color w:val="000000"/>
                <w:kern w:val="0"/>
                <w:sz w:val="22"/>
                <w:szCs w:val="22"/>
              </w:rPr>
              <w:t>④项目实施的人员条件、场地设备、信息支撑等是否落实到位。</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4</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4</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917"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产出</w:t>
            </w: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产出数量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实际完成率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项目实施的实际产出数与计划产出数的比率，用以反映和考核项目产出数量目标的实现程度。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实际完成率=（实际产出数/计划产出数）×100%。</w:t>
            </w:r>
            <w:r>
              <w:rPr>
                <w:color w:val="000000"/>
                <w:kern w:val="0"/>
                <w:sz w:val="22"/>
                <w:szCs w:val="22"/>
              </w:rPr>
              <w:br w:type="textWrapping"/>
            </w:r>
            <w:r>
              <w:rPr>
                <w:color w:val="000000"/>
                <w:kern w:val="0"/>
                <w:sz w:val="22"/>
                <w:szCs w:val="22"/>
              </w:rPr>
              <w:t>实际产出数：一定时期（本年度或项目期）内项目实际产出的产品或提供的服务数量。</w:t>
            </w:r>
            <w:r>
              <w:rPr>
                <w:color w:val="000000"/>
                <w:kern w:val="0"/>
                <w:sz w:val="22"/>
                <w:szCs w:val="22"/>
              </w:rPr>
              <w:br w:type="textWrapping"/>
            </w:r>
            <w:r>
              <w:rPr>
                <w:color w:val="000000"/>
                <w:kern w:val="0"/>
                <w:sz w:val="22"/>
                <w:szCs w:val="22"/>
              </w:rPr>
              <w:t>计划产出数：项目绩效目标确定的在一定时期（本年度或项目期）内计划产出的产品或提供的服务数量。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9.53</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718"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产出质量</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质量达标率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项目完成的质量达标产出数与实际产出数的比率，用以反映和考核项目产出质量目标的实现程度。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质量达标率=（质量达标产出数/实际产出数）×100%。</w:t>
            </w:r>
          </w:p>
          <w:p>
            <w:pPr>
              <w:widowControl/>
              <w:spacing w:line="0" w:lineRule="atLeast"/>
              <w:rPr>
                <w:color w:val="000000"/>
                <w:kern w:val="0"/>
                <w:sz w:val="22"/>
                <w:szCs w:val="22"/>
              </w:rPr>
            </w:pPr>
            <w:r>
              <w:rPr>
                <w:color w:val="000000"/>
                <w:kern w:val="0"/>
                <w:sz w:val="22"/>
                <w:szCs w:val="22"/>
              </w:rPr>
              <w:t>质量达标产出数：一定时期（本年度或项目期）内实际达到既定质量标准的产品或服务数量。既定质量标准是指项目实施单位设立绩效目标时依据计划标准、行业标准、历史标准或其他标准而设定的绩效指标值。</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506" w:hRule="atLeast"/>
          <w:jc w:val="center"/>
        </w:trPr>
        <w:tc>
          <w:tcPr>
            <w:tcW w:w="832" w:type="dxa"/>
            <w:vMerge w:val="continue"/>
            <w:shd w:val="clear" w:color="auto" w:fill="FFFFFF"/>
            <w:vAlign w:val="center"/>
          </w:tcPr>
          <w:p>
            <w:pPr>
              <w:spacing w:line="0" w:lineRule="atLeast"/>
              <w:jc w:val="center"/>
              <w:rPr>
                <w:color w:val="000000"/>
                <w:kern w:val="0"/>
                <w:sz w:val="22"/>
                <w:szCs w:val="22"/>
              </w:rPr>
            </w:pPr>
          </w:p>
        </w:tc>
        <w:tc>
          <w:tcPr>
            <w:tcW w:w="764" w:type="dxa"/>
            <w:shd w:val="clear" w:color="auto" w:fill="FFFFFF"/>
            <w:vAlign w:val="center"/>
          </w:tcPr>
          <w:p>
            <w:pPr>
              <w:spacing w:line="0" w:lineRule="atLeast"/>
              <w:jc w:val="center"/>
              <w:rPr>
                <w:color w:val="000000"/>
                <w:kern w:val="0"/>
                <w:sz w:val="22"/>
                <w:szCs w:val="22"/>
              </w:rPr>
            </w:pPr>
            <w:r>
              <w:rPr>
                <w:color w:val="000000"/>
                <w:kern w:val="0"/>
                <w:sz w:val="22"/>
                <w:szCs w:val="22"/>
              </w:rPr>
              <w:t>产出时效</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完成及时性</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项目实际完成时间与计划完成时间的比较，用以反映和考核项目产出时效目标的实现程度。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实际完成时间：项目实施单位完成该项目实际所耗用的时间。</w:t>
            </w:r>
            <w:r>
              <w:rPr>
                <w:color w:val="000000"/>
                <w:kern w:val="0"/>
                <w:sz w:val="22"/>
                <w:szCs w:val="22"/>
              </w:rPr>
              <w:br w:type="textWrapping"/>
            </w:r>
            <w:r>
              <w:rPr>
                <w:color w:val="000000"/>
                <w:kern w:val="0"/>
                <w:sz w:val="22"/>
                <w:szCs w:val="22"/>
              </w:rPr>
              <w:t>计划完成时间：按照项目实施计划或相关规定完成该项目所需的时间。</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2076"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产出成本</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成本节约率</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完成项目计划工作目标的实际节约成本与计划成本的比率，用以反映和考核项目的成本节约程度。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br w:type="textWrapping"/>
            </w:r>
            <w:r>
              <w:rPr>
                <w:color w:val="000000"/>
                <w:kern w:val="0"/>
                <w:sz w:val="22"/>
                <w:szCs w:val="22"/>
              </w:rPr>
              <w:t>成本节约率=[（计划成本-实际成本）/计划成本]×100%。</w:t>
            </w:r>
            <w:r>
              <w:rPr>
                <w:color w:val="000000"/>
                <w:kern w:val="0"/>
                <w:sz w:val="22"/>
                <w:szCs w:val="22"/>
              </w:rPr>
              <w:br w:type="textWrapping"/>
            </w:r>
            <w:r>
              <w:rPr>
                <w:color w:val="000000"/>
                <w:kern w:val="0"/>
                <w:sz w:val="22"/>
                <w:szCs w:val="22"/>
              </w:rPr>
              <w:t>实际成本：项目实施单位如期、保质、保量完成既定工作目标实际所耗费的支出。</w:t>
            </w:r>
            <w:r>
              <w:rPr>
                <w:color w:val="000000"/>
                <w:kern w:val="0"/>
                <w:sz w:val="22"/>
                <w:szCs w:val="22"/>
              </w:rPr>
              <w:br w:type="textWrapping"/>
            </w:r>
            <w:r>
              <w:rPr>
                <w:color w:val="000000"/>
                <w:kern w:val="0"/>
                <w:sz w:val="22"/>
                <w:szCs w:val="22"/>
              </w:rPr>
              <w:t>计划成本：项目实施单位为完成工作目标计划安排的支出，一般以项目预算为参考。</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8.12</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889" w:hRule="atLeast"/>
          <w:jc w:val="center"/>
        </w:trPr>
        <w:tc>
          <w:tcPr>
            <w:tcW w:w="832"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效益　</w:t>
            </w:r>
          </w:p>
        </w:tc>
        <w:tc>
          <w:tcPr>
            <w:tcW w:w="764" w:type="dxa"/>
            <w:vMerge w:val="restart"/>
            <w:shd w:val="clear" w:color="auto" w:fill="FFFFFF"/>
            <w:vAlign w:val="center"/>
          </w:tcPr>
          <w:p>
            <w:pPr>
              <w:widowControl/>
              <w:spacing w:line="0" w:lineRule="atLeast"/>
              <w:jc w:val="center"/>
              <w:rPr>
                <w:color w:val="000000"/>
                <w:kern w:val="0"/>
                <w:sz w:val="22"/>
                <w:szCs w:val="22"/>
              </w:rPr>
            </w:pPr>
            <w:r>
              <w:rPr>
                <w:color w:val="000000"/>
                <w:kern w:val="0"/>
                <w:sz w:val="22"/>
                <w:szCs w:val="22"/>
              </w:rPr>
              <w:t>项目效益　</w:t>
            </w: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实施效益</w:t>
            </w:r>
          </w:p>
        </w:tc>
        <w:tc>
          <w:tcPr>
            <w:tcW w:w="2353" w:type="dxa"/>
            <w:shd w:val="clear" w:color="auto" w:fill="FFFFFF"/>
            <w:vAlign w:val="center"/>
          </w:tcPr>
          <w:p>
            <w:pPr>
              <w:widowControl/>
              <w:spacing w:line="0" w:lineRule="atLeast"/>
              <w:jc w:val="left"/>
              <w:rPr>
                <w:color w:val="000000"/>
                <w:kern w:val="0"/>
                <w:sz w:val="22"/>
                <w:szCs w:val="22"/>
              </w:rPr>
            </w:pPr>
            <w:r>
              <w:rPr>
                <w:color w:val="000000"/>
                <w:kern w:val="0"/>
                <w:sz w:val="22"/>
                <w:szCs w:val="22"/>
              </w:rPr>
              <w:t>项目实施所产生的效益。</w:t>
            </w:r>
          </w:p>
        </w:tc>
        <w:tc>
          <w:tcPr>
            <w:tcW w:w="5198" w:type="dxa"/>
            <w:shd w:val="clear" w:color="auto" w:fill="FFFFFF"/>
            <w:vAlign w:val="center"/>
          </w:tcPr>
          <w:p>
            <w:pPr>
              <w:widowControl/>
              <w:spacing w:line="0" w:lineRule="atLeast"/>
              <w:rPr>
                <w:color w:val="000000"/>
                <w:kern w:val="0"/>
                <w:sz w:val="22"/>
                <w:szCs w:val="22"/>
              </w:rPr>
            </w:pPr>
            <w:r>
              <w:rPr>
                <w:color w:val="000000"/>
                <w:kern w:val="0"/>
                <w:sz w:val="22"/>
                <w:szCs w:val="22"/>
              </w:rPr>
              <w:t>项目实施所产生的社会效益、经济效益、生态效益、可持续影响等。可根据项目实际情况有选择地设置和细化。</w:t>
            </w:r>
          </w:p>
        </w:tc>
        <w:tc>
          <w:tcPr>
            <w:tcW w:w="1300" w:type="dxa"/>
            <w:shd w:val="clear" w:color="auto"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auto" w:fill="FFFFFF"/>
            <w:vAlign w:val="center"/>
          </w:tcPr>
          <w:p>
            <w:pPr>
              <w:widowControl/>
              <w:spacing w:line="0" w:lineRule="atLeast"/>
              <w:jc w:val="center"/>
              <w:rPr>
                <w:b/>
                <w:bCs/>
                <w:color w:val="000000"/>
                <w:kern w:val="0"/>
                <w:sz w:val="22"/>
                <w:szCs w:val="22"/>
              </w:rPr>
            </w:pPr>
            <w:r>
              <w:rPr>
                <w:rFonts w:hint="eastAsia"/>
                <w:b/>
                <w:bCs/>
                <w:color w:val="000000"/>
                <w:kern w:val="0"/>
                <w:sz w:val="22"/>
                <w:szCs w:val="22"/>
              </w:rPr>
              <w:t>10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108" w:type="dxa"/>
            <w:bottom w:w="0" w:type="dxa"/>
            <w:right w:w="108" w:type="dxa"/>
          </w:tblCellMar>
        </w:tblPrEx>
        <w:trPr>
          <w:trHeight w:val="1137" w:hRule="atLeast"/>
          <w:jc w:val="center"/>
        </w:trPr>
        <w:tc>
          <w:tcPr>
            <w:tcW w:w="832" w:type="dxa"/>
            <w:vMerge w:val="continue"/>
            <w:shd w:val="clear" w:color="auto" w:fill="FFFFFF"/>
            <w:vAlign w:val="center"/>
          </w:tcPr>
          <w:p>
            <w:pPr>
              <w:widowControl/>
              <w:spacing w:line="0" w:lineRule="atLeast"/>
              <w:jc w:val="center"/>
              <w:rPr>
                <w:color w:val="000000"/>
                <w:kern w:val="0"/>
                <w:sz w:val="22"/>
                <w:szCs w:val="22"/>
              </w:rPr>
            </w:pPr>
          </w:p>
        </w:tc>
        <w:tc>
          <w:tcPr>
            <w:tcW w:w="764" w:type="dxa"/>
            <w:vMerge w:val="continue"/>
            <w:shd w:val="clear" w:color="auto" w:fill="FFFFFF"/>
            <w:vAlign w:val="center"/>
          </w:tcPr>
          <w:p>
            <w:pPr>
              <w:widowControl/>
              <w:spacing w:line="0" w:lineRule="atLeast"/>
              <w:jc w:val="center"/>
              <w:rPr>
                <w:color w:val="000000"/>
                <w:kern w:val="0"/>
                <w:sz w:val="22"/>
                <w:szCs w:val="22"/>
              </w:rPr>
            </w:pPr>
          </w:p>
        </w:tc>
        <w:tc>
          <w:tcPr>
            <w:tcW w:w="873" w:type="dxa"/>
            <w:shd w:val="clear" w:color="auto" w:fill="FFFFFF"/>
            <w:vAlign w:val="center"/>
          </w:tcPr>
          <w:p>
            <w:pPr>
              <w:widowControl/>
              <w:spacing w:line="0" w:lineRule="atLeast"/>
              <w:jc w:val="center"/>
              <w:rPr>
                <w:color w:val="000000"/>
                <w:kern w:val="0"/>
                <w:sz w:val="22"/>
                <w:szCs w:val="22"/>
              </w:rPr>
            </w:pPr>
            <w:r>
              <w:rPr>
                <w:color w:val="000000"/>
                <w:kern w:val="0"/>
                <w:sz w:val="22"/>
                <w:szCs w:val="22"/>
              </w:rPr>
              <w:t>满意度</w:t>
            </w:r>
          </w:p>
        </w:tc>
        <w:tc>
          <w:tcPr>
            <w:tcW w:w="2353"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社会公众或服务对象对项目实施效果的满意程度。</w:t>
            </w:r>
          </w:p>
        </w:tc>
        <w:tc>
          <w:tcPr>
            <w:tcW w:w="5198" w:type="dxa"/>
            <w:shd w:val="clear" w:color="000000" w:fill="FFFFFF"/>
            <w:vAlign w:val="center"/>
          </w:tcPr>
          <w:p>
            <w:pPr>
              <w:widowControl/>
              <w:spacing w:line="0" w:lineRule="atLeast"/>
              <w:rPr>
                <w:color w:val="000000"/>
                <w:kern w:val="0"/>
                <w:sz w:val="22"/>
                <w:szCs w:val="22"/>
              </w:rPr>
            </w:pPr>
            <w:r>
              <w:rPr>
                <w:color w:val="000000"/>
                <w:kern w:val="0"/>
                <w:sz w:val="22"/>
                <w:szCs w:val="22"/>
              </w:rPr>
              <w:t>社会公众或服务对象是指因该项目实施而受到影响的部门（单位）、群体或个人。一般采取社会调查的方式。</w:t>
            </w:r>
          </w:p>
        </w:tc>
        <w:tc>
          <w:tcPr>
            <w:tcW w:w="1300" w:type="dxa"/>
            <w:shd w:val="clear" w:color="000000" w:fill="FFFFFF"/>
            <w:vAlign w:val="center"/>
          </w:tcPr>
          <w:p>
            <w:pPr>
              <w:widowControl/>
              <w:spacing w:line="0" w:lineRule="atLeast"/>
              <w:jc w:val="center"/>
              <w:rPr>
                <w:b/>
                <w:bCs/>
                <w:color w:val="000000"/>
                <w:kern w:val="0"/>
                <w:sz w:val="22"/>
                <w:szCs w:val="22"/>
              </w:rPr>
            </w:pPr>
            <w:r>
              <w:rPr>
                <w:b/>
                <w:bCs/>
                <w:color w:val="000000"/>
                <w:kern w:val="0"/>
                <w:sz w:val="22"/>
                <w:szCs w:val="22"/>
              </w:rPr>
              <w:t>10</w:t>
            </w:r>
          </w:p>
        </w:tc>
        <w:tc>
          <w:tcPr>
            <w:tcW w:w="1363" w:type="dxa"/>
            <w:shd w:val="clear" w:color="000000" w:fill="FFFFFF"/>
            <w:vAlign w:val="center"/>
          </w:tcPr>
          <w:p>
            <w:pPr>
              <w:widowControl/>
              <w:spacing w:line="0" w:lineRule="atLeast"/>
              <w:jc w:val="center"/>
              <w:rPr>
                <w:b/>
                <w:bCs/>
                <w:color w:val="000000"/>
                <w:kern w:val="0"/>
                <w:sz w:val="22"/>
                <w:szCs w:val="22"/>
                <w:highlight w:val="yellow"/>
              </w:rPr>
            </w:pPr>
            <w:r>
              <w:rPr>
                <w:rFonts w:hint="eastAsia"/>
                <w:b/>
                <w:bCs/>
                <w:color w:val="000000"/>
                <w:kern w:val="0"/>
                <w:sz w:val="22"/>
                <w:szCs w:val="22"/>
              </w:rPr>
              <w:t>10</w:t>
            </w:r>
          </w:p>
        </w:tc>
      </w:tr>
    </w:tbl>
    <w:p/>
    <w:sectPr>
      <w:pgSz w:w="16838" w:h="11906" w:orient="landscape"/>
      <w:pgMar w:top="1531" w:right="1928" w:bottom="1531" w:left="1701" w:header="737" w:footer="851" w:gutter="0"/>
      <w:cols w:space="720" w:num="1"/>
      <w:docGrid w:type="lines" w:linePitch="40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等线 Light">
    <w:panose1 w:val="02010600030101010101"/>
    <w:charset w:val="86"/>
    <w:family w:val="auto"/>
    <w:pitch w:val="default"/>
    <w:sig w:usb0="A00002BF" w:usb1="38CF7CFA" w:usb2="00000016" w:usb3="00000000" w:csb0="0004000F" w:csb1="00000000"/>
  </w:font>
  <w:font w:name="等线">
    <w:panose1 w:val="02010600030101010101"/>
    <w:charset w:val="86"/>
    <w:family w:val="auto"/>
    <w:pitch w:val="default"/>
    <w:sig w:usb0="A00002BF" w:usb1="38CF7CFA" w:usb2="00000016" w:usb3="00000000" w:csb0="0004000F" w:csb1="00000000"/>
  </w:font>
  <w:font w:name="方正小标宋_GBK">
    <w:altName w:val="微软雅黑"/>
    <w:panose1 w:val="00000000000000000000"/>
    <w:charset w:val="86"/>
    <w:family w:val="script"/>
    <w:pitch w:val="default"/>
    <w:sig w:usb0="00000000" w:usb1="00000000" w:usb2="00000000" w:usb3="00000000" w:csb0="00040000" w:csb1="00000000"/>
  </w:font>
  <w:font w:name="红豆小标宋简体">
    <w:altName w:val="宋体"/>
    <w:panose1 w:val="00000000000000000000"/>
    <w:charset w:val="86"/>
    <w:family w:val="auto"/>
    <w:pitch w:val="default"/>
    <w:sig w:usb0="00000000" w:usb1="00000000" w:usb2="00000012" w:usb3="00000000" w:csb0="00040001" w:csb1="00000000"/>
  </w:font>
  <w:font w:name="楷体_GB2312">
    <w:panose1 w:val="02010609030101010101"/>
    <w:charset w:val="86"/>
    <w:family w:val="auto"/>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auto"/>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方正小标宋简体">
    <w:panose1 w:val="02010601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1"/>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DEF60FE1"/>
    <w:multiLevelType w:val="singleLevel"/>
    <w:tmpl w:val="DEF60FE1"/>
    <w:lvl w:ilvl="0" w:tentative="0">
      <w:start w:val="1"/>
      <w:numFmt w:val="decimal"/>
      <w:suff w:val="nothing"/>
      <w:lvlText w:val="（%1）"/>
      <w:lvlJc w:val="left"/>
    </w:lvl>
  </w:abstractNum>
  <w:abstractNum w:abstractNumId="1">
    <w:nsid w:val="42717433"/>
    <w:multiLevelType w:val="singleLevel"/>
    <w:tmpl w:val="42717433"/>
    <w:lvl w:ilvl="0" w:tentative="0">
      <w:start w:val="1"/>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WNmYzc1MTljYTgwOGMzMzYwNzgzYmYyZDJkZjRmOGIifQ=="/>
  </w:docVars>
  <w:rsids>
    <w:rsidRoot w:val="007D49C5"/>
    <w:rsid w:val="000D63FA"/>
    <w:rsid w:val="002C1F72"/>
    <w:rsid w:val="00303130"/>
    <w:rsid w:val="005B64E8"/>
    <w:rsid w:val="00614288"/>
    <w:rsid w:val="0066134E"/>
    <w:rsid w:val="00670592"/>
    <w:rsid w:val="00760EF2"/>
    <w:rsid w:val="00792CFE"/>
    <w:rsid w:val="007D49C5"/>
    <w:rsid w:val="007F575A"/>
    <w:rsid w:val="008042DA"/>
    <w:rsid w:val="008175E0"/>
    <w:rsid w:val="008C631D"/>
    <w:rsid w:val="00924FB5"/>
    <w:rsid w:val="00A114ED"/>
    <w:rsid w:val="00A923A7"/>
    <w:rsid w:val="00B24331"/>
    <w:rsid w:val="00DC5769"/>
    <w:rsid w:val="01583141"/>
    <w:rsid w:val="01B2185F"/>
    <w:rsid w:val="0261487E"/>
    <w:rsid w:val="05253FFE"/>
    <w:rsid w:val="05903C5B"/>
    <w:rsid w:val="066E345B"/>
    <w:rsid w:val="06F21F49"/>
    <w:rsid w:val="07E96E95"/>
    <w:rsid w:val="09E35B78"/>
    <w:rsid w:val="09EF6C13"/>
    <w:rsid w:val="09F064E7"/>
    <w:rsid w:val="0A342959"/>
    <w:rsid w:val="0AB373E9"/>
    <w:rsid w:val="0C7068CC"/>
    <w:rsid w:val="0C762191"/>
    <w:rsid w:val="0D4A533D"/>
    <w:rsid w:val="0DA7666B"/>
    <w:rsid w:val="0E247660"/>
    <w:rsid w:val="0EBB70C4"/>
    <w:rsid w:val="0ED43403"/>
    <w:rsid w:val="0F2A6BF7"/>
    <w:rsid w:val="109627EE"/>
    <w:rsid w:val="11C55349"/>
    <w:rsid w:val="12F370A5"/>
    <w:rsid w:val="152C5EDE"/>
    <w:rsid w:val="17136327"/>
    <w:rsid w:val="180F6468"/>
    <w:rsid w:val="181871E2"/>
    <w:rsid w:val="185A794E"/>
    <w:rsid w:val="19166846"/>
    <w:rsid w:val="19670C0E"/>
    <w:rsid w:val="19D63004"/>
    <w:rsid w:val="1D6E79F7"/>
    <w:rsid w:val="1DE32193"/>
    <w:rsid w:val="1E9758BD"/>
    <w:rsid w:val="1F3F1517"/>
    <w:rsid w:val="20E92B23"/>
    <w:rsid w:val="20F814B1"/>
    <w:rsid w:val="211D5C51"/>
    <w:rsid w:val="22093F32"/>
    <w:rsid w:val="22AC2218"/>
    <w:rsid w:val="252631F8"/>
    <w:rsid w:val="26804A23"/>
    <w:rsid w:val="2729052F"/>
    <w:rsid w:val="27F4512B"/>
    <w:rsid w:val="27F70372"/>
    <w:rsid w:val="28836A4D"/>
    <w:rsid w:val="28C14634"/>
    <w:rsid w:val="294861EC"/>
    <w:rsid w:val="297E7214"/>
    <w:rsid w:val="2EC724D4"/>
    <w:rsid w:val="2EE30257"/>
    <w:rsid w:val="30590093"/>
    <w:rsid w:val="309B7884"/>
    <w:rsid w:val="314C5A80"/>
    <w:rsid w:val="31780131"/>
    <w:rsid w:val="31C003CA"/>
    <w:rsid w:val="34DA27CE"/>
    <w:rsid w:val="35025446"/>
    <w:rsid w:val="35FB5DBC"/>
    <w:rsid w:val="36411DC5"/>
    <w:rsid w:val="36B72533"/>
    <w:rsid w:val="37BC5F39"/>
    <w:rsid w:val="380D00E1"/>
    <w:rsid w:val="38CA5E41"/>
    <w:rsid w:val="38D17360"/>
    <w:rsid w:val="3AB8784F"/>
    <w:rsid w:val="3B1479D8"/>
    <w:rsid w:val="3BBE0AD3"/>
    <w:rsid w:val="3CA07775"/>
    <w:rsid w:val="3F6D1EA2"/>
    <w:rsid w:val="4057649F"/>
    <w:rsid w:val="41BA42CD"/>
    <w:rsid w:val="42A94EAA"/>
    <w:rsid w:val="431C38CE"/>
    <w:rsid w:val="44466E54"/>
    <w:rsid w:val="450B6AE4"/>
    <w:rsid w:val="4909087E"/>
    <w:rsid w:val="493D634C"/>
    <w:rsid w:val="4AF94682"/>
    <w:rsid w:val="4FFF435B"/>
    <w:rsid w:val="51D04646"/>
    <w:rsid w:val="54873A1A"/>
    <w:rsid w:val="54B869EF"/>
    <w:rsid w:val="54DA50E5"/>
    <w:rsid w:val="56796849"/>
    <w:rsid w:val="568F383B"/>
    <w:rsid w:val="57DA43D3"/>
    <w:rsid w:val="59DE7288"/>
    <w:rsid w:val="5A2C21F1"/>
    <w:rsid w:val="5AFB723D"/>
    <w:rsid w:val="5C8D6D86"/>
    <w:rsid w:val="5D205C81"/>
    <w:rsid w:val="5D555EEF"/>
    <w:rsid w:val="5D8F4F70"/>
    <w:rsid w:val="5DA95371"/>
    <w:rsid w:val="5E256DDC"/>
    <w:rsid w:val="61C32D96"/>
    <w:rsid w:val="64B5748D"/>
    <w:rsid w:val="65431746"/>
    <w:rsid w:val="6696717B"/>
    <w:rsid w:val="66DF1A41"/>
    <w:rsid w:val="673266BF"/>
    <w:rsid w:val="686F7714"/>
    <w:rsid w:val="69EF68A6"/>
    <w:rsid w:val="6A862BA8"/>
    <w:rsid w:val="6AF777DE"/>
    <w:rsid w:val="6C8E179A"/>
    <w:rsid w:val="6CF03901"/>
    <w:rsid w:val="6DC01176"/>
    <w:rsid w:val="6DFC1C65"/>
    <w:rsid w:val="6F030322"/>
    <w:rsid w:val="70820965"/>
    <w:rsid w:val="712D377D"/>
    <w:rsid w:val="72F07E08"/>
    <w:rsid w:val="7343262D"/>
    <w:rsid w:val="759A4F33"/>
    <w:rsid w:val="75FA041F"/>
    <w:rsid w:val="760F49BD"/>
    <w:rsid w:val="767825EE"/>
    <w:rsid w:val="76E870A0"/>
    <w:rsid w:val="777D59E2"/>
    <w:rsid w:val="795409C4"/>
    <w:rsid w:val="79C66E0F"/>
    <w:rsid w:val="79D044EF"/>
    <w:rsid w:val="7A886623"/>
    <w:rsid w:val="7ACE3D3C"/>
    <w:rsid w:val="7AE40DD7"/>
    <w:rsid w:val="7B8E1F6C"/>
    <w:rsid w:val="7C896BD7"/>
    <w:rsid w:val="7CE81B50"/>
    <w:rsid w:val="7D061D44"/>
    <w:rsid w:val="7D0E1A25"/>
    <w:rsid w:val="7FD2365D"/>
    <w:rsid w:val="7FDC0581"/>
    <w:rsid w:val="7FEC5985"/>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0" w:semiHidden="0" w:name="Normal Indent"/>
    <w:lsdException w:uiPriority="99" w:name="footnote text"/>
    <w:lsdException w:qFormat="1" w:unhideWhenUsed="0" w:uiPriority="0" w:semiHidden="0"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0"/>
      <w:szCs w:val="24"/>
      <w:lang w:val="en-US" w:eastAsia="zh-CN" w:bidi="ar-SA"/>
    </w:rPr>
  </w:style>
  <w:style w:type="paragraph" w:styleId="3">
    <w:name w:val="heading 1"/>
    <w:basedOn w:val="1"/>
    <w:next w:val="1"/>
    <w:link w:val="19"/>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20"/>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6"/>
    <w:unhideWhenUsed/>
    <w:qFormat/>
    <w:uiPriority w:val="9"/>
    <w:pPr>
      <w:keepNext/>
      <w:keepLines/>
      <w:spacing w:before="260" w:after="260" w:line="413" w:lineRule="auto"/>
      <w:outlineLvl w:val="2"/>
    </w:pPr>
    <w:rPr>
      <w:b/>
      <w:sz w:val="32"/>
    </w:rPr>
  </w:style>
  <w:style w:type="paragraph" w:styleId="6">
    <w:name w:val="heading 4"/>
    <w:basedOn w:val="1"/>
    <w:next w:val="1"/>
    <w:link w:val="25"/>
    <w:unhideWhenUsed/>
    <w:qFormat/>
    <w:uiPriority w:val="9"/>
    <w:pPr>
      <w:keepNext/>
      <w:keepLines/>
      <w:spacing w:before="280" w:after="290" w:line="372" w:lineRule="auto"/>
      <w:outlineLvl w:val="3"/>
    </w:pPr>
    <w:rPr>
      <w:rFonts w:ascii="Arial" w:hAnsi="Arial" w:eastAsia="黑体"/>
      <w:b/>
      <w:sz w:val="28"/>
    </w:rPr>
  </w:style>
  <w:style w:type="character" w:default="1" w:styleId="15">
    <w:name w:val="Default Paragraph Font"/>
    <w:semiHidden/>
    <w:unhideWhenUsed/>
    <w:uiPriority w:val="1"/>
  </w:style>
  <w:style w:type="table" w:default="1" w:styleId="14">
    <w:name w:val="Normal Table"/>
    <w:semiHidden/>
    <w:unhideWhenUsed/>
    <w:uiPriority w:val="99"/>
    <w:tblPr>
      <w:tblLayout w:type="fixed"/>
      <w:tblCellMar>
        <w:top w:w="0" w:type="dxa"/>
        <w:left w:w="108" w:type="dxa"/>
        <w:bottom w:w="0" w:type="dxa"/>
        <w:right w:w="108" w:type="dxa"/>
      </w:tblCellMar>
    </w:tblPr>
  </w:style>
  <w:style w:type="paragraph" w:styleId="2">
    <w:name w:val="Title"/>
    <w:basedOn w:val="1"/>
    <w:next w:val="1"/>
    <w:qFormat/>
    <w:uiPriority w:val="10"/>
    <w:pPr>
      <w:widowControl/>
      <w:spacing w:before="240" w:after="60"/>
      <w:jc w:val="center"/>
      <w:outlineLvl w:val="0"/>
    </w:pPr>
    <w:rPr>
      <w:rFonts w:asciiTheme="majorHAnsi" w:hAnsiTheme="majorHAnsi" w:eastAsiaTheme="majorEastAsia"/>
      <w:b/>
      <w:bCs/>
      <w:kern w:val="28"/>
      <w:sz w:val="32"/>
      <w:szCs w:val="32"/>
    </w:rPr>
  </w:style>
  <w:style w:type="paragraph" w:styleId="7">
    <w:name w:val="Normal Indent"/>
    <w:basedOn w:val="1"/>
    <w:qFormat/>
    <w:uiPriority w:val="0"/>
    <w:pPr>
      <w:ind w:firstLine="420" w:firstLineChars="200"/>
    </w:pPr>
  </w:style>
  <w:style w:type="paragraph" w:styleId="8">
    <w:name w:val="annotation text"/>
    <w:basedOn w:val="1"/>
    <w:qFormat/>
    <w:uiPriority w:val="0"/>
    <w:pPr>
      <w:jc w:val="left"/>
    </w:pPr>
  </w:style>
  <w:style w:type="paragraph" w:styleId="9">
    <w:name w:val="Balloon Text"/>
    <w:basedOn w:val="1"/>
    <w:link w:val="27"/>
    <w:semiHidden/>
    <w:unhideWhenUsed/>
    <w:qFormat/>
    <w:uiPriority w:val="99"/>
    <w:rPr>
      <w:sz w:val="18"/>
      <w:szCs w:val="18"/>
    </w:rPr>
  </w:style>
  <w:style w:type="paragraph" w:styleId="10">
    <w:name w:val="footer"/>
    <w:basedOn w:val="1"/>
    <w:link w:val="23"/>
    <w:semiHidden/>
    <w:unhideWhenUsed/>
    <w:qFormat/>
    <w:uiPriority w:val="99"/>
    <w:pPr>
      <w:tabs>
        <w:tab w:val="center" w:pos="4153"/>
        <w:tab w:val="right" w:pos="8306"/>
      </w:tabs>
      <w:snapToGrid w:val="0"/>
      <w:jc w:val="left"/>
    </w:pPr>
    <w:rPr>
      <w:sz w:val="18"/>
      <w:szCs w:val="18"/>
    </w:rPr>
  </w:style>
  <w:style w:type="paragraph" w:styleId="11">
    <w:name w:val="header"/>
    <w:basedOn w:val="1"/>
    <w:link w:val="2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toc 1"/>
    <w:basedOn w:val="1"/>
    <w:next w:val="1"/>
    <w:unhideWhenUsed/>
    <w:qFormat/>
    <w:uiPriority w:val="39"/>
    <w:pPr>
      <w:widowControl/>
      <w:spacing w:after="100" w:line="259" w:lineRule="auto"/>
      <w:jc w:val="left"/>
    </w:pPr>
    <w:rPr>
      <w:rFonts w:asciiTheme="minorHAnsi" w:hAnsiTheme="minorHAnsi" w:eastAsiaTheme="minorEastAsia"/>
      <w:kern w:val="0"/>
      <w:sz w:val="22"/>
      <w:szCs w:val="22"/>
    </w:rPr>
  </w:style>
  <w:style w:type="paragraph" w:styleId="13">
    <w:name w:val="toc 2"/>
    <w:basedOn w:val="1"/>
    <w:next w:val="1"/>
    <w:unhideWhenUsed/>
    <w:qFormat/>
    <w:uiPriority w:val="39"/>
    <w:pPr>
      <w:widowControl/>
      <w:spacing w:after="100" w:line="259" w:lineRule="auto"/>
      <w:ind w:left="220"/>
      <w:jc w:val="left"/>
    </w:pPr>
    <w:rPr>
      <w:rFonts w:asciiTheme="minorHAnsi" w:hAnsiTheme="minorHAnsi" w:eastAsiaTheme="minorEastAsia"/>
      <w:kern w:val="0"/>
      <w:sz w:val="22"/>
      <w:szCs w:val="22"/>
    </w:rPr>
  </w:style>
  <w:style w:type="character" w:styleId="16">
    <w:name w:val="Strong"/>
    <w:qFormat/>
    <w:uiPriority w:val="0"/>
    <w:rPr>
      <w:b/>
      <w:bCs/>
    </w:rPr>
  </w:style>
  <w:style w:type="character" w:styleId="17">
    <w:name w:val="Hyperlink"/>
    <w:basedOn w:val="15"/>
    <w:unhideWhenUsed/>
    <w:qFormat/>
    <w:uiPriority w:val="99"/>
    <w:rPr>
      <w:color w:val="0563C1" w:themeColor="hyperlink"/>
      <w:u w:val="single"/>
      <w14:textFill>
        <w14:solidFill>
          <w14:schemeClr w14:val="hlink"/>
        </w14:solidFill>
      </w14:textFill>
    </w:rPr>
  </w:style>
  <w:style w:type="character" w:styleId="18">
    <w:name w:val="annotation reference"/>
    <w:basedOn w:val="15"/>
    <w:semiHidden/>
    <w:unhideWhenUsed/>
    <w:qFormat/>
    <w:uiPriority w:val="99"/>
    <w:rPr>
      <w:sz w:val="21"/>
      <w:szCs w:val="21"/>
    </w:rPr>
  </w:style>
  <w:style w:type="character" w:customStyle="1" w:styleId="19">
    <w:name w:val="标题 1 Char"/>
    <w:basedOn w:val="15"/>
    <w:link w:val="3"/>
    <w:qFormat/>
    <w:uiPriority w:val="9"/>
    <w:rPr>
      <w:rFonts w:ascii="Times New Roman" w:hAnsi="Times New Roman" w:eastAsia="仿宋_GB2312" w:cs="Times New Roman"/>
      <w:b/>
      <w:bCs/>
      <w:kern w:val="44"/>
      <w:sz w:val="44"/>
      <w:szCs w:val="44"/>
    </w:rPr>
  </w:style>
  <w:style w:type="character" w:customStyle="1" w:styleId="20">
    <w:name w:val="标题 2 Char"/>
    <w:basedOn w:val="15"/>
    <w:link w:val="4"/>
    <w:qFormat/>
    <w:uiPriority w:val="9"/>
    <w:rPr>
      <w:rFonts w:asciiTheme="majorHAnsi" w:hAnsiTheme="majorHAnsi" w:eastAsiaTheme="majorEastAsia" w:cstheme="majorBidi"/>
      <w:b/>
      <w:bCs/>
      <w:sz w:val="32"/>
      <w:szCs w:val="32"/>
    </w:rPr>
  </w:style>
  <w:style w:type="paragraph" w:customStyle="1" w:styleId="21">
    <w:name w:val="TOC 标题1"/>
    <w:basedOn w:val="3"/>
    <w:next w:val="1"/>
    <w:unhideWhenUsed/>
    <w:qFormat/>
    <w:uiPriority w:val="39"/>
    <w:pPr>
      <w:widowControl/>
      <w:spacing w:before="240" w:after="0" w:line="259" w:lineRule="auto"/>
      <w:jc w:val="left"/>
      <w:outlineLvl w:val="9"/>
    </w:pPr>
    <w:rPr>
      <w:rFonts w:asciiTheme="majorHAnsi" w:hAnsiTheme="majorHAnsi" w:eastAsiaTheme="majorEastAsia" w:cstheme="majorBidi"/>
      <w:b w:val="0"/>
      <w:bCs w:val="0"/>
      <w:color w:val="2F5597" w:themeColor="accent1" w:themeShade="BF"/>
      <w:kern w:val="0"/>
      <w:sz w:val="32"/>
      <w:szCs w:val="32"/>
    </w:rPr>
  </w:style>
  <w:style w:type="character" w:customStyle="1" w:styleId="22">
    <w:name w:val="页眉 Char"/>
    <w:basedOn w:val="15"/>
    <w:link w:val="11"/>
    <w:semiHidden/>
    <w:qFormat/>
    <w:uiPriority w:val="99"/>
    <w:rPr>
      <w:rFonts w:ascii="Times New Roman" w:hAnsi="Times New Roman" w:eastAsia="仿宋_GB2312" w:cs="Times New Roman"/>
      <w:sz w:val="18"/>
      <w:szCs w:val="18"/>
    </w:rPr>
  </w:style>
  <w:style w:type="character" w:customStyle="1" w:styleId="23">
    <w:name w:val="页脚 Char"/>
    <w:basedOn w:val="15"/>
    <w:link w:val="10"/>
    <w:semiHidden/>
    <w:qFormat/>
    <w:uiPriority w:val="99"/>
    <w:rPr>
      <w:rFonts w:ascii="Times New Roman" w:hAnsi="Times New Roman" w:eastAsia="仿宋_GB2312" w:cs="Times New Roman"/>
      <w:sz w:val="18"/>
      <w:szCs w:val="18"/>
    </w:rPr>
  </w:style>
  <w:style w:type="paragraph" w:customStyle="1" w:styleId="24">
    <w:name w:val="闻政-正文段落文字"/>
    <w:basedOn w:val="1"/>
    <w:qFormat/>
    <w:uiPriority w:val="3"/>
    <w:pPr>
      <w:spacing w:line="500" w:lineRule="exact"/>
      <w:ind w:firstLine="200"/>
    </w:pPr>
    <w:rPr>
      <w:kern w:val="0"/>
      <w:szCs w:val="28"/>
    </w:rPr>
  </w:style>
  <w:style w:type="character" w:customStyle="1" w:styleId="25">
    <w:name w:val="标题 4 Char"/>
    <w:link w:val="6"/>
    <w:qFormat/>
    <w:uiPriority w:val="0"/>
    <w:rPr>
      <w:rFonts w:ascii="Arial" w:hAnsi="Arial" w:eastAsia="黑体"/>
      <w:b/>
      <w:sz w:val="28"/>
    </w:rPr>
  </w:style>
  <w:style w:type="character" w:customStyle="1" w:styleId="26">
    <w:name w:val="标题 3 Char"/>
    <w:link w:val="5"/>
    <w:qFormat/>
    <w:uiPriority w:val="0"/>
    <w:rPr>
      <w:b/>
      <w:sz w:val="32"/>
    </w:rPr>
  </w:style>
  <w:style w:type="character" w:customStyle="1" w:styleId="27">
    <w:name w:val="批注框文本 Char"/>
    <w:basedOn w:val="15"/>
    <w:link w:val="9"/>
    <w:semiHidden/>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7838A6F-1F45-47C5-99C0-39F65084948C}">
  <ds:schemaRefs/>
</ds:datastoreItem>
</file>

<file path=docProps/app.xml><?xml version="1.0" encoding="utf-8"?>
<Properties xmlns="http://schemas.openxmlformats.org/officeDocument/2006/extended-properties" xmlns:vt="http://schemas.openxmlformats.org/officeDocument/2006/docPropsVTypes">
  <Template>Normal</Template>
  <Pages>24</Pages>
  <Words>1724</Words>
  <Characters>9828</Characters>
  <Lines>81</Lines>
  <Paragraphs>23</Paragraphs>
  <TotalTime>69</TotalTime>
  <ScaleCrop>false</ScaleCrop>
  <LinksUpToDate>false</LinksUpToDate>
  <CharactersWithSpaces>11529</CharactersWithSpaces>
  <Application>WPS Office_11.8.2.8696_F1E327BC-269C-435d-A152-05C5408002CA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2021-04-07T08:01:00Z</dcterms:created>
  <dc:creator>翘楚</dc:creator>
  <cp:lastModifiedBy>Administrator</cp:lastModifiedBy>
  <dcterms:modified xsi:type="dcterms:W3CDTF">2024-06-12T09:07:37Z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2052-11.8.2.8696</vt:lpwstr>
  </property>
  <property fmtid="{D5CDD505-2E9C-101B-9397-08002B2CF9AE}" pid="3" name="ICV">
    <vt:lpwstr>073735C7BDFA4387A2C4305579CDDC65_13</vt:lpwstr>
  </property>
</Properties>
</file>