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highlight w:val="none"/>
        </w:rPr>
      </w:pPr>
    </w:p>
    <w:p>
      <w:pPr>
        <w:jc w:val="center"/>
        <w:rPr>
          <w:rFonts w:ascii="宋体" w:hAnsi="宋体" w:eastAsia="宋体" w:cs="Arial"/>
          <w:b/>
          <w:bCs/>
          <w:sz w:val="48"/>
          <w:szCs w:val="48"/>
          <w:highlight w:val="none"/>
        </w:rPr>
      </w:pPr>
    </w:p>
    <w:p>
      <w:pPr>
        <w:jc w:val="center"/>
        <w:rPr>
          <w:rFonts w:ascii="宋体" w:hAnsi="宋体" w:eastAsia="宋体" w:cs="Arial"/>
          <w:b/>
          <w:bCs/>
          <w:sz w:val="48"/>
          <w:szCs w:val="48"/>
          <w:highlight w:val="none"/>
        </w:rPr>
      </w:pPr>
    </w:p>
    <w:p>
      <w:pPr>
        <w:spacing w:line="540" w:lineRule="exact"/>
        <w:jc w:val="center"/>
        <w:rPr>
          <w:rFonts w:eastAsia="方正小标宋_GBK"/>
          <w:kern w:val="0"/>
          <w:sz w:val="48"/>
          <w:szCs w:val="48"/>
          <w:highlight w:val="none"/>
        </w:rPr>
      </w:pPr>
      <w:r>
        <w:rPr>
          <w:rFonts w:hint="eastAsia" w:eastAsia="方正小标宋_GBK"/>
          <w:kern w:val="0"/>
          <w:sz w:val="48"/>
          <w:szCs w:val="48"/>
          <w:highlight w:val="none"/>
        </w:rPr>
        <w:t>霍尔果斯市核酸检测中心建设项目</w:t>
      </w:r>
      <w:r>
        <w:rPr>
          <w:rFonts w:eastAsia="方正小标宋_GBK"/>
          <w:kern w:val="0"/>
          <w:sz w:val="48"/>
          <w:szCs w:val="48"/>
          <w:highlight w:val="none"/>
        </w:rPr>
        <w:t>支出绩效评价</w:t>
      </w:r>
    </w:p>
    <w:p>
      <w:pPr>
        <w:spacing w:line="540" w:lineRule="exact"/>
        <w:jc w:val="center"/>
        <w:rPr>
          <w:rFonts w:eastAsia="方正小标宋_GBK"/>
          <w:kern w:val="0"/>
          <w:sz w:val="48"/>
          <w:szCs w:val="48"/>
          <w:highlight w:val="none"/>
        </w:rPr>
      </w:pPr>
      <w:r>
        <w:rPr>
          <w:rFonts w:eastAsia="方正小标宋_GBK"/>
          <w:kern w:val="0"/>
          <w:sz w:val="48"/>
          <w:szCs w:val="48"/>
          <w:highlight w:val="none"/>
        </w:rPr>
        <w:t>报告</w:t>
      </w:r>
    </w:p>
    <w:p>
      <w:pPr>
        <w:jc w:val="center"/>
        <w:rPr>
          <w:rFonts w:ascii="宋体" w:hAnsi="宋体" w:eastAsia="宋体" w:cs="Arial"/>
          <w:b/>
          <w:bCs/>
          <w:sz w:val="48"/>
          <w:szCs w:val="48"/>
          <w:highlight w:val="none"/>
        </w:rPr>
      </w:pPr>
    </w:p>
    <w:p>
      <w:pPr>
        <w:widowControl/>
        <w:spacing w:line="560" w:lineRule="exact"/>
        <w:jc w:val="center"/>
        <w:rPr>
          <w:rFonts w:ascii="仿宋_GB2312" w:hAnsi="仿宋_GB2312" w:cs="仿宋_GB2312"/>
          <w:b/>
          <w:kern w:val="0"/>
          <w:sz w:val="50"/>
          <w:szCs w:val="50"/>
          <w:highlight w:val="none"/>
          <w:lang w:bidi="en-US"/>
        </w:rPr>
      </w:pPr>
      <w:r>
        <w:rPr>
          <w:rFonts w:hint="eastAsia" w:ascii="红豆小标宋简体" w:hAnsi="红豆小标宋简体" w:eastAsia="红豆小标宋简体" w:cs="红豆小标宋简体"/>
          <w:color w:val="000000"/>
          <w:kern w:val="0"/>
          <w:sz w:val="36"/>
          <w:szCs w:val="36"/>
          <w:highlight w:val="none"/>
        </w:rPr>
        <w:t>（2</w:t>
      </w:r>
      <w:r>
        <w:rPr>
          <w:rFonts w:ascii="红豆小标宋简体" w:hAnsi="红豆小标宋简体" w:eastAsia="红豆小标宋简体" w:cs="红豆小标宋简体"/>
          <w:color w:val="000000"/>
          <w:kern w:val="0"/>
          <w:sz w:val="36"/>
          <w:szCs w:val="36"/>
          <w:highlight w:val="none"/>
        </w:rPr>
        <w:t>02</w:t>
      </w:r>
      <w:r>
        <w:rPr>
          <w:rFonts w:hint="eastAsia" w:ascii="红豆小标宋简体" w:hAnsi="红豆小标宋简体" w:eastAsia="红豆小标宋简体" w:cs="红豆小标宋简体"/>
          <w:color w:val="000000"/>
          <w:kern w:val="0"/>
          <w:sz w:val="36"/>
          <w:szCs w:val="36"/>
          <w:highlight w:val="none"/>
          <w:lang w:val="en-US" w:eastAsia="zh-CN"/>
        </w:rPr>
        <w:t>3</w:t>
      </w:r>
      <w:r>
        <w:rPr>
          <w:rFonts w:hint="eastAsia" w:ascii="红豆小标宋简体" w:hAnsi="红豆小标宋简体" w:eastAsia="红豆小标宋简体" w:cs="红豆小标宋简体"/>
          <w:color w:val="000000"/>
          <w:kern w:val="0"/>
          <w:sz w:val="36"/>
          <w:szCs w:val="36"/>
          <w:highlight w:val="none"/>
        </w:rPr>
        <w:t>年度）</w:t>
      </w:r>
    </w:p>
    <w:p>
      <w:pPr>
        <w:spacing w:line="480" w:lineRule="auto"/>
        <w:jc w:val="center"/>
        <w:rPr>
          <w:rFonts w:ascii="仿宋_GB2312" w:hAnsi="仿宋_GB2312" w:cs="仿宋_GB2312"/>
          <w:b/>
          <w:kern w:val="0"/>
          <w:sz w:val="50"/>
          <w:szCs w:val="50"/>
          <w:highlight w:val="none"/>
          <w:lang w:bidi="en-US"/>
        </w:rPr>
      </w:pPr>
    </w:p>
    <w:p>
      <w:pPr>
        <w:spacing w:line="480" w:lineRule="auto"/>
        <w:jc w:val="center"/>
        <w:rPr>
          <w:rFonts w:ascii="仿宋_GB2312" w:hAnsi="仿宋_GB2312" w:cs="仿宋_GB2312"/>
          <w:b/>
          <w:kern w:val="0"/>
          <w:sz w:val="50"/>
          <w:szCs w:val="50"/>
          <w:highlight w:val="none"/>
          <w:lang w:bidi="en-US"/>
        </w:rPr>
      </w:pPr>
    </w:p>
    <w:p>
      <w:pPr>
        <w:spacing w:line="480" w:lineRule="auto"/>
        <w:jc w:val="center"/>
        <w:rPr>
          <w:rFonts w:ascii="仿宋_GB2312" w:hAnsi="仿宋_GB2312" w:cs="仿宋_GB2312"/>
          <w:b/>
          <w:kern w:val="0"/>
          <w:sz w:val="50"/>
          <w:szCs w:val="50"/>
          <w:highlight w:val="none"/>
          <w:lang w:bidi="en-US"/>
        </w:rPr>
      </w:pPr>
    </w:p>
    <w:p>
      <w:pPr>
        <w:spacing w:line="480" w:lineRule="auto"/>
        <w:jc w:val="center"/>
        <w:rPr>
          <w:rFonts w:ascii="仿宋_GB2312" w:hAnsi="仿宋_GB2312" w:cs="仿宋_GB2312"/>
          <w:b/>
          <w:kern w:val="0"/>
          <w:sz w:val="50"/>
          <w:szCs w:val="50"/>
          <w:highlight w:val="none"/>
          <w:lang w:bidi="en-US"/>
        </w:rPr>
      </w:pPr>
    </w:p>
    <w:p>
      <w:pPr>
        <w:spacing w:line="480" w:lineRule="auto"/>
        <w:jc w:val="center"/>
        <w:rPr>
          <w:rFonts w:ascii="仿宋_GB2312" w:hAnsi="仿宋_GB2312" w:cs="仿宋_GB2312"/>
          <w:b/>
          <w:kern w:val="0"/>
          <w:sz w:val="50"/>
          <w:szCs w:val="50"/>
          <w:highlight w:val="none"/>
          <w:lang w:bidi="en-US"/>
        </w:rPr>
      </w:pPr>
    </w:p>
    <w:p>
      <w:pPr>
        <w:spacing w:line="560" w:lineRule="exact"/>
        <w:ind w:firstLine="321" w:firstLineChars="100"/>
        <w:jc w:val="both"/>
        <w:rPr>
          <w:rFonts w:ascii="宋体" w:hAnsi="宋体" w:eastAsia="宋体" w:cs="宋体"/>
          <w:kern w:val="0"/>
          <w:sz w:val="32"/>
          <w:szCs w:val="32"/>
          <w:highlight w:val="none"/>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项目名称：霍尔果斯市核酸检测中心建设项目</w:t>
      </w:r>
    </w:p>
    <w:p>
      <w:pPr>
        <w:spacing w:line="560" w:lineRule="exact"/>
        <w:jc w:val="both"/>
        <w:rPr>
          <w:rFonts w:hint="eastAsia" w:ascii="宋体" w:hAnsi="宋体" w:eastAsia="宋体" w:cs="宋体"/>
          <w:kern w:val="0"/>
          <w:sz w:val="32"/>
          <w:szCs w:val="32"/>
          <w:highlight w:val="none"/>
          <w:lang w:val="en-US" w:eastAsia="zh-CN"/>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实施单位（公章）：</w:t>
      </w:r>
      <w:r>
        <w:rPr>
          <w:rFonts w:hint="eastAsia" w:ascii="宋体" w:hAnsi="宋体" w:eastAsia="宋体" w:cs="仿宋_GB2312"/>
          <w:b/>
          <w:bCs/>
          <w:color w:val="000000"/>
          <w:kern w:val="0"/>
          <w:sz w:val="32"/>
          <w:szCs w:val="32"/>
          <w:highlight w:val="none"/>
          <w:lang w:eastAsia="zh-CN"/>
        </w:rPr>
        <w:t>霍尔果斯市卫生健康委员会</w:t>
      </w:r>
    </w:p>
    <w:p>
      <w:pPr>
        <w:spacing w:line="560" w:lineRule="exact"/>
        <w:jc w:val="both"/>
        <w:rPr>
          <w:rFonts w:ascii="宋体" w:hAnsi="宋体" w:eastAsia="宋体" w:cs="宋体"/>
          <w:kern w:val="0"/>
          <w:sz w:val="32"/>
          <w:szCs w:val="32"/>
          <w:highlight w:val="none"/>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主管部门（公章）：</w:t>
      </w:r>
      <w:r>
        <w:rPr>
          <w:rFonts w:hint="eastAsia" w:ascii="宋体" w:hAnsi="宋体" w:eastAsia="宋体" w:cs="仿宋_GB2312"/>
          <w:b/>
          <w:bCs/>
          <w:color w:val="000000"/>
          <w:kern w:val="0"/>
          <w:sz w:val="32"/>
          <w:szCs w:val="32"/>
          <w:highlight w:val="none"/>
          <w:lang w:eastAsia="zh-CN"/>
        </w:rPr>
        <w:t>霍尔果斯市卫生健康委员会</w:t>
      </w:r>
    </w:p>
    <w:p>
      <w:pPr>
        <w:spacing w:line="560" w:lineRule="exact"/>
        <w:ind w:firstLine="321" w:firstLineChars="100"/>
        <w:jc w:val="both"/>
        <w:rPr>
          <w:rFonts w:hint="eastAsia" w:ascii="宋体" w:hAnsi="宋体" w:eastAsia="宋体" w:cs="宋体"/>
          <w:kern w:val="0"/>
          <w:sz w:val="32"/>
          <w:szCs w:val="32"/>
          <w:highlight w:val="none"/>
          <w:lang w:eastAsia="zh-CN"/>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项目负责人（签章）：</w:t>
      </w:r>
      <w:r>
        <w:rPr>
          <w:rFonts w:hint="eastAsia" w:ascii="宋体" w:hAnsi="宋体" w:eastAsia="宋体" w:cs="仿宋_GB2312"/>
          <w:b/>
          <w:bCs/>
          <w:color w:val="000000"/>
          <w:kern w:val="0"/>
          <w:sz w:val="32"/>
          <w:szCs w:val="32"/>
          <w:highlight w:val="none"/>
          <w:lang w:eastAsia="zh-CN"/>
        </w:rPr>
        <w:t>宋磊</w:t>
      </w:r>
    </w:p>
    <w:p>
      <w:pPr>
        <w:spacing w:line="560" w:lineRule="exact"/>
        <w:ind w:firstLine="321" w:firstLineChars="100"/>
        <w:jc w:val="both"/>
        <w:rPr>
          <w:rFonts w:hint="default" w:ascii="宋体" w:hAnsi="宋体" w:eastAsia="宋体" w:cs="仿宋_GB2312"/>
          <w:color w:val="000000"/>
          <w:kern w:val="0"/>
          <w:sz w:val="32"/>
          <w:szCs w:val="32"/>
          <w:highlight w:val="none"/>
          <w:lang w:val="en-US" w:eastAsia="zh-CN"/>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填报时间：</w:t>
      </w:r>
      <w:r>
        <w:rPr>
          <w:rFonts w:hint="eastAsia" w:ascii="宋体" w:hAnsi="宋体" w:eastAsia="宋体" w:cs="仿宋_GB2312"/>
          <w:b/>
          <w:bCs/>
          <w:color w:val="000000"/>
          <w:kern w:val="0"/>
          <w:sz w:val="32"/>
          <w:szCs w:val="32"/>
          <w:highlight w:val="none"/>
          <w:lang w:eastAsia="zh-CN"/>
        </w:rPr>
        <w:t>202</w:t>
      </w:r>
      <w:r>
        <w:rPr>
          <w:rFonts w:hint="eastAsia" w:ascii="宋体" w:hAnsi="宋体" w:eastAsia="宋体" w:cs="仿宋_GB2312"/>
          <w:b/>
          <w:bCs/>
          <w:color w:val="000000"/>
          <w:kern w:val="0"/>
          <w:sz w:val="32"/>
          <w:szCs w:val="32"/>
          <w:highlight w:val="none"/>
          <w:lang w:val="en-US" w:eastAsia="zh-CN"/>
        </w:rPr>
        <w:t>4</w:t>
      </w:r>
      <w:r>
        <w:rPr>
          <w:rFonts w:hint="eastAsia" w:ascii="宋体" w:hAnsi="宋体" w:eastAsia="宋体" w:cs="仿宋_GB2312"/>
          <w:b/>
          <w:bCs/>
          <w:color w:val="000000"/>
          <w:kern w:val="0"/>
          <w:sz w:val="32"/>
          <w:szCs w:val="32"/>
          <w:highlight w:val="none"/>
          <w:lang w:eastAsia="zh-CN"/>
        </w:rPr>
        <w:t>年</w:t>
      </w:r>
      <w:r>
        <w:rPr>
          <w:rFonts w:hint="eastAsia" w:ascii="宋体" w:hAnsi="宋体" w:eastAsia="宋体" w:cs="仿宋_GB2312"/>
          <w:b/>
          <w:bCs/>
          <w:color w:val="000000"/>
          <w:kern w:val="0"/>
          <w:sz w:val="32"/>
          <w:szCs w:val="32"/>
          <w:highlight w:val="none"/>
          <w:lang w:val="en-US" w:eastAsia="zh-CN"/>
        </w:rPr>
        <w:t>4月15日</w:t>
      </w:r>
    </w:p>
    <w:p>
      <w:pPr>
        <w:widowControl/>
        <w:jc w:val="left"/>
        <w:rPr>
          <w:rFonts w:ascii="宋体" w:hAnsi="宋体" w:eastAsia="宋体" w:cs="Arial"/>
          <w:b/>
          <w:bCs/>
          <w:sz w:val="36"/>
          <w:szCs w:val="36"/>
          <w:highlight w:val="none"/>
        </w:rPr>
      </w:pPr>
      <w:r>
        <w:rPr>
          <w:rFonts w:ascii="宋体" w:hAnsi="宋体" w:eastAsia="宋体" w:cs="Arial"/>
          <w:b/>
          <w:bCs/>
          <w:sz w:val="36"/>
          <w:szCs w:val="36"/>
          <w:highlight w:val="none"/>
        </w:rPr>
        <w:br w:type="page"/>
      </w:r>
    </w:p>
    <w:p>
      <w:pPr>
        <w:numPr>
          <w:ilvl w:val="0"/>
          <w:numId w:val="1"/>
        </w:numPr>
        <w:spacing w:line="560" w:lineRule="exact"/>
        <w:rPr>
          <w:rFonts w:hint="eastAsia" w:ascii="Times New Roman" w:hAnsi="Times New Roman" w:eastAsia="黑体" w:cs="Times New Roman"/>
          <w:bCs/>
          <w:sz w:val="32"/>
          <w:szCs w:val="32"/>
          <w:highlight w:val="none"/>
        </w:rPr>
      </w:pPr>
      <w:bookmarkStart w:id="0" w:name="_Toc68703827"/>
      <w:r>
        <w:rPr>
          <w:rFonts w:hint="eastAsia" w:ascii="Times New Roman" w:hAnsi="Times New Roman" w:eastAsia="黑体" w:cs="Times New Roman"/>
          <w:bCs/>
          <w:sz w:val="32"/>
          <w:szCs w:val="32"/>
          <w:highlight w:val="none"/>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highlight w:val="none"/>
          <w:lang w:eastAsia="zh-CN"/>
        </w:rPr>
      </w:pPr>
      <w:r>
        <w:rPr>
          <w:rFonts w:hint="eastAsia" w:ascii="Times New Roman" w:hAnsi="Times New Roman" w:eastAsia="楷体_GB2312" w:cs="Times New Roman"/>
          <w:b/>
          <w:bCs/>
          <w:sz w:val="32"/>
          <w:szCs w:val="32"/>
          <w:highlight w:val="none"/>
          <w:lang w:eastAsia="zh-CN"/>
        </w:rPr>
        <w:t>（一）</w:t>
      </w:r>
      <w:r>
        <w:rPr>
          <w:rFonts w:hint="eastAsia" w:ascii="Times New Roman" w:hAnsi="Times New Roman" w:eastAsia="楷体_GB2312" w:cs="Times New Roman"/>
          <w:b/>
          <w:bCs/>
          <w:sz w:val="32"/>
          <w:szCs w:val="32"/>
          <w:highlight w:val="none"/>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color w:val="FF0000"/>
          <w:sz w:val="32"/>
          <w:szCs w:val="32"/>
          <w:highlight w:val="none"/>
        </w:rPr>
      </w:pPr>
      <w:r>
        <w:rPr>
          <w:rFonts w:hint="eastAsia" w:ascii="Times New Roman" w:hAnsi="Times New Roman" w:cs="Times New Roman"/>
          <w:b w:val="0"/>
          <w:bCs w:val="0"/>
          <w:sz w:val="32"/>
          <w:szCs w:val="32"/>
          <w:highlight w:val="none"/>
          <w:lang w:val="en-US" w:eastAsia="zh-CN"/>
        </w:rPr>
        <w:t>　</w:t>
      </w:r>
      <w:r>
        <w:rPr>
          <w:rFonts w:hint="eastAsia" w:cs="Times New Roman"/>
          <w:b w:val="0"/>
          <w:bCs w:val="0"/>
          <w:sz w:val="32"/>
          <w:szCs w:val="32"/>
          <w:highlight w:val="none"/>
          <w:lang w:val="en-US" w:eastAsia="zh-CN"/>
        </w:rPr>
        <w:t>　</w:t>
      </w:r>
      <w:r>
        <w:rPr>
          <w:rFonts w:hint="eastAsia" w:ascii="Times New Roman" w:hAnsi="Times New Roman" w:eastAsia="仿宋_GB2312" w:cs="Times New Roman"/>
          <w:b w:val="0"/>
          <w:bCs w:val="0"/>
          <w:sz w:val="32"/>
          <w:szCs w:val="32"/>
          <w:highlight w:val="none"/>
          <w:lang w:val="en-US" w:eastAsia="zh-CN"/>
        </w:rPr>
        <w:t>1.</w:t>
      </w:r>
      <w:r>
        <w:rPr>
          <w:rFonts w:hint="eastAsia" w:ascii="Times New Roman" w:hAnsi="Times New Roman" w:eastAsia="仿宋_GB2312" w:cs="Times New Roman"/>
          <w:b w:val="0"/>
          <w:bCs w:val="0"/>
          <w:w w:val="99"/>
          <w:sz w:val="32"/>
          <w:szCs w:val="32"/>
          <w:highlight w:val="none"/>
          <w:lang w:val="en-US" w:eastAsia="zh-CN"/>
        </w:rPr>
        <w:t>项目背景：</w:t>
      </w:r>
      <w:r>
        <w:rPr>
          <w:rFonts w:hint="eastAsia"/>
          <w:color w:val="auto"/>
          <w:w w:val="99"/>
          <w:sz w:val="32"/>
          <w:szCs w:val="32"/>
          <w:highlight w:val="none"/>
          <w:lang w:eastAsia="zh-CN"/>
        </w:rPr>
        <w:t>基于疫情防控进入新阶段和霍尔果斯口岸“外防输入、内防反弹”严峻形势、发挥口岸实施国际人道主义紧急救援的重大使命任务，建成后能够有效提高霍尔果斯市短时间内高密度人群核酸检测的能力。本项目依据《伊犁哈萨克自治州发展和改革委员会文件》《关于对伊犁州霍尔果斯市核酸检测中心建设项目可行性研究报告（代项目建议书）的批复》（伊州发改投资〔2022〕238号）、《国务院应对新型冠状病毒感染肺炎疫情联防联控机 制关于做好新冠肺炎疫情常态化防控工作的指导意见》（国 发明电〔 2020〕14 号、《关于加强口岸城市新冠肺炎疫情防 控工作的通知》 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highlight w:val="none"/>
          <w:lang w:eastAsia="zh-CN"/>
        </w:rPr>
      </w:pPr>
      <w:r>
        <w:rPr>
          <w:rFonts w:hint="eastAsia" w:ascii="Times New Roman" w:hAnsi="Times New Roman" w:cs="Times New Roman"/>
          <w:b w:val="0"/>
          <w:bCs w:val="0"/>
          <w:sz w:val="32"/>
          <w:szCs w:val="32"/>
          <w:highlight w:val="none"/>
          <w:lang w:eastAsia="zh-CN"/>
        </w:rPr>
        <w:t>　</w:t>
      </w:r>
      <w:r>
        <w:rPr>
          <w:rFonts w:hint="eastAsia" w:ascii="Times New Roman" w:hAnsi="Times New Roman" w:eastAsia="仿宋_GB2312" w:cs="Times New Roman"/>
          <w:b w:val="0"/>
          <w:bCs w:val="0"/>
          <w:sz w:val="32"/>
          <w:szCs w:val="32"/>
          <w:highlight w:val="none"/>
          <w:lang w:eastAsia="zh-CN"/>
        </w:rPr>
        <w:t>2</w:t>
      </w:r>
      <w:r>
        <w:rPr>
          <w:rFonts w:hint="eastAsia" w:ascii="Times New Roman" w:hAnsi="Times New Roman" w:eastAsia="仿宋_GB2312"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w w:val="99"/>
          <w:sz w:val="32"/>
          <w:szCs w:val="32"/>
          <w:highlight w:val="none"/>
          <w:lang w:eastAsia="zh-CN"/>
        </w:rPr>
      </w:pPr>
      <w:r>
        <w:rPr>
          <w:rFonts w:hint="eastAsia" w:ascii="仿宋_GB2312"/>
          <w:sz w:val="32"/>
          <w:szCs w:val="32"/>
          <w:highlight w:val="none"/>
        </w:rPr>
        <w:t>主要内容：</w:t>
      </w:r>
      <w:r>
        <w:rPr>
          <w:rFonts w:hint="eastAsia" w:ascii="仿宋_GB2312"/>
          <w:sz w:val="32"/>
          <w:szCs w:val="32"/>
          <w:highlight w:val="none"/>
          <w:lang w:eastAsia="zh-CN"/>
        </w:rPr>
        <w:t>核酸检测中心</w:t>
      </w:r>
      <w:r>
        <w:rPr>
          <w:rFonts w:hint="eastAsia" w:ascii="仿宋_GB2312"/>
          <w:sz w:val="32"/>
          <w:szCs w:val="32"/>
          <w:highlight w:val="none"/>
          <w:lang w:val="en-US" w:eastAsia="zh-CN"/>
        </w:rPr>
        <w:t>4425.23平方米，包含</w:t>
      </w:r>
      <w:r>
        <w:rPr>
          <w:rFonts w:hint="eastAsia"/>
          <w:color w:val="auto"/>
          <w:w w:val="99"/>
          <w:sz w:val="32"/>
          <w:szCs w:val="32"/>
          <w:highlight w:val="none"/>
          <w:lang w:eastAsia="zh-CN"/>
        </w:rPr>
        <w:t>建筑工程、装饰装修工程、电气设备安装工程、采暖工程、消防工程、给排水工程等；图纸、工程量清单、澄清、补遗等招标文件显示的全部内容施工。</w:t>
      </w:r>
    </w:p>
    <w:p>
      <w:pPr>
        <w:spacing w:line="560" w:lineRule="exact"/>
        <w:ind w:firstLine="640" w:firstLineChars="200"/>
        <w:rPr>
          <w:rFonts w:hint="eastAsia" w:eastAsia="仿宋_GB2312"/>
          <w:highlight w:val="none"/>
          <w:lang w:eastAsia="zh-CN"/>
        </w:rPr>
      </w:pPr>
      <w:r>
        <w:rPr>
          <w:rFonts w:hint="eastAsia" w:ascii="仿宋_GB2312"/>
          <w:sz w:val="32"/>
          <w:szCs w:val="32"/>
          <w:highlight w:val="none"/>
        </w:rPr>
        <w:t>实施情况：</w:t>
      </w:r>
      <w:r>
        <w:rPr>
          <w:rFonts w:eastAsia="仿宋_GB2312"/>
          <w:sz w:val="32"/>
          <w:szCs w:val="32"/>
          <w:highlight w:val="none"/>
        </w:rPr>
        <w:t>项目目前已经完成实际设立的目标，项目在实施过程中严格按照目标设立的各阶段任务进行开展工作，在前期立项过程中严格把质量关，建立安全防护机制，保证项目实施各阶段安全顺利进行。</w:t>
      </w:r>
      <w:r>
        <w:rPr>
          <w:rFonts w:hint="eastAsia"/>
          <w:sz w:val="32"/>
          <w:szCs w:val="32"/>
          <w:highlight w:val="none"/>
          <w:lang w:eastAsia="zh-CN"/>
        </w:rPr>
        <w:t>内设采样实验、样本检测、配套消杀医学服务及供水、供热、供电等附属设备。</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highlight w:val="none"/>
          <w:lang w:eastAsia="zh-CN"/>
        </w:rPr>
      </w:pPr>
      <w:r>
        <w:rPr>
          <w:rFonts w:hint="eastAsia" w:ascii="Times New Roman" w:hAnsi="Times New Roman" w:cs="Times New Roman"/>
          <w:b w:val="0"/>
          <w:bCs w:val="0"/>
          <w:sz w:val="32"/>
          <w:szCs w:val="32"/>
          <w:highlight w:val="none"/>
          <w:lang w:eastAsia="zh-CN"/>
        </w:rPr>
        <w:t>　3</w:t>
      </w:r>
      <w:r>
        <w:rPr>
          <w:rFonts w:hint="eastAsia" w:ascii="Times New Roman" w:hAnsi="Times New Roman" w:cs="Times New Roman"/>
          <w:b w:val="0"/>
          <w:bCs w:val="0"/>
          <w:sz w:val="32"/>
          <w:szCs w:val="32"/>
          <w:highlight w:val="none"/>
          <w:lang w:val="en-US" w:eastAsia="zh-CN"/>
        </w:rPr>
        <w:t>.</w:t>
      </w:r>
      <w:r>
        <w:rPr>
          <w:rFonts w:hint="eastAsia" w:ascii="Times New Roman" w:hAnsi="Times New Roman" w:cs="Times New Roman"/>
          <w:b w:val="0"/>
          <w:bCs w:val="0"/>
          <w:sz w:val="32"/>
          <w:szCs w:val="32"/>
          <w:highlight w:val="none"/>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rPr>
        <w:t>资金投入情况：该项目年初预算数</w:t>
      </w:r>
      <w:r>
        <w:rPr>
          <w:rFonts w:hint="eastAsia"/>
          <w:color w:val="auto"/>
          <w:sz w:val="32"/>
          <w:szCs w:val="32"/>
          <w:highlight w:val="none"/>
          <w:lang w:val="en-US" w:eastAsia="zh-CN"/>
        </w:rPr>
        <w:t>400</w:t>
      </w:r>
      <w:r>
        <w:rPr>
          <w:rFonts w:hint="eastAsia"/>
          <w:color w:val="auto"/>
          <w:sz w:val="32"/>
          <w:szCs w:val="32"/>
          <w:highlight w:val="none"/>
        </w:rPr>
        <w:t>万元，全年预算数</w:t>
      </w:r>
      <w:r>
        <w:rPr>
          <w:rFonts w:hint="eastAsia"/>
          <w:color w:val="auto"/>
          <w:sz w:val="32"/>
          <w:szCs w:val="32"/>
          <w:highlight w:val="none"/>
          <w:lang w:val="en-US" w:eastAsia="zh-CN"/>
        </w:rPr>
        <w:t>400</w:t>
      </w:r>
      <w:r>
        <w:rPr>
          <w:rFonts w:hint="eastAsia"/>
          <w:color w:val="auto"/>
          <w:sz w:val="32"/>
          <w:szCs w:val="32"/>
          <w:highlight w:val="none"/>
        </w:rPr>
        <w:t>万元，实际总投入</w:t>
      </w:r>
      <w:r>
        <w:rPr>
          <w:rFonts w:hint="eastAsia"/>
          <w:color w:val="auto"/>
          <w:sz w:val="32"/>
          <w:szCs w:val="32"/>
          <w:highlight w:val="none"/>
          <w:lang w:val="en-US" w:eastAsia="zh-CN"/>
        </w:rPr>
        <w:t>400</w:t>
      </w:r>
      <w:r>
        <w:rPr>
          <w:rFonts w:hint="eastAsia"/>
          <w:color w:val="auto"/>
          <w:sz w:val="32"/>
          <w:szCs w:val="32"/>
          <w:highlight w:val="none"/>
        </w:rPr>
        <w:t>万元</w:t>
      </w:r>
      <w:r>
        <w:rPr>
          <w:rFonts w:hint="eastAsia"/>
          <w:color w:val="auto"/>
          <w:sz w:val="32"/>
          <w:szCs w:val="32"/>
          <w:highlight w:val="none"/>
          <w:lang w:eastAsia="zh-CN"/>
        </w:rPr>
        <w:t>，</w:t>
      </w:r>
      <w:r>
        <w:rPr>
          <w:rFonts w:hint="eastAsia"/>
          <w:color w:val="auto"/>
          <w:sz w:val="32"/>
          <w:szCs w:val="32"/>
          <w:highlight w:val="none"/>
        </w:rPr>
        <w:t>该项目资金落实到位</w:t>
      </w:r>
      <w:r>
        <w:rPr>
          <w:rFonts w:hint="eastAsia"/>
          <w:color w:val="auto"/>
          <w:sz w:val="32"/>
          <w:szCs w:val="32"/>
          <w:highlight w:val="none"/>
          <w:lang w:val="en-US" w:eastAsia="zh-CN"/>
        </w:rPr>
        <w:t>400</w:t>
      </w:r>
      <w:r>
        <w:rPr>
          <w:rFonts w:hint="eastAsia"/>
          <w:color w:val="auto"/>
          <w:sz w:val="32"/>
          <w:szCs w:val="32"/>
          <w:highlight w:val="none"/>
        </w:rPr>
        <w:t>万元，资金来源为</w:t>
      </w:r>
      <w:r>
        <w:rPr>
          <w:rFonts w:hint="eastAsia"/>
          <w:color w:val="auto"/>
          <w:sz w:val="32"/>
          <w:szCs w:val="32"/>
          <w:highlight w:val="none"/>
          <w:lang w:eastAsia="zh-CN"/>
        </w:rPr>
        <w:t>中央预算内</w:t>
      </w:r>
      <w:r>
        <w:rPr>
          <w:rFonts w:hint="eastAsia"/>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资金使用情况：该项目年初预算数</w:t>
      </w:r>
      <w:r>
        <w:rPr>
          <w:rFonts w:hint="eastAsia"/>
          <w:color w:val="auto"/>
          <w:sz w:val="32"/>
          <w:szCs w:val="32"/>
          <w:highlight w:val="none"/>
          <w:lang w:val="en-US" w:eastAsia="zh-CN"/>
        </w:rPr>
        <w:t>400</w:t>
      </w:r>
      <w:r>
        <w:rPr>
          <w:rFonts w:hint="eastAsia"/>
          <w:color w:val="auto"/>
          <w:sz w:val="32"/>
          <w:szCs w:val="32"/>
          <w:highlight w:val="none"/>
        </w:rPr>
        <w:t>万元，全年预算数</w:t>
      </w:r>
      <w:r>
        <w:rPr>
          <w:rFonts w:hint="eastAsia"/>
          <w:color w:val="auto"/>
          <w:sz w:val="32"/>
          <w:szCs w:val="32"/>
          <w:highlight w:val="none"/>
          <w:lang w:val="en-US" w:eastAsia="zh-CN"/>
        </w:rPr>
        <w:t>400</w:t>
      </w:r>
      <w:r>
        <w:rPr>
          <w:rFonts w:hint="eastAsia"/>
          <w:color w:val="auto"/>
          <w:sz w:val="32"/>
          <w:szCs w:val="32"/>
          <w:highlight w:val="none"/>
        </w:rPr>
        <w:t>万元，全年执行数</w:t>
      </w:r>
      <w:r>
        <w:rPr>
          <w:rFonts w:hint="eastAsia"/>
          <w:color w:val="auto"/>
          <w:sz w:val="32"/>
          <w:szCs w:val="32"/>
          <w:highlight w:val="none"/>
          <w:lang w:val="en-US" w:eastAsia="zh-CN"/>
        </w:rPr>
        <w:t>400</w:t>
      </w:r>
      <w:r>
        <w:rPr>
          <w:rFonts w:hint="eastAsia"/>
          <w:color w:val="auto"/>
          <w:sz w:val="32"/>
          <w:szCs w:val="32"/>
          <w:highlight w:val="none"/>
        </w:rPr>
        <w:t>万元，预算执行率为</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主要</w:t>
      </w:r>
      <w:r>
        <w:rPr>
          <w:rFonts w:hint="eastAsia"/>
          <w:color w:val="auto"/>
          <w:sz w:val="32"/>
          <w:szCs w:val="32"/>
          <w:highlight w:val="none"/>
        </w:rPr>
        <w:t>用于：</w:t>
      </w:r>
      <w:r>
        <w:rPr>
          <w:rFonts w:hint="eastAsia"/>
          <w:color w:val="auto"/>
          <w:sz w:val="32"/>
          <w:szCs w:val="32"/>
          <w:highlight w:val="none"/>
          <w:lang w:eastAsia="zh-CN"/>
        </w:rPr>
        <w:t>建筑工程、装饰装修工程、电气设备安装工程、采暖工程、消防工程、给排水工程等；图纸、工程量清单、澄清、补遗等招标文件显示的全部内容施工</w:t>
      </w:r>
      <w:r>
        <w:rPr>
          <w:rFonts w:hint="eastAsia"/>
          <w:color w:val="auto"/>
          <w:sz w:val="32"/>
          <w:szCs w:val="32"/>
          <w:highlight w:val="none"/>
          <w:lang w:val="en-US" w:eastAsia="zh-CN"/>
        </w:rPr>
        <w:t>400</w:t>
      </w:r>
      <w:r>
        <w:rPr>
          <w:rFonts w:hint="eastAsia"/>
          <w:color w:val="auto"/>
          <w:sz w:val="32"/>
          <w:szCs w:val="32"/>
          <w:highlight w:val="none"/>
        </w:rPr>
        <w:t>万元。</w:t>
      </w:r>
      <w:bookmarkStart w:id="2" w:name="_Toc68703829"/>
    </w:p>
    <w:p>
      <w:pPr>
        <w:spacing w:line="560" w:lineRule="exact"/>
        <w:rPr>
          <w:color w:val="FF0000"/>
          <w:sz w:val="32"/>
          <w:szCs w:val="32"/>
          <w:highlight w:val="none"/>
        </w:rPr>
      </w:pPr>
      <w:r>
        <w:rPr>
          <w:rFonts w:hint="eastAsia" w:ascii="Times New Roman" w:hAnsi="Times New Roman" w:eastAsia="楷体_GB2312" w:cs="Times New Roman"/>
          <w:b/>
          <w:bCs/>
          <w:sz w:val="32"/>
          <w:szCs w:val="32"/>
          <w:highlight w:val="none"/>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highlight w:val="none"/>
        </w:rPr>
      </w:pPr>
      <w:r>
        <w:rPr>
          <w:rFonts w:hint="eastAsia"/>
          <w:b w:val="0"/>
          <w:bCs w:val="0"/>
          <w:sz w:val="32"/>
          <w:szCs w:val="32"/>
          <w:highlight w:val="none"/>
          <w:lang w:eastAsia="zh-CN"/>
        </w:rPr>
        <w:t>　　</w:t>
      </w:r>
      <w:r>
        <w:rPr>
          <w:rFonts w:hint="eastAsia" w:ascii="Times New Roman" w:hAnsi="Times New Roman" w:eastAsia="仿宋_GB2312" w:cs="Times New Roman"/>
          <w:b w:val="0"/>
          <w:bCs w:val="0"/>
          <w:sz w:val="32"/>
          <w:szCs w:val="32"/>
          <w:highlight w:val="none"/>
          <w:lang w:val="en-US" w:eastAsia="zh-CN"/>
        </w:rPr>
        <w:t>1.总体目标：依据《国务院应对新型冠状病毒感染肺炎疫情联防联控机制关于做好新冠肺炎疫情常态化防控工作的指导意见》（</w:t>
      </w:r>
      <w:r>
        <w:rPr>
          <w:rFonts w:hint="eastAsia" w:cs="Times New Roman"/>
          <w:b w:val="0"/>
          <w:bCs w:val="0"/>
          <w:sz w:val="32"/>
          <w:szCs w:val="32"/>
          <w:highlight w:val="none"/>
          <w:lang w:val="en-US" w:eastAsia="zh-CN"/>
        </w:rPr>
        <w:t>国</w:t>
      </w:r>
      <w:r>
        <w:rPr>
          <w:rFonts w:hint="eastAsia" w:ascii="Times New Roman" w:hAnsi="Times New Roman" w:eastAsia="仿宋_GB2312" w:cs="Times New Roman"/>
          <w:b w:val="0"/>
          <w:bCs w:val="0"/>
          <w:sz w:val="32"/>
          <w:szCs w:val="32"/>
          <w:highlight w:val="none"/>
          <w:lang w:val="en-US" w:eastAsia="zh-CN"/>
        </w:rPr>
        <w:t>发明电〔</w:t>
      </w:r>
      <w:r>
        <w:rPr>
          <w:rFonts w:hint="eastAsia" w:cs="Times New Roman"/>
          <w:b w:val="0"/>
          <w:bCs w:val="0"/>
          <w:sz w:val="32"/>
          <w:szCs w:val="32"/>
          <w:highlight w:val="none"/>
          <w:lang w:val="en-US" w:eastAsia="zh-CN"/>
        </w:rPr>
        <w:t>2020</w:t>
      </w:r>
      <w:r>
        <w:rPr>
          <w:rFonts w:hint="eastAsia" w:ascii="Times New Roman" w:hAnsi="Times New Roman" w:eastAsia="仿宋_GB2312" w:cs="Times New Roman"/>
          <w:b w:val="0"/>
          <w:bCs w:val="0"/>
          <w:sz w:val="32"/>
          <w:szCs w:val="32"/>
          <w:highlight w:val="none"/>
          <w:lang w:val="en-US" w:eastAsia="zh-CN"/>
        </w:rPr>
        <w:t>〕14号</w:t>
      </w:r>
      <w:r>
        <w:rPr>
          <w:rFonts w:hint="eastAsia"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val="en-US" w:eastAsia="zh-CN"/>
        </w:rPr>
        <w:t>以下简称《指导意见</w:t>
      </w:r>
      <w:r>
        <w:rPr>
          <w:rFonts w:hint="eastAsia"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val="en-US" w:eastAsia="zh-CN"/>
        </w:rPr>
        <w:t>）要求《关于加强口岸城市新冠肺炎疫情防控工作的通知》（以下简称《通知》</w:t>
      </w:r>
      <w:r>
        <w:rPr>
          <w:rFonts w:hint="eastAsia"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val="en-US" w:eastAsia="zh-CN"/>
        </w:rPr>
        <w:t>建成新建总建筑面积</w:t>
      </w:r>
      <w:r>
        <w:rPr>
          <w:rFonts w:hint="eastAsia" w:cs="Times New Roman"/>
          <w:b w:val="0"/>
          <w:bCs w:val="0"/>
          <w:sz w:val="32"/>
          <w:szCs w:val="32"/>
          <w:highlight w:val="none"/>
          <w:lang w:val="en-US" w:eastAsia="zh-CN"/>
        </w:rPr>
        <w:t>5000</w:t>
      </w:r>
      <w:r>
        <w:rPr>
          <w:rFonts w:hint="eastAsia" w:ascii="Times New Roman" w:hAnsi="Times New Roman" w:eastAsia="仿宋_GB2312" w:cs="Times New Roman"/>
          <w:b w:val="0"/>
          <w:bCs w:val="0"/>
          <w:sz w:val="32"/>
          <w:szCs w:val="32"/>
          <w:highlight w:val="none"/>
          <w:lang w:val="en-US" w:eastAsia="zh-CN"/>
        </w:rPr>
        <w:t>平方米核酸检测中心：</w:t>
      </w:r>
      <w:r>
        <w:rPr>
          <w:rFonts w:hint="eastAsia"/>
          <w:sz w:val="32"/>
          <w:szCs w:val="32"/>
          <w:highlight w:val="none"/>
          <w:lang w:eastAsia="zh-CN"/>
        </w:rPr>
        <w:t>内设采样实验、样本检测、配套消杀医学服务及供水、供热、供电等附属设备。</w:t>
      </w:r>
      <w:r>
        <w:rPr>
          <w:rFonts w:hint="eastAsia" w:ascii="Times New Roman" w:hAnsi="Times New Roman" w:eastAsia="仿宋_GB2312" w:cs="Times New Roman"/>
          <w:b w:val="0"/>
          <w:bCs w:val="0"/>
          <w:sz w:val="32"/>
          <w:szCs w:val="32"/>
          <w:highlight w:val="none"/>
          <w:lang w:val="en-US" w:eastAsia="zh-CN"/>
        </w:rPr>
        <w:t>项目的建成施能够扩大核酸检测资源供给</w:t>
      </w:r>
      <w:r>
        <w:rPr>
          <w:rFonts w:hint="eastAsia"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val="en-US" w:eastAsia="zh-CN"/>
        </w:rPr>
        <w:t>增强核酸检测硬件运行能力</w:t>
      </w:r>
      <w:r>
        <w:rPr>
          <w:rFonts w:hint="eastAsia"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val="en-US" w:eastAsia="zh-CN"/>
        </w:rPr>
        <w:t>健全完善新冠肺炎疫情卫生服务体系</w:t>
      </w:r>
      <w:r>
        <w:rPr>
          <w:rFonts w:hint="eastAsia"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val="en-US" w:eastAsia="zh-CN"/>
        </w:rPr>
        <w:t>有效提升霍尔果斯市疾病预防控制服务能力和水平</w:t>
      </w:r>
      <w:r>
        <w:rPr>
          <w:rFonts w:hint="eastAsia"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val="en-US" w:eastAsia="zh-CN"/>
        </w:rPr>
        <w:t>切实保障霍尔果斯市公共卫生安全和人民群众身体健康。</w:t>
      </w:r>
    </w:p>
    <w:p>
      <w:pPr>
        <w:spacing w:line="560" w:lineRule="exact"/>
        <w:rPr>
          <w:rFonts w:hint="eastAsia"/>
          <w:color w:val="FF0000"/>
          <w:sz w:val="32"/>
          <w:szCs w:val="32"/>
          <w:highlight w:val="none"/>
        </w:rPr>
      </w:pPr>
      <w:r>
        <w:rPr>
          <w:rFonts w:hint="eastAsia"/>
          <w:b w:val="0"/>
          <w:bCs w:val="0"/>
          <w:sz w:val="32"/>
          <w:szCs w:val="32"/>
          <w:highlight w:val="none"/>
          <w:lang w:eastAsia="zh-CN"/>
        </w:rPr>
        <w:t>　　</w:t>
      </w:r>
      <w:r>
        <w:rPr>
          <w:rFonts w:hint="eastAsia" w:ascii="Times New Roman" w:hAnsi="Times New Roman" w:eastAsia="仿宋_GB2312" w:cs="Times New Roman"/>
          <w:b w:val="0"/>
          <w:bCs w:val="0"/>
          <w:sz w:val="32"/>
          <w:szCs w:val="32"/>
          <w:highlight w:val="none"/>
          <w:lang w:val="en-US" w:eastAsia="zh-CN"/>
        </w:rPr>
        <w:t>2.阶段性目标：</w:t>
      </w:r>
      <w:bookmarkStart w:id="3" w:name="_Toc68703830"/>
      <w:r>
        <w:rPr>
          <w:rFonts w:hint="eastAsia" w:ascii="Times New Roman" w:hAnsi="Times New Roman" w:eastAsia="仿宋_GB2312" w:cs="Times New Roman"/>
          <w:b w:val="0"/>
          <w:bCs w:val="0"/>
          <w:sz w:val="32"/>
          <w:szCs w:val="32"/>
          <w:highlight w:val="none"/>
          <w:lang w:val="en-US" w:eastAsia="zh-CN"/>
        </w:rPr>
        <w:t>扩大核酸检测资源供给</w:t>
      </w:r>
      <w:r>
        <w:rPr>
          <w:rFonts w:hint="eastAsia"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val="en-US" w:eastAsia="zh-CN"/>
        </w:rPr>
        <w:t>增强核酸检测硬件运行能力</w:t>
      </w:r>
      <w:r>
        <w:rPr>
          <w:rFonts w:hint="eastAsia"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val="en-US" w:eastAsia="zh-CN"/>
        </w:rPr>
        <w:t>健全完善新冠肺炎疫情卫生服务体系</w:t>
      </w:r>
      <w:r>
        <w:rPr>
          <w:rFonts w:hint="eastAsia" w:ascii="Times New Roman" w:hAnsi="Times New Roman" w:cs="Times New Roman"/>
          <w:b w:val="0"/>
          <w:bCs w:val="0"/>
          <w:sz w:val="32"/>
          <w:szCs w:val="32"/>
          <w:highlight w:val="none"/>
          <w:lang w:val="en-US" w:eastAsia="zh-CN"/>
        </w:rPr>
        <w:t>，</w:t>
      </w:r>
      <w:r>
        <w:rPr>
          <w:rFonts w:hint="eastAsia" w:ascii="Times New Roman" w:hAnsi="Times New Roman" w:cs="Times New Roman"/>
          <w:color w:val="auto"/>
          <w:sz w:val="32"/>
          <w:szCs w:val="32"/>
          <w:highlight w:val="none"/>
          <w:lang w:val="en-US" w:eastAsia="zh-CN"/>
        </w:rPr>
        <w:t>采取最全面最严格最彻底的防控措施，前所未有地采取大规模隔离措施，前所未 有地调集全国资源开展大规模医疗救治，不遗漏一个感染者，不放弃每一位病患，实现“应收尽收、应治尽治、应检尽检、应隔尽隔”，遏制了疫情大面积蔓延，改变了病毒传播的危险进程 。</w:t>
      </w:r>
    </w:p>
    <w:p>
      <w:pPr>
        <w:spacing w:line="560" w:lineRule="exact"/>
        <w:rPr>
          <w:rFonts w:hint="eastAsia" w:ascii="Times New Roman" w:hAnsi="Times New Roman" w:eastAsia="黑体" w:cs="Times New Roman"/>
          <w:bCs/>
          <w:sz w:val="32"/>
          <w:szCs w:val="32"/>
          <w:highlight w:val="none"/>
          <w:lang w:val="en-US" w:eastAsia="zh-CN"/>
        </w:rPr>
      </w:pPr>
      <w:r>
        <w:rPr>
          <w:rFonts w:hint="eastAsia" w:ascii="Times New Roman" w:hAnsi="Times New Roman" w:eastAsia="黑体" w:cs="Times New Roman"/>
          <w:bCs/>
          <w:sz w:val="32"/>
          <w:szCs w:val="32"/>
          <w:highlight w:val="none"/>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highlight w:val="none"/>
          <w:lang w:eastAsia="zh-CN"/>
        </w:rPr>
      </w:pPr>
      <w:bookmarkStart w:id="4" w:name="_Toc68703831"/>
      <w:r>
        <w:rPr>
          <w:rFonts w:hint="eastAsia" w:ascii="Times New Roman" w:hAnsi="Times New Roman" w:eastAsia="楷体_GB2312" w:cs="Times New Roman"/>
          <w:b/>
          <w:bCs/>
          <w:sz w:val="32"/>
          <w:szCs w:val="32"/>
          <w:highlight w:val="none"/>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　1.绩效评价目的</w:t>
      </w:r>
    </w:p>
    <w:p>
      <w:pPr>
        <w:spacing w:line="56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0"/>
        </w:numPr>
        <w:spacing w:line="560" w:lineRule="exact"/>
        <w:ind w:firstLine="640" w:firstLineChars="200"/>
        <w:rPr>
          <w:rFonts w:eastAsia="仿宋_GB2312"/>
          <w:sz w:val="32"/>
          <w:szCs w:val="32"/>
          <w:highlight w:val="none"/>
        </w:rPr>
      </w:pPr>
      <w:r>
        <w:rPr>
          <w:rFonts w:eastAsia="仿宋_GB2312"/>
          <w:sz w:val="32"/>
          <w:szCs w:val="32"/>
          <w:highlight w:val="none"/>
        </w:rPr>
        <w:t>（</w:t>
      </w:r>
      <w:r>
        <w:rPr>
          <w:rFonts w:hint="eastAsia"/>
          <w:sz w:val="32"/>
          <w:szCs w:val="32"/>
          <w:highlight w:val="none"/>
          <w:lang w:val="en-US" w:eastAsia="zh-CN"/>
        </w:rPr>
        <w:t>1</w:t>
      </w:r>
      <w:r>
        <w:rPr>
          <w:rFonts w:eastAsia="仿宋_GB2312"/>
          <w:sz w:val="32"/>
          <w:szCs w:val="32"/>
          <w:highlight w:val="none"/>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highlight w:val="none"/>
        </w:rPr>
      </w:pPr>
      <w:r>
        <w:rPr>
          <w:rFonts w:eastAsia="仿宋_GB2312"/>
          <w:sz w:val="32"/>
          <w:szCs w:val="32"/>
          <w:highlight w:val="none"/>
        </w:rPr>
        <w:t>（2）项目绩效管理财政支出运行提供及时、有效的信息。</w:t>
      </w:r>
    </w:p>
    <w:p>
      <w:pPr>
        <w:pStyle w:val="22"/>
        <w:spacing w:line="560" w:lineRule="exact"/>
        <w:ind w:firstLine="640" w:firstLineChars="200"/>
        <w:rPr>
          <w:rFonts w:eastAsia="方正仿宋_GBK" w:cs="方正仿宋_GBK"/>
          <w:sz w:val="32"/>
          <w:szCs w:val="32"/>
          <w:highlight w:val="none"/>
        </w:rPr>
      </w:pPr>
      <w:r>
        <w:rPr>
          <w:rFonts w:eastAsia="仿宋_GB2312"/>
          <w:sz w:val="32"/>
          <w:szCs w:val="32"/>
          <w:highlight w:val="none"/>
        </w:rPr>
        <w:t>综合来看，通过开展有效的财政支出绩效评价管理，</w:t>
      </w:r>
      <w:r>
        <w:rPr>
          <w:rFonts w:hint="eastAsia" w:eastAsia="仿宋_GB231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cs="Times New Roman"/>
          <w:b/>
          <w:bCs/>
          <w:sz w:val="30"/>
          <w:szCs w:val="30"/>
          <w:highlight w:val="none"/>
          <w:lang w:val="en-US" w:eastAsia="zh-CN"/>
        </w:rPr>
        <w:t>　</w:t>
      </w:r>
      <w:r>
        <w:rPr>
          <w:rFonts w:hint="eastAsia" w:ascii="Times New Roman" w:hAnsi="Times New Roman" w:eastAsia="仿宋_GB2312" w:cs="Times New Roman"/>
          <w:b w:val="0"/>
          <w:bCs w:val="0"/>
          <w:sz w:val="32"/>
          <w:szCs w:val="32"/>
          <w:highlight w:val="none"/>
          <w:lang w:val="en-US" w:eastAsia="zh-CN"/>
        </w:rPr>
        <w:t>2.绩效评价对象：</w:t>
      </w:r>
    </w:p>
    <w:p>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霍尔果斯市核酸检测中心建设项目所包含的全部项目内容。</w:t>
      </w:r>
    </w:p>
    <w:p>
      <w:pPr>
        <w:spacing w:line="560" w:lineRule="exact"/>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sz w:val="32"/>
          <w:szCs w:val="32"/>
          <w:highlight w:val="none"/>
        </w:rPr>
        <w:t>霍尔果斯市核酸检测中心建设项目</w:t>
      </w:r>
      <w:r>
        <w:rPr>
          <w:rFonts w:hint="eastAsia"/>
          <w:color w:val="auto"/>
          <w:sz w:val="32"/>
          <w:szCs w:val="32"/>
          <w:highlight w:val="none"/>
        </w:rPr>
        <w:t>评价，评价核心为资金的支出完成情况和效果。</w:t>
      </w:r>
    </w:p>
    <w:p>
      <w:pPr>
        <w:pStyle w:val="5"/>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highlight w:val="none"/>
          <w:lang w:val="en-US" w:eastAsia="zh-CN" w:bidi="ar-SA"/>
        </w:rPr>
      </w:pPr>
      <w:bookmarkStart w:id="5" w:name="_Toc68703832"/>
      <w:r>
        <w:rPr>
          <w:rFonts w:hint="eastAsia" w:ascii="Times New Roman" w:hAnsi="Times New Roman" w:eastAsia="楷体_GB2312" w:cs="Times New Roman"/>
          <w:b/>
          <w:bCs/>
          <w:kern w:val="2"/>
          <w:sz w:val="32"/>
          <w:szCs w:val="32"/>
          <w:highlight w:val="none"/>
          <w:lang w:val="en-US" w:eastAsia="zh-CN" w:bidi="ar-SA"/>
        </w:rPr>
        <w:t>（二）绩效评价原则、评价指标体系</w:t>
      </w:r>
      <w:r>
        <w:rPr>
          <w:rFonts w:eastAsia="楷体_GB2312"/>
          <w:b/>
          <w:bCs/>
          <w:sz w:val="32"/>
          <w:szCs w:val="32"/>
          <w:highlight w:val="none"/>
        </w:rPr>
        <w:t>（详情见表1）</w:t>
      </w:r>
      <w:r>
        <w:rPr>
          <w:rFonts w:hint="eastAsia" w:ascii="Times New Roman" w:hAnsi="Times New Roman" w:eastAsia="楷体_GB2312" w:cs="Times New Roman"/>
          <w:b/>
          <w:bCs/>
          <w:kern w:val="2"/>
          <w:sz w:val="32"/>
          <w:szCs w:val="32"/>
          <w:highlight w:val="none"/>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rPr>
      </w:pPr>
      <w:r>
        <w:rPr>
          <w:rFonts w:hint="eastAsia"/>
          <w:sz w:val="32"/>
          <w:szCs w:val="32"/>
          <w:highlight w:val="none"/>
        </w:rPr>
        <w:t>1</w:t>
      </w:r>
      <w:r>
        <w:rPr>
          <w:rFonts w:hint="eastAsia"/>
          <w:sz w:val="32"/>
          <w:szCs w:val="32"/>
          <w:highlight w:val="none"/>
          <w:lang w:val="en-US" w:eastAsia="zh-CN"/>
        </w:rPr>
        <w:t>.</w:t>
      </w:r>
      <w:r>
        <w:rPr>
          <w:rFonts w:hint="eastAsia"/>
          <w:sz w:val="32"/>
          <w:szCs w:val="32"/>
          <w:highlight w:val="none"/>
        </w:rPr>
        <w:t>绩效评价原则</w:t>
      </w:r>
    </w:p>
    <w:p>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pPr>
        <w:pStyle w:val="1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（1）科学公正。绩效评价应当运用科学合理的方法，按照规范的程序，对项目绩效进行客观、公正的反映。</w:t>
      </w:r>
    </w:p>
    <w:p>
      <w:pPr>
        <w:pStyle w:val="1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pPr>
        <w:pStyle w:val="12"/>
        <w:spacing w:before="0" w:after="0" w:line="560" w:lineRule="exact"/>
        <w:ind w:firstLine="640" w:firstLineChars="200"/>
        <w:jc w:val="both"/>
        <w:outlineLvl w:val="9"/>
        <w:rPr>
          <w:highlight w:val="none"/>
        </w:rPr>
      </w:pPr>
      <w:r>
        <w:rPr>
          <w:rFonts w:ascii="Times New Roman" w:hAnsi="Times New Roman" w:eastAsia="仿宋_GB2312"/>
          <w:b w:val="0"/>
          <w:bCs w:val="0"/>
          <w:highlight w:val="none"/>
        </w:rPr>
        <w:t>（4）公开透明。绩效评价结果应依法依规公开，并自觉接受社会监督。</w:t>
      </w:r>
    </w:p>
    <w:p>
      <w:pPr>
        <w:spacing w:line="360" w:lineRule="auto"/>
        <w:ind w:firstLine="600" w:firstLineChars="200"/>
        <w:jc w:val="left"/>
        <w:rPr>
          <w:rFonts w:hint="eastAsia"/>
          <w:sz w:val="32"/>
          <w:szCs w:val="32"/>
          <w:highlight w:val="none"/>
        </w:rPr>
      </w:pPr>
      <w:r>
        <w:rPr>
          <w:rFonts w:hint="eastAsia"/>
          <w:highlight w:val="none"/>
        </w:rPr>
        <w:t>2、</w:t>
      </w:r>
      <w:r>
        <w:rPr>
          <w:rFonts w:hint="eastAsia"/>
          <w:sz w:val="32"/>
          <w:szCs w:val="32"/>
          <w:highlight w:val="none"/>
        </w:rPr>
        <w:t>评价指标体系</w:t>
      </w:r>
    </w:p>
    <w:p>
      <w:pPr>
        <w:spacing w:line="56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2"/>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2"/>
        <w:widowControl w:val="0"/>
        <w:spacing w:before="0" w:after="0" w:line="560" w:lineRule="exact"/>
        <w:ind w:firstLine="708" w:firstLineChars="200"/>
        <w:jc w:val="both"/>
        <w:outlineLvl w:val="9"/>
        <w:rPr>
          <w:rFonts w:hint="eastAsia"/>
          <w:highlight w:val="none"/>
        </w:rPr>
      </w:pPr>
      <w:r>
        <w:rPr>
          <w:rFonts w:ascii="Times New Roman" w:hAnsi="Times New Roman" w:eastAsia="仿宋_GB2312"/>
          <w:b w:val="0"/>
          <w:bCs w:val="0"/>
          <w:color w:val="000000"/>
          <w:spacing w:val="17"/>
          <w:highlight w:val="none"/>
        </w:rPr>
        <w:t>具体评价指标体系详情见附件1</w:t>
      </w:r>
    </w:p>
    <w:p>
      <w:pPr>
        <w:pStyle w:val="7"/>
        <w:rPr>
          <w:rFonts w:hint="eastAsia"/>
          <w:sz w:val="32"/>
          <w:szCs w:val="32"/>
          <w:highlight w:val="none"/>
        </w:rPr>
      </w:pPr>
      <w:r>
        <w:rPr>
          <w:rFonts w:hint="eastAsia"/>
          <w:sz w:val="32"/>
          <w:szCs w:val="32"/>
          <w:highlight w:val="none"/>
        </w:rPr>
        <w:t>3、评价方法</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highlight w:val="none"/>
          <w:lang w:eastAsia="zh-CN"/>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highlight w:val="none"/>
          <w14:textFill>
            <w14:solidFill>
              <w14:schemeClr w14:val="tx1"/>
            </w14:solidFill>
          </w14:textFill>
        </w:rPr>
      </w:pPr>
      <w:r>
        <w:rPr>
          <w:rFonts w:eastAsia="仿宋_GB2312"/>
          <w:color w:val="000000" w:themeColor="text1"/>
          <w:spacing w:val="17"/>
          <w:sz w:val="32"/>
          <w:szCs w:val="32"/>
          <w:highlight w:val="none"/>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highlight w:val="none"/>
          <w14:textFill>
            <w14:solidFill>
              <w14:schemeClr w14:val="tx1"/>
            </w14:solidFill>
          </w14:textFill>
        </w:rPr>
      </w:pPr>
      <w:r>
        <w:rPr>
          <w:rFonts w:eastAsia="仿宋_GB2312"/>
          <w:color w:val="000000" w:themeColor="text1"/>
          <w:spacing w:val="17"/>
          <w:sz w:val="32"/>
          <w:szCs w:val="32"/>
          <w:highlight w:val="none"/>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highlight w:val="none"/>
          <w14:textFill>
            <w14:solidFill>
              <w14:schemeClr w14:val="tx1"/>
            </w14:solidFill>
          </w14:textFill>
        </w:rPr>
        <w:t>项目</w:t>
      </w:r>
      <w:r>
        <w:rPr>
          <w:rFonts w:eastAsia="仿宋_GB2312"/>
          <w:color w:val="000000" w:themeColor="text1"/>
          <w:spacing w:val="17"/>
          <w:sz w:val="32"/>
          <w:szCs w:val="32"/>
          <w:highlight w:val="none"/>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highlight w:val="none"/>
          <w14:textFill>
            <w14:solidFill>
              <w14:schemeClr w14:val="tx1"/>
            </w14:solidFill>
          </w14:textFill>
        </w:rPr>
      </w:pPr>
      <w:r>
        <w:rPr>
          <w:rFonts w:eastAsia="仿宋_GB2312"/>
          <w:color w:val="000000" w:themeColor="text1"/>
          <w:spacing w:val="17"/>
          <w:sz w:val="32"/>
          <w:szCs w:val="32"/>
          <w:highlight w:val="none"/>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highlight w:val="none"/>
          <w:lang w:eastAsia="zh-CN"/>
          <w14:textFill>
            <w14:solidFill>
              <w14:schemeClr w14:val="tx1"/>
            </w14:solidFill>
          </w14:textFill>
        </w:rPr>
      </w:pPr>
      <w:r>
        <w:rPr>
          <w:rFonts w:eastAsia="仿宋_GB2312"/>
          <w:color w:val="000000" w:themeColor="text1"/>
          <w:spacing w:val="17"/>
          <w:sz w:val="32"/>
          <w:szCs w:val="32"/>
          <w:highlight w:val="none"/>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highlight w:val="none"/>
          <w14:textFill>
            <w14:solidFill>
              <w14:schemeClr w14:val="tx1"/>
            </w14:solidFill>
          </w14:textFill>
        </w:rPr>
        <w:t>项目</w:t>
      </w:r>
      <w:r>
        <w:rPr>
          <w:rFonts w:eastAsia="仿宋_GB2312"/>
          <w:color w:val="000000" w:themeColor="text1"/>
          <w:spacing w:val="17"/>
          <w:sz w:val="32"/>
          <w:szCs w:val="32"/>
          <w:highlight w:val="none"/>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highlight w:val="none"/>
        </w:rPr>
      </w:pPr>
      <w:r>
        <w:rPr>
          <w:rFonts w:hint="eastAsia"/>
          <w:highlight w:val="none"/>
          <w:lang w:eastAsia="zh-CN"/>
        </w:rPr>
        <w:t>　　</w:t>
      </w:r>
      <w:r>
        <w:rPr>
          <w:rFonts w:hint="eastAsia"/>
          <w:sz w:val="32"/>
          <w:szCs w:val="32"/>
          <w:highlight w:val="none"/>
        </w:rPr>
        <w:t>4</w:t>
      </w:r>
      <w:r>
        <w:rPr>
          <w:rFonts w:hint="eastAsia"/>
          <w:sz w:val="32"/>
          <w:szCs w:val="32"/>
          <w:highlight w:val="none"/>
          <w:lang w:val="en-US" w:eastAsia="zh-CN"/>
        </w:rPr>
        <w:t>.</w:t>
      </w:r>
      <w:r>
        <w:rPr>
          <w:rFonts w:hint="eastAsia"/>
          <w:sz w:val="32"/>
          <w:szCs w:val="32"/>
          <w:highlight w:val="none"/>
        </w:rPr>
        <w:t>评价标准</w:t>
      </w:r>
    </w:p>
    <w:p>
      <w:pPr>
        <w:spacing w:line="560" w:lineRule="exact"/>
        <w:ind w:firstLine="640"/>
        <w:rPr>
          <w:rFonts w:hint="eastAsia"/>
          <w:bCs/>
          <w:color w:val="000000" w:themeColor="text1"/>
          <w:sz w:val="32"/>
          <w:szCs w:val="32"/>
          <w:highlight w:val="none"/>
          <w14:textFill>
            <w14:solidFill>
              <w14:schemeClr w14:val="tx1"/>
            </w14:solidFill>
          </w14:textFill>
        </w:rPr>
      </w:pPr>
      <w:r>
        <w:rPr>
          <w:rFonts w:hint="eastAsia"/>
          <w:bCs/>
          <w:color w:val="000000" w:themeColor="text1"/>
          <w:sz w:val="32"/>
          <w:szCs w:val="32"/>
          <w:highlight w:val="none"/>
          <w14:textFill>
            <w14:solidFill>
              <w14:schemeClr w14:val="tx1"/>
            </w14:solidFill>
          </w14:textFill>
        </w:rPr>
        <w:t>绩效评价标准通常包括计划标准、行业标准、历史标准等，用于对绩效指标完成情况进行比较、分析、评价。本次评价主要采用了</w:t>
      </w:r>
      <w:r>
        <w:rPr>
          <w:rFonts w:hint="eastAsia"/>
          <w:bCs/>
          <w:sz w:val="32"/>
          <w:szCs w:val="32"/>
          <w:highlight w:val="none"/>
          <w:lang w:eastAsia="zh-CN"/>
        </w:rPr>
        <w:t>计划标准、行业标准</w:t>
      </w:r>
      <w:r>
        <w:rPr>
          <w:rFonts w:hint="eastAsia"/>
          <w:bCs/>
          <w:color w:val="000000" w:themeColor="text1"/>
          <w:sz w:val="32"/>
          <w:szCs w:val="32"/>
          <w:highlight w:val="none"/>
          <w14:textFill>
            <w14:solidFill>
              <w14:schemeClr w14:val="tx1"/>
            </w14:solidFill>
          </w14:textFill>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auto"/>
          <w:sz w:val="32"/>
          <w:szCs w:val="32"/>
          <w:highlight w:val="none"/>
        </w:rPr>
      </w:pPr>
      <w:r>
        <w:rPr>
          <w:rFonts w:hint="eastAsia"/>
          <w:bCs/>
          <w:color w:val="auto"/>
          <w:sz w:val="32"/>
          <w:szCs w:val="32"/>
          <w:highlight w:val="none"/>
        </w:rPr>
        <w:t>（一）计划标准。指以预先制定的目标、计划、预算、定额等作为评价标准。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auto"/>
          <w:sz w:val="32"/>
          <w:szCs w:val="32"/>
          <w:highlight w:val="none"/>
        </w:rPr>
      </w:pPr>
      <w:r>
        <w:rPr>
          <w:rFonts w:hint="eastAsia"/>
          <w:bCs/>
          <w:color w:val="auto"/>
          <w:sz w:val="32"/>
          <w:szCs w:val="32"/>
          <w:highlight w:val="none"/>
        </w:rPr>
        <w:t>（二）行业标准。指参照国家公布的行业指标数据制定的评价标准。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highlight w:val="none"/>
          <w:lang w:val="en-US" w:eastAsia="zh-CN" w:bidi="ar-SA"/>
        </w:rPr>
      </w:pPr>
      <w:bookmarkStart w:id="6" w:name="_Toc68703833"/>
      <w:r>
        <w:rPr>
          <w:rFonts w:hint="eastAsia" w:ascii="Times New Roman" w:hAnsi="Times New Roman" w:eastAsia="楷体_GB2312" w:cs="Times New Roman"/>
          <w:b/>
          <w:bCs/>
          <w:kern w:val="2"/>
          <w:sz w:val="32"/>
          <w:szCs w:val="32"/>
          <w:highlight w:val="none"/>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rPr>
      </w:pPr>
      <w:r>
        <w:rPr>
          <w:rFonts w:hint="eastAsia"/>
          <w:sz w:val="32"/>
          <w:szCs w:val="32"/>
          <w:highlight w:val="none"/>
        </w:rPr>
        <w:t>1</w:t>
      </w:r>
      <w:r>
        <w:rPr>
          <w:rFonts w:hint="eastAsia"/>
          <w:sz w:val="32"/>
          <w:szCs w:val="32"/>
          <w:highlight w:val="none"/>
          <w:lang w:val="en-US" w:eastAsia="zh-CN"/>
        </w:rPr>
        <w:t>.</w:t>
      </w:r>
      <w:r>
        <w:rPr>
          <w:rFonts w:hint="eastAsia"/>
          <w:sz w:val="32"/>
          <w:szCs w:val="32"/>
          <w:highlight w:val="none"/>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rPr>
      </w:pPr>
      <w:r>
        <w:rPr>
          <w:rFonts w:hint="eastAsia"/>
          <w:sz w:val="32"/>
          <w:szCs w:val="32"/>
          <w:highlight w:val="none"/>
        </w:rPr>
        <w:t>2</w:t>
      </w:r>
      <w:r>
        <w:rPr>
          <w:rFonts w:hint="eastAsia"/>
          <w:sz w:val="32"/>
          <w:szCs w:val="32"/>
          <w:highlight w:val="none"/>
          <w:lang w:val="en-US" w:eastAsia="zh-CN"/>
        </w:rPr>
        <w:t>.</w:t>
      </w:r>
      <w:r>
        <w:rPr>
          <w:rFonts w:hint="eastAsia"/>
          <w:sz w:val="32"/>
          <w:szCs w:val="32"/>
          <w:highlight w:val="none"/>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rPr>
      </w:pPr>
      <w:r>
        <w:rPr>
          <w:rFonts w:hint="eastAsia"/>
          <w:sz w:val="32"/>
          <w:szCs w:val="32"/>
          <w:highlight w:val="none"/>
        </w:rPr>
        <w:t>3</w:t>
      </w:r>
      <w:r>
        <w:rPr>
          <w:rFonts w:hint="eastAsia"/>
          <w:sz w:val="32"/>
          <w:szCs w:val="32"/>
          <w:highlight w:val="none"/>
          <w:lang w:val="en-US" w:eastAsia="zh-CN"/>
        </w:rPr>
        <w:t>.</w:t>
      </w:r>
      <w:r>
        <w:rPr>
          <w:rFonts w:hint="eastAsia"/>
          <w:sz w:val="32"/>
          <w:szCs w:val="32"/>
          <w:highlight w:val="none"/>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highlight w:val="none"/>
        </w:rPr>
      </w:pPr>
      <w:bookmarkStart w:id="7" w:name="_Toc68703834"/>
      <w:r>
        <w:rPr>
          <w:rFonts w:hint="eastAsia" w:eastAsia="仿宋_GB2312"/>
          <w:bCs/>
          <w:sz w:val="32"/>
          <w:szCs w:val="32"/>
          <w:highlight w:val="none"/>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highlight w:val="none"/>
          <w:lang w:val="en-US" w:eastAsia="zh-CN"/>
        </w:rPr>
      </w:pPr>
      <w:r>
        <w:rPr>
          <w:rFonts w:hint="eastAsia" w:eastAsia="黑体" w:cs="Times New Roman"/>
          <w:bCs/>
          <w:sz w:val="32"/>
          <w:szCs w:val="32"/>
          <w:highlight w:val="none"/>
          <w:lang w:val="en-US" w:eastAsia="zh-CN"/>
        </w:rPr>
        <w:t>三、</w:t>
      </w:r>
      <w:r>
        <w:rPr>
          <w:rFonts w:hint="eastAsia" w:ascii="Times New Roman" w:hAnsi="Times New Roman" w:eastAsia="黑体" w:cs="Times New Roman"/>
          <w:bCs/>
          <w:sz w:val="32"/>
          <w:szCs w:val="32"/>
          <w:highlight w:val="none"/>
          <w:lang w:val="en-US" w:eastAsia="zh-CN"/>
        </w:rPr>
        <w:t>综合评价情况及评价结论</w:t>
      </w:r>
      <w:bookmarkEnd w:id="7"/>
      <w:r>
        <w:rPr>
          <w:rFonts w:eastAsia="黑体"/>
          <w:sz w:val="32"/>
          <w:szCs w:val="32"/>
          <w:highlight w:val="none"/>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highlight w:val="none"/>
          <w:lang w:val="en-US" w:eastAsia="zh-CN" w:bidi="ar-SA"/>
        </w:rPr>
      </w:pPr>
      <w:bookmarkStart w:id="8" w:name="_Toc68703835"/>
      <w:r>
        <w:rPr>
          <w:rFonts w:hint="eastAsia" w:ascii="Times New Roman" w:hAnsi="Times New Roman" w:eastAsia="楷体_GB2312" w:cs="Times New Roman"/>
          <w:b/>
          <w:bCs/>
          <w:kern w:val="2"/>
          <w:sz w:val="32"/>
          <w:szCs w:val="32"/>
          <w:highlight w:val="none"/>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highlight w:val="none"/>
        </w:rPr>
      </w:pPr>
      <w:r>
        <w:rPr>
          <w:rFonts w:hint="eastAsia" w:ascii="Times New Roman" w:hAnsi="Times New Roman" w:eastAsia="仿宋_GB2312" w:cs="Times New Roman"/>
          <w:b w:val="0"/>
          <w:bCs w:val="0"/>
          <w:kern w:val="28"/>
          <w:sz w:val="32"/>
          <w:szCs w:val="32"/>
          <w:highlight w:val="none"/>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5"/>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highlight w:val="none"/>
          <w:lang w:val="en-US" w:eastAsia="zh-CN" w:bidi="ar-SA"/>
        </w:rPr>
      </w:pPr>
      <w:bookmarkStart w:id="9" w:name="_Toc68703836"/>
      <w:r>
        <w:rPr>
          <w:rFonts w:hint="eastAsia" w:ascii="Times New Roman" w:hAnsi="Times New Roman" w:eastAsia="楷体_GB2312" w:cs="Times New Roman"/>
          <w:b/>
          <w:bCs/>
          <w:kern w:val="2"/>
          <w:sz w:val="32"/>
          <w:szCs w:val="32"/>
          <w:highlight w:val="none"/>
          <w:lang w:val="en-US" w:eastAsia="zh-CN" w:bidi="ar-SA"/>
        </w:rPr>
        <w:t>（二）评价结论</w:t>
      </w:r>
      <w:bookmarkEnd w:id="9"/>
    </w:p>
    <w:p>
      <w:pPr>
        <w:pStyle w:val="1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highlight w:val="none"/>
        </w:rPr>
      </w:pPr>
      <w:r>
        <w:rPr>
          <w:rFonts w:hint="eastAsia" w:ascii="Times New Roman" w:hAnsi="Times New Roman" w:eastAsia="仿宋_GB2312"/>
          <w:b w:val="0"/>
          <w:bCs w:val="0"/>
          <w:highlight w:val="none"/>
          <w:lang w:eastAsia="zh-CN"/>
        </w:rPr>
        <w:t>　　</w:t>
      </w:r>
      <w:r>
        <w:rPr>
          <w:rFonts w:hint="eastAsia" w:ascii="Times New Roman" w:hAnsi="Times New Roman" w:eastAsia="仿宋_GB2312"/>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分，属于“优”。其中，项目决策类指标权重为20分，得分为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highlight w:val="none"/>
          <w:lang w:val="en-US" w:eastAsia="zh-CN" w:bidi="ar-SA"/>
        </w:rPr>
      </w:pPr>
      <w:r>
        <w:rPr>
          <w:rFonts w:hint="eastAsia"/>
          <w:sz w:val="30"/>
          <w:szCs w:val="30"/>
          <w:highlight w:val="none"/>
          <w:lang w:eastAsia="zh-CN"/>
        </w:rPr>
        <w:t>　　　　　　　　</w:t>
      </w:r>
      <w:r>
        <w:rPr>
          <w:rFonts w:hint="eastAsia" w:ascii="Times New Roman" w:hAnsi="Times New Roman" w:eastAsia="仿宋_GB2312" w:cs="Times New Roman"/>
          <w:b w:val="0"/>
          <w:bCs w:val="0"/>
          <w:kern w:val="28"/>
          <w:sz w:val="32"/>
          <w:szCs w:val="32"/>
          <w:highlight w:val="none"/>
          <w:lang w:val="en-US" w:eastAsia="zh-CN" w:bidi="ar-SA"/>
        </w:rPr>
        <w:t>表1综合评分表</w:t>
      </w:r>
    </w:p>
    <w:tbl>
      <w:tblPr>
        <w:tblStyle w:val="13"/>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highlight w:val="none"/>
              </w:rPr>
            </w:pPr>
            <w:r>
              <w:rPr>
                <w:rFonts w:hint="eastAsia"/>
                <w:b/>
                <w:bCs/>
                <w:color w:val="000000"/>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highlight w:val="none"/>
              </w:rPr>
            </w:pPr>
            <w:r>
              <w:rPr>
                <w:rFonts w:hint="eastAsia"/>
                <w:b/>
                <w:bCs/>
                <w:color w:val="000000"/>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highlight w:val="none"/>
              </w:rPr>
            </w:pPr>
            <w:r>
              <w:rPr>
                <w:rFonts w:hint="eastAsia"/>
                <w:b/>
                <w:bCs/>
                <w:color w:val="000000"/>
                <w:sz w:val="22"/>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9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highlight w:val="none"/>
              </w:rPr>
            </w:pPr>
            <w:r>
              <w:rPr>
                <w:rFonts w:hint="eastAsia" w:cs="宋体"/>
                <w:b/>
                <w:bCs/>
                <w:color w:val="000000"/>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highlight w:val="none"/>
                <w:lang w:val="en-US" w:eastAsia="zh-CN"/>
              </w:rPr>
            </w:pPr>
            <w:r>
              <w:rPr>
                <w:rFonts w:hint="eastAsia"/>
                <w:b/>
                <w:bCs/>
                <w:color w:val="000000"/>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highlight w:val="none"/>
                <w:lang w:val="en-US" w:eastAsia="zh-CN"/>
              </w:rPr>
            </w:pPr>
            <w:r>
              <w:rPr>
                <w:rFonts w:hint="eastAsia"/>
                <w:b/>
                <w:bCs/>
                <w:color w:val="000000"/>
                <w:sz w:val="22"/>
                <w:highlight w:val="none"/>
                <w:lang w:val="en-US" w:eastAsia="zh-CN"/>
              </w:rPr>
              <w:t>100</w:t>
            </w:r>
          </w:p>
        </w:tc>
      </w:tr>
    </w:tbl>
    <w:p>
      <w:pPr>
        <w:spacing w:line="560" w:lineRule="exact"/>
        <w:rPr>
          <w:rFonts w:hint="eastAsia" w:ascii="Times New Roman" w:hAnsi="Times New Roman" w:eastAsia="黑体" w:cs="Times New Roman"/>
          <w:bCs/>
          <w:sz w:val="32"/>
          <w:szCs w:val="32"/>
          <w:highlight w:val="none"/>
          <w:lang w:val="en-US" w:eastAsia="zh-CN"/>
        </w:rPr>
      </w:pPr>
      <w:bookmarkStart w:id="10" w:name="_Toc68703837"/>
      <w:r>
        <w:rPr>
          <w:rFonts w:hint="eastAsia" w:ascii="Times New Roman" w:hAnsi="Times New Roman" w:eastAsia="黑体" w:cs="Times New Roman"/>
          <w:bCs/>
          <w:sz w:val="32"/>
          <w:szCs w:val="32"/>
          <w:highlight w:val="none"/>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highlight w:val="none"/>
          <w:lang w:val="en-US" w:eastAsia="zh-CN" w:bidi="ar-SA"/>
        </w:rPr>
      </w:pPr>
      <w:bookmarkStart w:id="11" w:name="_Toc68703838"/>
      <w:r>
        <w:rPr>
          <w:rFonts w:hint="eastAsia" w:ascii="Times New Roman" w:hAnsi="Times New Roman" w:eastAsia="楷体_GB2312" w:cs="Times New Roman"/>
          <w:b/>
          <w:bCs/>
          <w:kern w:val="2"/>
          <w:sz w:val="32"/>
          <w:szCs w:val="32"/>
          <w:highlight w:val="none"/>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highlight w:val="none"/>
          <w:lang w:val="en-US" w:eastAsia="zh-CN"/>
        </w:rPr>
      </w:pPr>
      <w:r>
        <w:rPr>
          <w:rFonts w:hint="eastAsia"/>
          <w:b w:val="0"/>
          <w:bCs w:val="0"/>
          <w:sz w:val="32"/>
          <w:szCs w:val="32"/>
          <w:highlight w:val="none"/>
          <w:lang w:val="en-US" w:eastAsia="zh-CN"/>
        </w:rPr>
        <w:t>　　项目决策类指标包括项目立项、绩效目标和资金投入三方面的内容，由6个三级指标构成，权重分值为20分，实际得分20分，得分率为100%。</w:t>
      </w:r>
    </w:p>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（1）立项依据充分性</w:t>
      </w:r>
    </w:p>
    <w:p>
      <w:pPr>
        <w:shd w:val="clear"/>
        <w:spacing w:line="600" w:lineRule="exact"/>
        <w:ind w:firstLine="640" w:firstLineChars="200"/>
        <w:outlineLvl w:val="0"/>
        <w:rPr>
          <w:color w:val="FF0000"/>
          <w:sz w:val="32"/>
          <w:szCs w:val="32"/>
          <w:highlight w:val="none"/>
        </w:rPr>
      </w:pPr>
      <w:r>
        <w:rPr>
          <w:rFonts w:hint="eastAsia" w:ascii="仿宋_GB2312" w:hAnsi="仿宋_GB2312" w:eastAsia="仿宋_GB2312" w:cs="仿宋_GB2312"/>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highlight w:val="none"/>
        </w:rPr>
      </w:pPr>
      <w:r>
        <w:rPr>
          <w:rFonts w:hint="eastAsia"/>
          <w:b w:val="0"/>
          <w:bCs w:val="0"/>
          <w:sz w:val="32"/>
          <w:szCs w:val="32"/>
          <w:highlight w:val="none"/>
        </w:rPr>
        <w:t>2</w:t>
      </w:r>
      <w:r>
        <w:rPr>
          <w:rFonts w:hint="eastAsia"/>
          <w:b w:val="0"/>
          <w:bCs w:val="0"/>
          <w:sz w:val="32"/>
          <w:szCs w:val="32"/>
          <w:highlight w:val="none"/>
          <w:lang w:val="en-US" w:eastAsia="zh-CN"/>
        </w:rPr>
        <w:t>.</w:t>
      </w:r>
      <w:r>
        <w:rPr>
          <w:rFonts w:hint="eastAsia"/>
          <w:b w:val="0"/>
          <w:bCs w:val="0"/>
          <w:sz w:val="32"/>
          <w:szCs w:val="32"/>
          <w:highlight w:val="none"/>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项目申请、设立过程符合相关要求，</w:t>
      </w:r>
      <w:r>
        <w:rPr>
          <w:rFonts w:hint="eastAsia" w:ascii="仿宋_GB2312" w:hAnsi="仿宋_GB2312" w:eastAsia="仿宋_GB2312" w:cs="仿宋_GB2312"/>
          <w:sz w:val="32"/>
          <w:szCs w:val="32"/>
          <w:highlight w:val="none"/>
          <w:lang w:eastAsia="zh-Hans"/>
        </w:rPr>
        <w:t>严格按照审批流程准备符合要求的文件、材料；</w:t>
      </w:r>
      <w:r>
        <w:rPr>
          <w:rFonts w:hint="eastAsia" w:ascii="仿宋_GB2312" w:hAnsi="仿宋_GB2312" w:eastAsia="仿宋_GB2312" w:cs="仿宋_GB2312"/>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highlight w:val="none"/>
        </w:rPr>
      </w:pPr>
      <w:r>
        <w:rPr>
          <w:rFonts w:hint="eastAsia" w:ascii="仿宋_GB2312" w:hAnsi="仿宋_GB2312" w:eastAsia="仿宋_GB2312" w:cs="仿宋_GB2312"/>
          <w:b/>
          <w:bCs/>
          <w:sz w:val="32"/>
          <w:szCs w:val="32"/>
          <w:highlight w:val="none"/>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Hans"/>
        </w:rPr>
        <w:t>年初结合实际工作内容</w:t>
      </w:r>
      <w:r>
        <w:rPr>
          <w:rFonts w:hint="eastAsia" w:ascii="仿宋_GB2312" w:hAnsi="仿宋_GB2312" w:eastAsia="仿宋_GB2312" w:cs="仿宋_GB2312"/>
          <w:sz w:val="32"/>
          <w:szCs w:val="32"/>
          <w:highlight w:val="none"/>
          <w:lang w:val="en-US" w:eastAsia="zh-CN"/>
        </w:rPr>
        <w:t>设定绩效目标</w:t>
      </w:r>
      <w:r>
        <w:rPr>
          <w:rFonts w:hint="eastAsia" w:ascii="仿宋_GB2312" w:hAnsi="仿宋_GB2312" w:eastAsia="仿宋_GB2312" w:cs="仿宋_GB2312"/>
          <w:sz w:val="32"/>
          <w:szCs w:val="32"/>
          <w:highlight w:val="none"/>
          <w:lang w:val="en-US" w:eastAsia="zh-Hans"/>
        </w:rPr>
        <w:t>，绩效目标</w:t>
      </w:r>
      <w:r>
        <w:rPr>
          <w:rFonts w:hint="eastAsia" w:ascii="仿宋_GB2312" w:hAnsi="仿宋_GB2312" w:eastAsia="仿宋_GB2312" w:cs="仿宋_GB2312"/>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bookmarkStart w:id="12" w:name="_Hlk68699917"/>
      <w:r>
        <w:rPr>
          <w:rFonts w:hint="eastAsia" w:ascii="仿宋_GB2312" w:hAnsi="仿宋_GB2312" w:eastAsia="仿宋_GB2312" w:cs="仿宋_GB2312"/>
          <w:sz w:val="32"/>
          <w:szCs w:val="32"/>
          <w:highlight w:val="none"/>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资金分配额度与项目单位实际工作内容相适应，资金分配额度合理，资金分配依据充分。</w:t>
      </w:r>
    </w:p>
    <w:p>
      <w:pPr>
        <w:pStyle w:val="12"/>
        <w:numPr>
          <w:ilvl w:val="0"/>
          <w:numId w:val="0"/>
        </w:numPr>
        <w:spacing w:before="0" w:after="0" w:line="560" w:lineRule="exact"/>
        <w:jc w:val="both"/>
        <w:rPr>
          <w:rFonts w:ascii="楷体" w:hAnsi="楷体" w:eastAsia="楷体" w:cs="楷体"/>
          <w:highlight w:val="none"/>
        </w:rPr>
      </w:pPr>
      <w:r>
        <w:rPr>
          <w:rFonts w:hint="eastAsia" w:ascii="楷体" w:hAnsi="楷体" w:eastAsia="楷体" w:cs="楷体"/>
          <w:highlight w:val="none"/>
          <w:lang w:eastAsia="zh-CN"/>
        </w:rPr>
        <w:t>（二）</w:t>
      </w:r>
      <w:r>
        <w:rPr>
          <w:rFonts w:hint="eastAsia" w:ascii="楷体" w:hAnsi="楷体" w:eastAsia="楷体" w:cs="楷体"/>
          <w:highlight w:val="none"/>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项目过程类指标包括资金管理和组织实施两方面的内容，由5个三级指标构成，权重分值为20分，实际得分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w:t>
      </w:r>
      <w:r>
        <w:rPr>
          <w:rFonts w:hint="eastAsia" w:ascii="仿宋_GB2312" w:hAnsi="仿宋_GB2312" w:cs="仿宋_GB2312"/>
          <w:sz w:val="32"/>
          <w:szCs w:val="32"/>
          <w:highlight w:val="none"/>
          <w:lang w:val="en-US" w:eastAsia="zh-CN"/>
        </w:rPr>
        <w:t>400</w:t>
      </w:r>
      <w:r>
        <w:rPr>
          <w:rFonts w:hint="eastAsia" w:ascii="仿宋_GB2312" w:hAnsi="仿宋_GB2312" w:eastAsia="仿宋_GB2312" w:cs="仿宋_GB2312"/>
          <w:sz w:val="32"/>
          <w:szCs w:val="32"/>
          <w:highlight w:val="none"/>
          <w:lang w:val="en-US" w:eastAsia="zh-CN"/>
        </w:rPr>
        <w:t>万元，财政资金</w:t>
      </w:r>
      <w:r>
        <w:rPr>
          <w:rFonts w:hint="eastAsia" w:ascii="仿宋_GB2312" w:hAnsi="仿宋_GB2312" w:cs="仿宋_GB2312"/>
          <w:sz w:val="32"/>
          <w:szCs w:val="32"/>
          <w:highlight w:val="none"/>
          <w:lang w:val="en-US" w:eastAsia="zh-CN"/>
        </w:rPr>
        <w:t>未</w:t>
      </w:r>
      <w:r>
        <w:rPr>
          <w:rFonts w:hint="eastAsia" w:ascii="仿宋_GB2312" w:hAnsi="仿宋_GB2312" w:eastAsia="仿宋_GB2312" w:cs="仿宋_GB2312"/>
          <w:sz w:val="32"/>
          <w:szCs w:val="32"/>
          <w:highlight w:val="none"/>
          <w:lang w:val="en-US" w:eastAsia="zh-CN"/>
        </w:rPr>
        <w:t>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400</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7"/>
        <w:keepNext w:val="0"/>
        <w:keepLines w:val="0"/>
        <w:pageBreakBefore w:val="0"/>
        <w:widowControl w:val="0"/>
        <w:numPr>
          <w:ilvl w:val="0"/>
          <w:numId w:val="0"/>
        </w:numPr>
        <w:kinsoku/>
        <w:wordWrap/>
        <w:overflowPunct/>
        <w:topLinePunct w:val="0"/>
        <w:autoSpaceDE/>
        <w:autoSpaceDN/>
        <w:bidi w:val="0"/>
        <w:adjustRightInd/>
        <w:snapToGrid/>
        <w:textAlignment w:val="auto"/>
        <w:outlineLvl w:val="9"/>
        <w:rPr>
          <w:rFonts w:hint="eastAsia" w:ascii="Times New Roman" w:hAnsi="Times New Roman" w:eastAsia="楷体_GB2312" w:cs="Times New Roman"/>
          <w:b/>
          <w:bCs/>
          <w:kern w:val="2"/>
          <w:sz w:val="32"/>
          <w:szCs w:val="32"/>
          <w:highlight w:val="none"/>
          <w:lang w:val="en-US" w:eastAsia="zh-CN" w:bidi="ar-SA"/>
        </w:rPr>
      </w:pPr>
      <w:bookmarkStart w:id="13" w:name="_Toc68703840"/>
      <w:r>
        <w:rPr>
          <w:rFonts w:hint="eastAsia" w:ascii="Times New Roman" w:hAnsi="Times New Roman" w:eastAsia="楷体_GB2312" w:cs="Times New Roman"/>
          <w:b/>
          <w:bCs/>
          <w:kern w:val="2"/>
          <w:sz w:val="32"/>
          <w:szCs w:val="32"/>
          <w:highlight w:val="none"/>
          <w:lang w:val="en-US" w:eastAsia="zh-CN" w:bidi="ar-SA"/>
        </w:rPr>
        <w:t>（三）项目产出情况</w:t>
      </w:r>
      <w:bookmarkEnd w:id="13"/>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w:t>
      </w:r>
      <w:r>
        <w:rPr>
          <w:rFonts w:hint="eastAsia" w:ascii="仿宋_GB2312" w:hAnsi="仿宋_GB2312" w:cs="仿宋_GB2312"/>
          <w:sz w:val="32"/>
          <w:szCs w:val="32"/>
          <w:highlight w:val="none"/>
          <w:lang w:val="en-US" w:eastAsia="zh-CN"/>
        </w:rPr>
        <w:t>6</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eastAsia"/>
          <w:color w:val="auto"/>
          <w:sz w:val="32"/>
          <w:szCs w:val="32"/>
          <w:highlight w:val="none"/>
        </w:rPr>
        <w:t>指标1：霍尔果斯市核酸检测中心建设项目</w:t>
      </w:r>
      <w:r>
        <w:rPr>
          <w:rFonts w:hint="eastAsia"/>
          <w:color w:val="auto"/>
          <w:sz w:val="32"/>
          <w:szCs w:val="32"/>
          <w:highlight w:val="none"/>
          <w:lang w:eastAsia="zh-CN"/>
        </w:rPr>
        <w:t>（数）</w:t>
      </w:r>
      <w:r>
        <w:rPr>
          <w:rFonts w:hint="eastAsia"/>
          <w:color w:val="auto"/>
          <w:sz w:val="32"/>
          <w:szCs w:val="32"/>
          <w:highlight w:val="none"/>
        </w:rPr>
        <w:t>，指标值：</w:t>
      </w:r>
      <w:r>
        <w:rPr>
          <w:rFonts w:hint="eastAsia"/>
          <w:color w:val="auto"/>
          <w:sz w:val="32"/>
          <w:szCs w:val="32"/>
          <w:highlight w:val="none"/>
          <w:lang w:eastAsia="zh-CN"/>
        </w:rPr>
        <w:t>＝</w:t>
      </w:r>
      <w:r>
        <w:rPr>
          <w:rFonts w:hint="eastAsia"/>
          <w:color w:val="auto"/>
          <w:sz w:val="32"/>
          <w:szCs w:val="32"/>
          <w:highlight w:val="none"/>
          <w:lang w:val="en-US" w:eastAsia="zh-CN"/>
        </w:rPr>
        <w:t>1个</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1个</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val="en-US"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highlight w:val="none"/>
          <w:lang w:eastAsia="zh-CN"/>
        </w:rPr>
      </w:pPr>
      <w:r>
        <w:rPr>
          <w:rFonts w:hint="eastAsia"/>
          <w:color w:val="auto"/>
          <w:sz w:val="32"/>
          <w:szCs w:val="32"/>
          <w:highlight w:val="none"/>
        </w:rPr>
        <w:t>指标2：核酸检测中心建设项目建筑面积，指标值</w:t>
      </w:r>
      <w:r>
        <w:rPr>
          <w:rFonts w:hint="eastAsia"/>
          <w:color w:val="auto"/>
          <w:sz w:val="32"/>
          <w:szCs w:val="32"/>
          <w:highlight w:val="none"/>
          <w:lang w:eastAsia="zh-CN"/>
        </w:rPr>
        <w:t>：</w:t>
      </w:r>
      <w:r>
        <w:rPr>
          <w:rFonts w:hint="eastAsia"/>
          <w:color w:val="auto"/>
          <w:sz w:val="32"/>
          <w:szCs w:val="32"/>
          <w:highlight w:val="none"/>
        </w:rPr>
        <w:t>=</w:t>
      </w:r>
      <w:r>
        <w:rPr>
          <w:rFonts w:hint="eastAsia"/>
          <w:color w:val="auto"/>
          <w:sz w:val="32"/>
          <w:szCs w:val="32"/>
          <w:highlight w:val="none"/>
          <w:lang w:val="en-US" w:eastAsia="zh-CN"/>
        </w:rPr>
        <w:t xml:space="preserve"> </w:t>
      </w:r>
      <w:r>
        <w:rPr>
          <w:rFonts w:hint="eastAsia"/>
          <w:color w:val="auto"/>
          <w:sz w:val="32"/>
          <w:szCs w:val="32"/>
          <w:highlight w:val="none"/>
        </w:rPr>
        <w:t>4425.23平方米</w:t>
      </w:r>
      <w:r>
        <w:rPr>
          <w:rFonts w:hint="eastAsia"/>
          <w:color w:val="auto"/>
          <w:sz w:val="32"/>
          <w:szCs w:val="32"/>
          <w:highlight w:val="none"/>
          <w:lang w:eastAsia="zh-CN"/>
        </w:rPr>
        <w:t>，</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rPr>
        <w:t>4425.23平方米，指标完成率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eastAsia"/>
          <w:color w:val="auto"/>
          <w:sz w:val="32"/>
          <w:szCs w:val="32"/>
          <w:highlight w:val="none"/>
        </w:rPr>
        <w:t>指标1：竣工验收合格率（%）</w:t>
      </w:r>
      <w:r>
        <w:rPr>
          <w:rFonts w:hint="eastAsia"/>
          <w:color w:val="auto"/>
          <w:sz w:val="32"/>
          <w:szCs w:val="32"/>
          <w:highlight w:val="none"/>
          <w:lang w:eastAsia="zh-CN"/>
        </w:rPr>
        <w:t>，</w:t>
      </w:r>
      <w:r>
        <w:rPr>
          <w:rFonts w:hint="eastAsia"/>
          <w:color w:val="auto"/>
          <w:sz w:val="32"/>
          <w:szCs w:val="32"/>
          <w:highlight w:val="none"/>
        </w:rPr>
        <w:t>指标值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lang w:eastAsia="zh-CN"/>
        </w:rPr>
        <w:t>，</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lang w:eastAsia="zh-CN"/>
        </w:rPr>
        <w:t>，</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eastAsia"/>
          <w:color w:val="auto"/>
          <w:sz w:val="32"/>
          <w:szCs w:val="32"/>
          <w:highlight w:val="none"/>
        </w:rPr>
        <w:t>指标2：</w:t>
      </w:r>
      <w:r>
        <w:rPr>
          <w:rFonts w:hint="eastAsia"/>
          <w:color w:val="auto"/>
          <w:sz w:val="32"/>
          <w:szCs w:val="32"/>
          <w:highlight w:val="none"/>
          <w:lang w:eastAsia="zh-CN"/>
        </w:rPr>
        <w:t>资金支付率，</w:t>
      </w:r>
      <w:r>
        <w:rPr>
          <w:rFonts w:hint="eastAsia"/>
          <w:color w:val="auto"/>
          <w:sz w:val="32"/>
          <w:szCs w:val="32"/>
          <w:highlight w:val="none"/>
        </w:rPr>
        <w:t>指标值：</w:t>
      </w:r>
      <w:r>
        <w:rPr>
          <w:rFonts w:hint="eastAsia"/>
          <w:color w:val="auto"/>
          <w:sz w:val="32"/>
          <w:szCs w:val="32"/>
          <w:highlight w:val="none"/>
          <w:lang w:val="en-US" w:eastAsia="zh-CN"/>
        </w:rPr>
        <w:t>=100%</w:t>
      </w:r>
      <w:r>
        <w:rPr>
          <w:rFonts w:hint="eastAsia"/>
          <w:color w:val="auto"/>
          <w:sz w:val="32"/>
          <w:szCs w:val="32"/>
          <w:highlight w:val="none"/>
          <w:lang w:eastAsia="zh-CN"/>
        </w:rPr>
        <w:t>，</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lang w:eastAsia="zh-CN"/>
        </w:rPr>
        <w:t>　</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highlight w:val="none"/>
          <w:lang w:eastAsia="zh-CN"/>
        </w:rPr>
      </w:pPr>
      <w:r>
        <w:rPr>
          <w:rFonts w:hint="eastAsia"/>
          <w:color w:val="auto"/>
          <w:sz w:val="32"/>
          <w:szCs w:val="32"/>
          <w:highlight w:val="none"/>
        </w:rPr>
        <w:t>指标</w:t>
      </w:r>
      <w:r>
        <w:rPr>
          <w:rFonts w:hint="eastAsia"/>
          <w:color w:val="auto"/>
          <w:sz w:val="32"/>
          <w:szCs w:val="32"/>
          <w:highlight w:val="none"/>
          <w:lang w:val="en-US" w:eastAsia="zh-CN"/>
        </w:rPr>
        <w:t>3</w:t>
      </w:r>
      <w:r>
        <w:rPr>
          <w:rFonts w:hint="eastAsia"/>
          <w:color w:val="auto"/>
          <w:sz w:val="32"/>
          <w:szCs w:val="32"/>
          <w:highlight w:val="none"/>
        </w:rPr>
        <w:t>：设计变更率，指标值：≤</w:t>
      </w:r>
      <w:r>
        <w:rPr>
          <w:rFonts w:hint="eastAsia"/>
          <w:color w:val="auto"/>
          <w:sz w:val="32"/>
          <w:szCs w:val="32"/>
          <w:highlight w:val="none"/>
          <w:lang w:val="en-US" w:eastAsia="zh-CN"/>
        </w:rPr>
        <w:t>5%</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0%</w:t>
      </w:r>
      <w:r>
        <w:rPr>
          <w:rFonts w:hint="eastAsia"/>
          <w:color w:val="auto"/>
          <w:sz w:val="32"/>
          <w:szCs w:val="32"/>
          <w:highlight w:val="none"/>
        </w:rPr>
        <w:t>，指标完成率</w:t>
      </w:r>
      <w:r>
        <w:rPr>
          <w:rFonts w:hint="eastAsia" w:ascii="Times New Roman" w:hAnsi="Times New Roman" w:cs="Times New Roman"/>
          <w:color w:val="auto"/>
          <w:sz w:val="32"/>
          <w:szCs w:val="32"/>
          <w:highlight w:val="none"/>
          <w:lang w:val="en-US" w:eastAsia="zh-CN"/>
        </w:rPr>
        <w:t>100%。</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bookmarkStart w:id="14" w:name="_Toc68703841"/>
      <w:r>
        <w:rPr>
          <w:rFonts w:hint="eastAsia" w:ascii="Times New Roman" w:hAnsi="Times New Roman" w:cs="Times New Roman"/>
          <w:color w:val="auto"/>
          <w:sz w:val="32"/>
          <w:szCs w:val="32"/>
          <w:highlight w:val="none"/>
          <w:lang w:eastAsia="zh-CN"/>
        </w:rPr>
        <w:t>指标</w:t>
      </w:r>
      <w:r>
        <w:rPr>
          <w:rFonts w:hint="eastAsia" w:ascii="Times New Roman" w:hAnsi="Times New Roman" w:cs="Times New Roman"/>
          <w:color w:val="auto"/>
          <w:sz w:val="32"/>
          <w:szCs w:val="32"/>
          <w:highlight w:val="none"/>
          <w:lang w:val="en-US" w:eastAsia="zh-CN"/>
        </w:rPr>
        <w:t>1：</w:t>
      </w:r>
      <w:r>
        <w:rPr>
          <w:rFonts w:hint="eastAsia" w:ascii="Times New Roman" w:hAnsi="Times New Roman" w:cs="Times New Roman"/>
          <w:color w:val="auto"/>
          <w:sz w:val="32"/>
          <w:szCs w:val="32"/>
          <w:highlight w:val="none"/>
        </w:rPr>
        <w:t>项目按时完工率</w:t>
      </w:r>
      <w:r>
        <w:rPr>
          <w:rFonts w:hint="eastAsia" w:ascii="Times New Roman" w:hAnsi="Times New Roman" w:cs="Times New Roman"/>
          <w:color w:val="auto"/>
          <w:sz w:val="32"/>
          <w:szCs w:val="32"/>
          <w:highlight w:val="none"/>
          <w:lang w:val="en-US" w:eastAsia="zh-CN"/>
        </w:rPr>
        <w:t>,</w:t>
      </w:r>
      <w:r>
        <w:rPr>
          <w:rFonts w:hint="eastAsia"/>
          <w:color w:val="auto"/>
          <w:sz w:val="32"/>
          <w:szCs w:val="32"/>
          <w:highlight w:val="none"/>
        </w:rPr>
        <w:t>指标值：</w:t>
      </w:r>
      <w:r>
        <w:rPr>
          <w:rFonts w:hint="eastAsia"/>
          <w:color w:val="auto"/>
          <w:sz w:val="32"/>
          <w:szCs w:val="32"/>
          <w:highlight w:val="none"/>
          <w:lang w:val="en-US" w:eastAsia="zh-CN"/>
        </w:rPr>
        <w:t>=100%</w:t>
      </w:r>
      <w:r>
        <w:rPr>
          <w:rFonts w:hint="eastAsia"/>
          <w:color w:val="auto"/>
          <w:sz w:val="32"/>
          <w:szCs w:val="32"/>
          <w:highlight w:val="none"/>
          <w:lang w:eastAsia="zh-CN"/>
        </w:rPr>
        <w:t>，</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lang w:eastAsia="zh-CN"/>
        </w:rPr>
        <w:t>，</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highlight w:val="none"/>
          <w:lang w:val="en-US" w:eastAsia="zh-CN" w:bidi="ar-SA"/>
        </w:rPr>
      </w:pPr>
      <w:r>
        <w:rPr>
          <w:rFonts w:hint="eastAsia" w:ascii="Times New Roman" w:hAnsi="Times New Roman" w:eastAsia="楷体_GB2312" w:cs="Times New Roman"/>
          <w:b/>
          <w:bCs/>
          <w:kern w:val="2"/>
          <w:sz w:val="32"/>
          <w:szCs w:val="32"/>
          <w:highlight w:val="none"/>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highlight w:val="none"/>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指标1：项目受益人群数，指标值：≥2万人，实际完成值：2万人，指标完成率100%</w:t>
      </w:r>
      <w:r>
        <w:rPr>
          <w:rFonts w:hint="eastAsia" w:ascii="仿宋_GB2312" w:hAnsi="仿宋_GB2312" w:cs="仿宋_GB2312"/>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指标2：项目正常运转率，指标值：=100%，实际完成值：100%　，指标完成率100</w:t>
      </w:r>
      <w:r>
        <w:rPr>
          <w:rFonts w:hint="eastAsia" w:ascii="仿宋_GB2312" w:hAnsi="仿宋_GB2312" w:cs="仿宋_GB2312"/>
          <w:kern w:val="2"/>
          <w:sz w:val="32"/>
          <w:szCs w:val="32"/>
          <w:highlight w:val="none"/>
          <w:lang w:val="en-US" w:eastAsia="zh-CN" w:bidi="ar-SA"/>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指标1：</w:t>
      </w:r>
      <w:r>
        <w:rPr>
          <w:rFonts w:hint="eastAsia" w:ascii="仿宋_GB2312" w:hAnsi="仿宋_GB2312" w:eastAsia="仿宋_GB2312" w:cs="仿宋_GB2312"/>
          <w:sz w:val="32"/>
          <w:szCs w:val="32"/>
          <w:highlight w:val="none"/>
          <w:lang w:val="en-US" w:eastAsia="zh-CN"/>
        </w:rPr>
        <w:t>受益群众满意度（%），指标值：&gt;=95%，实际完成值100%，标完成率105</w:t>
      </w:r>
      <w:r>
        <w:rPr>
          <w:rFonts w:hint="eastAsia" w:ascii="仿宋_GB2312" w:hAnsi="仿宋_GB2312" w:cs="仿宋_GB2312"/>
          <w:sz w:val="32"/>
          <w:szCs w:val="32"/>
          <w:highlight w:val="none"/>
          <w:lang w:val="en-US" w:eastAsia="zh-CN"/>
        </w:rPr>
        <w:t>.26</w:t>
      </w:r>
      <w:r>
        <w:rPr>
          <w:rFonts w:hint="eastAsia" w:ascii="仿宋_GB2312" w:hAnsi="仿宋_GB2312" w:eastAsia="仿宋_GB2312" w:cs="仿宋_GB2312"/>
          <w:sz w:val="32"/>
          <w:szCs w:val="32"/>
          <w:highlight w:val="none"/>
          <w:lang w:val="en-US" w:eastAsia="zh-CN"/>
        </w:rPr>
        <w:t>%；实际满意度大于年初预期值。</w:t>
      </w:r>
    </w:p>
    <w:p>
      <w:pPr>
        <w:spacing w:line="560" w:lineRule="exact"/>
        <w:rPr>
          <w:rFonts w:hint="eastAsia" w:ascii="Times New Roman" w:hAnsi="Times New Roman" w:eastAsia="黑体" w:cs="Times New Roman"/>
          <w:sz w:val="32"/>
          <w:szCs w:val="32"/>
          <w:highlight w:val="none"/>
          <w:lang w:eastAsia="zh-Hans"/>
        </w:rPr>
      </w:pPr>
      <w:r>
        <w:rPr>
          <w:rFonts w:hint="eastAsia" w:ascii="Times New Roman" w:hAnsi="Times New Roman" w:eastAsia="黑体" w:cs="Times New Roman"/>
          <w:sz w:val="32"/>
          <w:szCs w:val="32"/>
          <w:highlight w:val="none"/>
          <w:lang w:eastAsia="zh-Hans"/>
        </w:rPr>
        <w:t>五、预算执行进度与绩效指标总体完成率偏差</w:t>
      </w:r>
    </w:p>
    <w:p>
      <w:pPr>
        <w:pStyle w:val="22"/>
        <w:spacing w:line="560" w:lineRule="exact"/>
        <w:ind w:firstLine="640"/>
        <w:rPr>
          <w:highlight w:val="none"/>
        </w:rPr>
      </w:pPr>
      <w:r>
        <w:rPr>
          <w:rFonts w:hint="eastAsia" w:ascii="仿宋_GB2312" w:hAnsi="仿宋_GB2312" w:cs="仿宋_GB2312"/>
          <w:color w:val="auto"/>
          <w:kern w:val="2"/>
          <w:sz w:val="32"/>
          <w:szCs w:val="32"/>
          <w:highlight w:val="none"/>
          <w:lang w:val="en-US" w:eastAsia="zh-CN" w:bidi="ar-SA"/>
        </w:rPr>
        <w:t>霍尔果斯市核酸检测中心建设</w:t>
      </w:r>
      <w:r>
        <w:rPr>
          <w:rFonts w:hint="eastAsia" w:ascii="仿宋_GB2312" w:hAnsi="仿宋_GB2312" w:eastAsia="仿宋_GB2312" w:cs="仿宋_GB2312"/>
          <w:color w:val="auto"/>
          <w:kern w:val="2"/>
          <w:sz w:val="32"/>
          <w:szCs w:val="32"/>
          <w:highlight w:val="none"/>
          <w:lang w:val="en-US" w:eastAsia="zh-CN" w:bidi="ar-SA"/>
        </w:rPr>
        <w:t>项目年初预算</w:t>
      </w:r>
      <w:r>
        <w:rPr>
          <w:rFonts w:hint="eastAsia" w:ascii="仿宋_GB2312" w:hAnsi="仿宋_GB2312" w:cs="仿宋_GB2312"/>
          <w:color w:val="auto"/>
          <w:kern w:val="2"/>
          <w:sz w:val="32"/>
          <w:szCs w:val="32"/>
          <w:highlight w:val="none"/>
          <w:lang w:val="en-US" w:eastAsia="zh-CN" w:bidi="ar-SA"/>
        </w:rPr>
        <w:t>400</w:t>
      </w:r>
      <w:r>
        <w:rPr>
          <w:rFonts w:hint="eastAsia" w:ascii="仿宋_GB2312" w:hAnsi="仿宋_GB2312" w:eastAsia="仿宋_GB2312" w:cs="仿宋_GB2312"/>
          <w:color w:val="auto"/>
          <w:kern w:val="2"/>
          <w:sz w:val="32"/>
          <w:szCs w:val="32"/>
          <w:highlight w:val="none"/>
          <w:lang w:val="en-US" w:eastAsia="zh-CN" w:bidi="ar-SA"/>
        </w:rPr>
        <w:t>万元，全年预算</w:t>
      </w:r>
      <w:r>
        <w:rPr>
          <w:rFonts w:hint="eastAsia" w:ascii="仿宋_GB2312" w:hAnsi="仿宋_GB2312" w:cs="仿宋_GB2312"/>
          <w:color w:val="auto"/>
          <w:kern w:val="2"/>
          <w:sz w:val="32"/>
          <w:szCs w:val="32"/>
          <w:highlight w:val="none"/>
          <w:lang w:val="en-US" w:eastAsia="zh-CN" w:bidi="ar-SA"/>
        </w:rPr>
        <w:t>400</w:t>
      </w:r>
      <w:r>
        <w:rPr>
          <w:rFonts w:hint="eastAsia" w:ascii="仿宋_GB2312" w:hAnsi="仿宋_GB2312" w:eastAsia="仿宋_GB2312" w:cs="仿宋_GB2312"/>
          <w:color w:val="auto"/>
          <w:kern w:val="2"/>
          <w:sz w:val="32"/>
          <w:szCs w:val="32"/>
          <w:highlight w:val="none"/>
          <w:lang w:val="en-US" w:eastAsia="zh-CN" w:bidi="ar-SA"/>
        </w:rPr>
        <w:t>万元，实际支出</w:t>
      </w:r>
      <w:r>
        <w:rPr>
          <w:rFonts w:hint="eastAsia" w:ascii="仿宋_GB2312" w:hAnsi="仿宋_GB2312" w:cs="仿宋_GB2312"/>
          <w:color w:val="auto"/>
          <w:kern w:val="2"/>
          <w:sz w:val="32"/>
          <w:szCs w:val="32"/>
          <w:highlight w:val="none"/>
          <w:lang w:val="en-US" w:eastAsia="zh-CN" w:bidi="ar-SA"/>
        </w:rPr>
        <w:t>400</w:t>
      </w:r>
      <w:r>
        <w:rPr>
          <w:rFonts w:hint="eastAsia" w:ascii="仿宋_GB2312" w:hAnsi="仿宋_GB2312" w:eastAsia="仿宋_GB2312" w:cs="仿宋_GB2312"/>
          <w:color w:val="auto"/>
          <w:kern w:val="2"/>
          <w:sz w:val="32"/>
          <w:szCs w:val="32"/>
          <w:highlight w:val="none"/>
          <w:lang w:val="en-US" w:eastAsia="zh-CN" w:bidi="ar-SA"/>
        </w:rPr>
        <w:t>万元，预算执行率为</w:t>
      </w:r>
      <w:r>
        <w:rPr>
          <w:rFonts w:hint="eastAsia" w:ascii="仿宋_GB2312" w:hAnsi="仿宋_GB2312" w:cs="仿宋_GB2312"/>
          <w:color w:val="auto"/>
          <w:kern w:val="2"/>
          <w:sz w:val="32"/>
          <w:szCs w:val="32"/>
          <w:highlight w:val="none"/>
          <w:lang w:val="en-US" w:eastAsia="zh-CN" w:bidi="ar-SA"/>
        </w:rPr>
        <w:t>100</w:t>
      </w:r>
      <w:r>
        <w:rPr>
          <w:rFonts w:hint="eastAsia" w:ascii="仿宋_GB2312" w:hAnsi="仿宋_GB2312" w:eastAsia="仿宋_GB2312" w:cs="仿宋_GB2312"/>
          <w:color w:val="auto"/>
          <w:kern w:val="2"/>
          <w:sz w:val="32"/>
          <w:szCs w:val="32"/>
          <w:highlight w:val="none"/>
          <w:lang w:val="en-US" w:eastAsia="zh-CN" w:bidi="ar-SA"/>
        </w:rPr>
        <w:t>%，项目绩效指标总体完成率为</w:t>
      </w:r>
      <w:r>
        <w:rPr>
          <w:rFonts w:hint="eastAsia" w:ascii="仿宋_GB2312" w:hAnsi="仿宋_GB2312" w:cs="仿宋_GB2312"/>
          <w:color w:val="auto"/>
          <w:kern w:val="2"/>
          <w:sz w:val="32"/>
          <w:szCs w:val="32"/>
          <w:highlight w:val="none"/>
          <w:lang w:val="en-US" w:eastAsia="zh-CN" w:bidi="ar-SA"/>
        </w:rPr>
        <w:t>100.56</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Hans" w:bidi="ar-SA"/>
        </w:rPr>
        <w:t>总体</w:t>
      </w:r>
      <w:r>
        <w:rPr>
          <w:rFonts w:hint="eastAsia" w:ascii="仿宋_GB2312" w:hAnsi="仿宋_GB2312" w:eastAsia="仿宋_GB2312" w:cs="仿宋_GB2312"/>
          <w:color w:val="auto"/>
          <w:kern w:val="2"/>
          <w:sz w:val="32"/>
          <w:szCs w:val="32"/>
          <w:highlight w:val="none"/>
          <w:lang w:val="en-US" w:eastAsia="zh-CN" w:bidi="ar-SA"/>
        </w:rPr>
        <w:t>偏差率为</w:t>
      </w:r>
      <w:r>
        <w:rPr>
          <w:rFonts w:hint="eastAsia" w:ascii="仿宋_GB2312" w:hAnsi="仿宋_GB2312" w:cs="仿宋_GB2312"/>
          <w:color w:val="auto"/>
          <w:kern w:val="2"/>
          <w:sz w:val="32"/>
          <w:szCs w:val="32"/>
          <w:highlight w:val="none"/>
          <w:lang w:val="en-US" w:eastAsia="zh-CN" w:bidi="ar-SA"/>
        </w:rPr>
        <w:t>0.56</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cs="仿宋_GB2312"/>
          <w:color w:val="auto"/>
          <w:kern w:val="2"/>
          <w:sz w:val="32"/>
          <w:szCs w:val="32"/>
          <w:highlight w:val="none"/>
          <w:lang w:val="en-US" w:eastAsia="zh-CN" w:bidi="ar-SA"/>
        </w:rPr>
        <w:t>。偏差原因：项目已验收完成项目受益人员满意度较高。</w:t>
      </w:r>
    </w:p>
    <w:p>
      <w:pPr>
        <w:spacing w:line="560" w:lineRule="exact"/>
        <w:rPr>
          <w:rFonts w:hint="eastAsia" w:ascii="Times New Roman" w:hAnsi="Times New Roman" w:eastAsia="黑体" w:cs="Times New Roman"/>
          <w:bCs/>
          <w:sz w:val="32"/>
          <w:szCs w:val="32"/>
          <w:highlight w:val="none"/>
          <w:lang w:val="en-US" w:eastAsia="zh-CN"/>
        </w:rPr>
      </w:pPr>
      <w:bookmarkStart w:id="15" w:name="_Toc68703842"/>
      <w:r>
        <w:rPr>
          <w:rFonts w:hint="eastAsia" w:eastAsia="黑体" w:cs="Times New Roman"/>
          <w:bCs/>
          <w:sz w:val="32"/>
          <w:szCs w:val="32"/>
          <w:highlight w:val="none"/>
          <w:lang w:val="en-US" w:eastAsia="zh-CN"/>
        </w:rPr>
        <w:t>六</w:t>
      </w:r>
      <w:r>
        <w:rPr>
          <w:rFonts w:hint="eastAsia" w:ascii="Times New Roman" w:hAnsi="Times New Roman" w:eastAsia="黑体" w:cs="Times New Roman"/>
          <w:bCs/>
          <w:sz w:val="32"/>
          <w:szCs w:val="32"/>
          <w:highlight w:val="none"/>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highlight w:val="none"/>
          <w:lang w:val="en-US" w:eastAsia="zh-CN" w:bidi="ar-SA"/>
        </w:rPr>
      </w:pPr>
      <w:bookmarkStart w:id="16" w:name="_Toc68703843"/>
      <w:r>
        <w:rPr>
          <w:rFonts w:hint="eastAsia" w:ascii="Times New Roman" w:hAnsi="Times New Roman" w:eastAsia="楷体_GB2312" w:cs="Times New Roman"/>
          <w:b/>
          <w:bCs/>
          <w:kern w:val="2"/>
          <w:sz w:val="32"/>
          <w:szCs w:val="32"/>
          <w:highlight w:val="none"/>
          <w:lang w:val="en-US" w:eastAsia="zh-CN" w:bidi="ar-SA"/>
        </w:rPr>
        <w:t>（一）主要经验及做法</w:t>
      </w:r>
      <w:bookmarkEnd w:id="16"/>
    </w:p>
    <w:p>
      <w:pPr>
        <w:spacing w:line="56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2"/>
        <w:pageBreakBefore w:val="0"/>
        <w:kinsoku/>
        <w:wordWrap/>
        <w:overflowPunct/>
        <w:topLinePunct w:val="0"/>
        <w:autoSpaceDE/>
        <w:autoSpaceDN/>
        <w:bidi w:val="0"/>
        <w:adjustRightInd/>
        <w:snapToGrid/>
        <w:spacing w:before="0" w:after="0" w:line="560" w:lineRule="exact"/>
        <w:ind w:firstLine="640" w:firstLineChars="200"/>
        <w:jc w:val="left"/>
        <w:textAlignment w:val="auto"/>
        <w:outlineLvl w:val="9"/>
        <w:rPr>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highlight w:val="none"/>
          <w:lang w:val="en-US" w:eastAsia="zh-CN" w:bidi="ar-SA"/>
        </w:rPr>
      </w:pPr>
      <w:bookmarkStart w:id="17" w:name="_Toc68703844"/>
      <w:r>
        <w:rPr>
          <w:rFonts w:hint="eastAsia" w:ascii="Times New Roman" w:hAnsi="Times New Roman" w:eastAsia="楷体_GB2312" w:cs="Times New Roman"/>
          <w:b/>
          <w:bCs/>
          <w:kern w:val="2"/>
          <w:sz w:val="32"/>
          <w:szCs w:val="32"/>
          <w:highlight w:val="none"/>
          <w:lang w:val="en-US" w:eastAsia="zh-CN" w:bidi="ar-SA"/>
        </w:rPr>
        <w:t>（二）存在的问题及原因分析</w:t>
      </w:r>
      <w:bookmarkEnd w:id="17"/>
      <w:r>
        <w:rPr>
          <w:rFonts w:hint="eastAsia" w:ascii="Times New Roman" w:hAnsi="Times New Roman" w:eastAsia="楷体_GB2312" w:cs="Times New Roman"/>
          <w:b/>
          <w:bCs/>
          <w:kern w:val="2"/>
          <w:sz w:val="32"/>
          <w:szCs w:val="32"/>
          <w:highlight w:val="none"/>
          <w:lang w:val="en-US" w:eastAsia="zh-CN" w:bidi="ar-SA"/>
        </w:rPr>
        <w:t>　</w:t>
      </w:r>
    </w:p>
    <w:p>
      <w:pPr>
        <w:pageBreakBefore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highlight w:val="none"/>
          <w:lang w:val="en-US" w:eastAsia="zh-CN" w:bidi="ar-SA"/>
        </w:rPr>
      </w:pPr>
      <w:bookmarkStart w:id="18" w:name="_Toc68703845"/>
      <w:r>
        <w:rPr>
          <w:rFonts w:hint="eastAsia" w:eastAsia="黑体" w:cs="Times New Roman"/>
          <w:b w:val="0"/>
          <w:bCs/>
          <w:kern w:val="2"/>
          <w:sz w:val="32"/>
          <w:szCs w:val="32"/>
          <w:highlight w:val="none"/>
          <w:lang w:val="en-US" w:eastAsia="zh-CN" w:bidi="ar-SA"/>
        </w:rPr>
        <w:t>七</w:t>
      </w:r>
      <w:r>
        <w:rPr>
          <w:rFonts w:hint="eastAsia" w:ascii="Times New Roman" w:hAnsi="Times New Roman" w:eastAsia="黑体" w:cs="Times New Roman"/>
          <w:b w:val="0"/>
          <w:bCs/>
          <w:kern w:val="2"/>
          <w:sz w:val="32"/>
          <w:szCs w:val="32"/>
          <w:highlight w:val="none"/>
          <w:lang w:val="en-US" w:eastAsia="zh-CN" w:bidi="ar-SA"/>
        </w:rPr>
        <w:t>、有关建议</w:t>
      </w:r>
      <w:bookmarkEnd w:id="18"/>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highlight w:val="none"/>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highlight w:val="none"/>
        </w:rPr>
        <w:t>。</w:t>
      </w:r>
    </w:p>
    <w:p>
      <w:pPr>
        <w:shd w:val="clear"/>
        <w:spacing w:line="600" w:lineRule="exact"/>
        <w:ind w:firstLine="640" w:firstLineChars="200"/>
        <w:outlineLvl w:val="0"/>
        <w:rPr>
          <w:highlight w:val="none"/>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4"/>
        <w:pageBreakBefore w:val="0"/>
        <w:widowControl w:val="0"/>
        <w:kinsoku/>
        <w:wordWrap/>
        <w:overflowPunct/>
        <w:topLinePunct w:val="0"/>
        <w:autoSpaceDE/>
        <w:autoSpaceDN/>
        <w:bidi w:val="0"/>
        <w:adjustRightInd/>
        <w:snapToGrid/>
        <w:spacing w:line="560" w:lineRule="exact"/>
        <w:textAlignment w:val="auto"/>
        <w:rPr>
          <w:rFonts w:ascii="宋体" w:hAnsi="宋体" w:eastAsia="宋体"/>
          <w:sz w:val="32"/>
          <w:szCs w:val="32"/>
          <w:highlight w:val="none"/>
        </w:rPr>
      </w:pPr>
      <w:bookmarkStart w:id="19" w:name="_Toc68703846"/>
      <w:r>
        <w:rPr>
          <w:rFonts w:hint="eastAsia" w:ascii="宋体" w:hAnsi="宋体" w:eastAsia="宋体"/>
          <w:sz w:val="32"/>
          <w:szCs w:val="32"/>
          <w:highlight w:val="none"/>
          <w:lang w:eastAsia="zh-CN"/>
        </w:rPr>
        <w:t>八</w:t>
      </w:r>
      <w:r>
        <w:rPr>
          <w:rFonts w:hint="eastAsia" w:ascii="宋体" w:hAnsi="宋体" w:eastAsia="宋体"/>
          <w:sz w:val="32"/>
          <w:szCs w:val="32"/>
          <w:highlight w:val="none"/>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rFonts w:hint="eastAsia" w:eastAsia="仿宋_GB2312"/>
          <w:color w:val="FF0000"/>
          <w:sz w:val="32"/>
          <w:szCs w:val="32"/>
          <w:highlight w:val="none"/>
          <w:lang w:eastAsia="zh-CN"/>
        </w:rPr>
      </w:pPr>
      <w:r>
        <w:rPr>
          <w:rFonts w:hint="eastAsia" w:ascii="仿宋_GB2312" w:hAnsi="仿宋_GB2312" w:cs="仿宋_GB2312"/>
          <w:sz w:val="32"/>
          <w:szCs w:val="32"/>
          <w:highlight w:val="none"/>
          <w:lang w:eastAsia="zh-CN"/>
        </w:rPr>
        <w:t>　</w:t>
      </w:r>
      <w:r>
        <w:rPr>
          <w:rFonts w:hint="eastAsia" w:ascii="仿宋_GB2312" w:hAnsi="仿宋_GB2312" w:eastAsia="仿宋_GB2312" w:cs="仿宋_GB2312"/>
          <w:sz w:val="32"/>
          <w:szCs w:val="32"/>
          <w:highlight w:val="none"/>
          <w:lang w:eastAsia="zh-Hans"/>
        </w:rPr>
        <w:t>本项目无其他需说明的问题</w:t>
      </w:r>
      <w:r>
        <w:rPr>
          <w:rFonts w:hint="eastAsia" w:ascii="仿宋_GB2312" w:hAnsi="仿宋_GB2312" w:cs="仿宋_GB2312"/>
          <w:sz w:val="32"/>
          <w:szCs w:val="32"/>
          <w:highlight w:val="none"/>
          <w:lang w:eastAsia="zh-CN"/>
        </w:rPr>
        <w:t>。</w:t>
      </w:r>
    </w:p>
    <w:p>
      <w:pPr>
        <w:pStyle w:val="12"/>
        <w:jc w:val="both"/>
        <w:rPr>
          <w:highlight w:val="none"/>
        </w:rPr>
      </w:pPr>
      <w:bookmarkStart w:id="31" w:name="_GoBack"/>
      <w:bookmarkEnd w:id="31"/>
    </w:p>
    <w:p>
      <w:pPr>
        <w:rPr>
          <w:highlight w:val="none"/>
        </w:rPr>
      </w:pPr>
    </w:p>
    <w:tbl>
      <w:tblPr>
        <w:tblStyle w:val="13"/>
        <w:tblW w:w="8834" w:type="dxa"/>
        <w:tblInd w:w="0" w:type="dxa"/>
        <w:tblLayout w:type="fixed"/>
        <w:tblCellMar>
          <w:top w:w="0" w:type="dxa"/>
          <w:left w:w="0" w:type="dxa"/>
          <w:bottom w:w="0" w:type="dxa"/>
          <w:right w:w="0" w:type="dxa"/>
        </w:tblCellMar>
      </w:tblPr>
      <w:tblGrid>
        <w:gridCol w:w="694"/>
        <w:gridCol w:w="695"/>
        <w:gridCol w:w="695"/>
        <w:gridCol w:w="695"/>
        <w:gridCol w:w="647"/>
        <w:gridCol w:w="405"/>
        <w:gridCol w:w="966"/>
        <w:gridCol w:w="859"/>
        <w:gridCol w:w="560"/>
        <w:gridCol w:w="502"/>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highlight w:val="none"/>
                <w:u w:val="singl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项目名称</w:t>
            </w:r>
          </w:p>
        </w:tc>
        <w:tc>
          <w:tcPr>
            <w:tcW w:w="7445"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eastAsia="zh-CN" w:bidi="ar"/>
              </w:rPr>
            </w:pPr>
            <w:r>
              <w:rPr>
                <w:rFonts w:hint="eastAsia" w:ascii="宋体" w:hAnsi="宋体" w:eastAsia="宋体" w:cs="宋体"/>
                <w:i w:val="0"/>
                <w:iCs w:val="0"/>
                <w:color w:val="000000"/>
                <w:kern w:val="0"/>
                <w:sz w:val="20"/>
                <w:szCs w:val="20"/>
                <w:u w:val="none"/>
                <w:lang w:val="en-US" w:eastAsia="zh-CN" w:bidi="ar"/>
              </w:rPr>
              <w:t>霍尔果斯市核酸检测中心建设项目</w:t>
            </w:r>
          </w:p>
        </w:tc>
      </w:tr>
      <w:tr>
        <w:tblPrEx>
          <w:tblLayout w:type="fixed"/>
          <w:tblCellMar>
            <w:top w:w="0" w:type="dxa"/>
            <w:left w:w="0" w:type="dxa"/>
            <w:bottom w:w="0" w:type="dxa"/>
            <w:right w:w="0" w:type="dxa"/>
          </w:tblCellMar>
        </w:tblPrEx>
        <w:trPr>
          <w:trHeight w:val="276" w:hRule="atLeast"/>
        </w:trPr>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主管部门</w:t>
            </w:r>
          </w:p>
        </w:tc>
        <w:tc>
          <w:tcPr>
            <w:tcW w:w="340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霍尔果斯市卫生健康委员会</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20"/>
                <w:szCs w:val="20"/>
                <w:u w:val="none"/>
                <w:lang w:val="en-US" w:eastAsia="zh-CN" w:bidi="ar"/>
              </w:rPr>
              <w:t>实施单位</w:t>
            </w:r>
          </w:p>
        </w:tc>
        <w:tc>
          <w:tcPr>
            <w:tcW w:w="261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霍尔果斯市卫生健康委员会</w:t>
            </w:r>
          </w:p>
        </w:tc>
      </w:tr>
      <w:tr>
        <w:tblPrEx>
          <w:tblLayout w:type="fixed"/>
          <w:tblCellMar>
            <w:top w:w="0" w:type="dxa"/>
            <w:left w:w="0" w:type="dxa"/>
            <w:bottom w:w="0" w:type="dxa"/>
            <w:right w:w="0" w:type="dxa"/>
          </w:tblCellMar>
        </w:tblPrEx>
        <w:trPr>
          <w:trHeight w:val="276" w:hRule="atLeast"/>
        </w:trPr>
        <w:tc>
          <w:tcPr>
            <w:tcW w:w="13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年初预算数</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全年执行数</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3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年度资金总额</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400.00</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400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400.00</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10.00分</w:t>
            </w:r>
          </w:p>
        </w:tc>
      </w:tr>
      <w:tr>
        <w:tblPrEx>
          <w:tblLayout w:type="fixed"/>
          <w:tblCellMar>
            <w:top w:w="0" w:type="dxa"/>
            <w:left w:w="0" w:type="dxa"/>
            <w:bottom w:w="0" w:type="dxa"/>
            <w:right w:w="0" w:type="dxa"/>
          </w:tblCellMar>
        </w:tblPrEx>
        <w:trPr>
          <w:trHeight w:val="638" w:hRule="atLeast"/>
        </w:trPr>
        <w:tc>
          <w:tcPr>
            <w:tcW w:w="13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其中：当年财政拨款</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400</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400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400</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0</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highlight w:val="none"/>
                <w:lang w:val="en-US" w:eastAsia="zh-CN" w:bidi="ar"/>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0</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highlight w:val="none"/>
                <w:lang w:val="en-US" w:eastAsia="zh-CN" w:bidi="ar"/>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预期目标</w:t>
            </w:r>
          </w:p>
        </w:tc>
        <w:tc>
          <w:tcPr>
            <w:tcW w:w="4037"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依据《国务院应对新型冠状病毒感染肺炎疫情联防联控机  制关于做好新冠肺炎疫情常态化防控工作的指导意见》（国  发明电〔 2020〕14 号 ， 以下简称《指导意见》） 要求 《关于加强口岸城市新冠肺炎疫情防  控工作的通知》（以下简称《通知》 ），建成新建总建筑面积 5000 平方米核酸检测中心：内设采样实验 、样本检 测、配套消杀、 医学观察服务及供水、供热 、供电等附属设，项目的建成施能够扩大核酸检测资源供给 ，增强 核酸检测硬件运行能力 ，健全完善新冠肺炎疫情卫生服务体 系 ，有效提升霍尔果斯市疾病预防控制服务能力和水平 ，切 实保障霍尔果斯市公共卫生安全和人民群众身体健康。</w:t>
            </w:r>
          </w:p>
        </w:tc>
        <w:tc>
          <w:tcPr>
            <w:tcW w:w="4037"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依据《国务院应对新型冠状病毒感染肺炎疫情联防联控机  制关于做好新冠肺炎疫情常态化防控工作的指导意见》（国  发明电〔 2020〕14 号 ， 以下简称《指导意见》） 要求 《关于加强口岸城市新冠肺炎疫情防  控工作的通知》（以下简称《通知》 ），建成新建总建筑面积 5000 平方米核酸检测中心：内设采样实验 、样本检 测、配套消杀、 医学观察服务及供水、供热 、供电等附属设，项目的建成施能够扩大核酸检测资源供给 ，增强 核酸检测硬件运行能力 ，健全完善新冠肺炎疫情卫生服务体 系 ，有效提升霍尔果斯市疾病预防控制服务能力和水平 ，切 实保障霍尔果斯市公共卫生安全和人民群众身体健康。</w:t>
            </w:r>
          </w:p>
        </w:tc>
      </w:tr>
      <w:tr>
        <w:tblPrEx>
          <w:tblLayout w:type="fixed"/>
          <w:tblCellMar>
            <w:top w:w="0" w:type="dxa"/>
            <w:left w:w="0" w:type="dxa"/>
            <w:bottom w:w="0" w:type="dxa"/>
            <w:right w:w="0" w:type="dxa"/>
          </w:tblCellMar>
        </w:tblPrEx>
        <w:trPr>
          <w:trHeight w:val="408" w:hRule="atLeast"/>
        </w:trPr>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一级指标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二级指标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20"/>
                <w:szCs w:val="20"/>
                <w:u w:val="none"/>
                <w:lang w:val="en-US" w:eastAsia="zh-CN" w:bidi="ar"/>
              </w:rPr>
              <w:t>三级指标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实际完成值</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bookmarkStart w:id="20" w:name="OLE_LINK3" w:colFirst="3" w:colLast="3"/>
            <w:bookmarkStart w:id="21" w:name="OLE_LINK4" w:colFirst="4" w:colLast="4"/>
            <w:bookmarkStart w:id="22" w:name="OLE_LINK2" w:colFirst="3" w:colLast="7"/>
            <w:r>
              <w:rPr>
                <w:rFonts w:hint="eastAsia" w:ascii="宋体" w:hAnsi="宋体" w:eastAsia="宋体" w:cs="宋体"/>
                <w:i w:val="0"/>
                <w:iCs w:val="0"/>
                <w:color w:val="000000"/>
                <w:kern w:val="0"/>
                <w:sz w:val="20"/>
                <w:szCs w:val="20"/>
                <w:u w:val="none"/>
                <w:lang w:val="en-US" w:eastAsia="zh-CN" w:bidi="ar"/>
              </w:rPr>
              <w:t>年度绩效指标完成情况</w:t>
            </w:r>
          </w:p>
        </w:tc>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产出指标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霍尔果斯市核酸检测中心建设项目（数）数</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=1个</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1个</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highlight w:val="none"/>
                <w:lang w:eastAsia="zh-CN" w:bidi="ar"/>
              </w:rPr>
            </w:pPr>
          </w:p>
        </w:tc>
      </w:tr>
      <w:tr>
        <w:tblPrEx>
          <w:tblLayout w:type="fixed"/>
          <w:tblCellMar>
            <w:top w:w="0" w:type="dxa"/>
            <w:left w:w="0" w:type="dxa"/>
            <w:bottom w:w="0" w:type="dxa"/>
            <w:right w:w="0" w:type="dxa"/>
          </w:tblCellMar>
        </w:tblPrEx>
        <w:trPr>
          <w:trHeight w:val="408" w:hRule="atLeast"/>
        </w:trPr>
        <w:tc>
          <w:tcPr>
            <w:tcW w:w="69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p>
        </w:tc>
        <w:tc>
          <w:tcPr>
            <w:tcW w:w="695"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核酸检测中心建设项目建筑面积</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=4425.23平方米</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4425.23平方米</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bookmarkEnd w:id="20"/>
      <w:bookmarkEnd w:id="21"/>
      <w:bookmarkEnd w:id="22"/>
      <w:tr>
        <w:tblPrEx>
          <w:tblLayout w:type="fixed"/>
          <w:tblCellMar>
            <w:top w:w="0" w:type="dxa"/>
            <w:left w:w="0" w:type="dxa"/>
            <w:bottom w:w="0" w:type="dxa"/>
            <w:right w:w="0" w:type="dxa"/>
          </w:tblCellMar>
        </w:tblPrEx>
        <w:trPr>
          <w:trHeight w:val="90" w:hRule="atLeast"/>
        </w:trPr>
        <w:tc>
          <w:tcPr>
            <w:tcW w:w="69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bookmarkStart w:id="23" w:name="OLE_LINK5" w:colFirst="3" w:colLast="3"/>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p>
        </w:tc>
        <w:tc>
          <w:tcPr>
            <w:tcW w:w="695"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竣工验收合格率（%）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tr>
        <w:tblPrEx>
          <w:tblLayout w:type="fixed"/>
          <w:tblCellMar>
            <w:top w:w="0" w:type="dxa"/>
            <w:left w:w="0" w:type="dxa"/>
            <w:bottom w:w="0" w:type="dxa"/>
            <w:right w:w="0" w:type="dxa"/>
          </w:tblCellMar>
        </w:tblPrEx>
        <w:trPr>
          <w:trHeight w:val="560" w:hRule="atLeast"/>
        </w:trPr>
        <w:tc>
          <w:tcPr>
            <w:tcW w:w="69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bookmarkStart w:id="24" w:name="OLE_LINK6" w:colFirst="3" w:colLast="3"/>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p>
        </w:tc>
        <w:tc>
          <w:tcPr>
            <w:tcW w:w="695"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资金支付率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tr>
        <w:tblPrEx>
          <w:tblLayout w:type="fixed"/>
          <w:tblCellMar>
            <w:top w:w="0" w:type="dxa"/>
            <w:left w:w="0" w:type="dxa"/>
            <w:bottom w:w="0" w:type="dxa"/>
            <w:right w:w="0" w:type="dxa"/>
          </w:tblCellMar>
        </w:tblPrEx>
        <w:trPr>
          <w:trHeight w:val="560" w:hRule="atLeast"/>
        </w:trPr>
        <w:tc>
          <w:tcPr>
            <w:tcW w:w="69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bookmarkStart w:id="25" w:name="OLE_LINK7" w:colFirst="4" w:colLast="7"/>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p>
        </w:tc>
        <w:tc>
          <w:tcPr>
            <w:tcW w:w="695"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设计变更率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&lt;=5%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highlight w:val="none"/>
                <w:lang w:val="en-US" w:eastAsia="zh-CN" w:bidi="ar"/>
              </w:rPr>
            </w:pPr>
          </w:p>
        </w:tc>
      </w:tr>
      <w:bookmarkEnd w:id="23"/>
      <w:bookmarkEnd w:id="24"/>
      <w:bookmarkEnd w:id="25"/>
      <w:tr>
        <w:tblPrEx>
          <w:tblLayout w:type="fixed"/>
          <w:tblCellMar>
            <w:top w:w="0" w:type="dxa"/>
            <w:left w:w="0" w:type="dxa"/>
            <w:bottom w:w="0" w:type="dxa"/>
            <w:right w:w="0" w:type="dxa"/>
          </w:tblCellMar>
        </w:tblPrEx>
        <w:trPr>
          <w:trHeight w:val="620" w:hRule="atLeast"/>
        </w:trPr>
        <w:tc>
          <w:tcPr>
            <w:tcW w:w="69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bookmarkStart w:id="26" w:name="OLE_LINK8" w:colFirst="4" w:colLast="7"/>
          </w:p>
        </w:tc>
        <w:tc>
          <w:tcPr>
            <w:tcW w:w="695" w:type="dxa"/>
            <w:vMerge w:val="continue"/>
            <w:tcBorders>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p>
        </w:tc>
        <w:tc>
          <w:tcPr>
            <w:tcW w:w="695"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时效指标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项目按时完工率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bookmarkEnd w:id="26"/>
      <w:tr>
        <w:tblPrEx>
          <w:tblLayout w:type="fixed"/>
          <w:tblCellMar>
            <w:top w:w="0" w:type="dxa"/>
            <w:left w:w="0" w:type="dxa"/>
            <w:bottom w:w="0" w:type="dxa"/>
            <w:right w:w="0" w:type="dxa"/>
          </w:tblCellMar>
        </w:tblPrEx>
        <w:trPr>
          <w:trHeight w:val="620" w:hRule="atLeast"/>
        </w:trPr>
        <w:tc>
          <w:tcPr>
            <w:tcW w:w="69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bookmarkStart w:id="27" w:name="OLE_LINK10" w:colFirst="3" w:colLast="7"/>
            <w:bookmarkStart w:id="28" w:name="OLE_LINK9" w:colFirst="3" w:colLast="3"/>
          </w:p>
        </w:tc>
        <w:tc>
          <w:tcPr>
            <w:tcW w:w="695" w:type="dxa"/>
            <w:vMerge w:val="restart"/>
            <w:tcBorders>
              <w:top w:val="single" w:color="auto" w:sz="4" w:space="0"/>
              <w:left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w:t>
            </w:r>
          </w:p>
        </w:tc>
        <w:tc>
          <w:tcPr>
            <w:tcW w:w="695"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项目受益人群数</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&gt;=2万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2万</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bookmarkEnd w:id="27"/>
      <w:tr>
        <w:tblPrEx>
          <w:tblLayout w:type="fixed"/>
          <w:tblCellMar>
            <w:top w:w="0" w:type="dxa"/>
            <w:left w:w="0" w:type="dxa"/>
            <w:bottom w:w="0" w:type="dxa"/>
            <w:right w:w="0" w:type="dxa"/>
          </w:tblCellMar>
        </w:tblPrEx>
        <w:trPr>
          <w:trHeight w:val="620" w:hRule="atLeast"/>
        </w:trPr>
        <w:tc>
          <w:tcPr>
            <w:tcW w:w="69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p>
        </w:tc>
        <w:tc>
          <w:tcPr>
            <w:tcW w:w="695" w:type="dxa"/>
            <w:vMerge w:val="continue"/>
            <w:tcBorders>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p>
        </w:tc>
        <w:tc>
          <w:tcPr>
            <w:tcW w:w="695"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项目正常运转率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bookmarkEnd w:id="28"/>
      <w:tr>
        <w:tblPrEx>
          <w:tblLayout w:type="fixed"/>
          <w:tblCellMar>
            <w:top w:w="0" w:type="dxa"/>
            <w:left w:w="0" w:type="dxa"/>
            <w:bottom w:w="0" w:type="dxa"/>
            <w:right w:w="0" w:type="dxa"/>
          </w:tblCellMar>
        </w:tblPrEx>
        <w:trPr>
          <w:trHeight w:val="432" w:hRule="atLeast"/>
        </w:trPr>
        <w:tc>
          <w:tcPr>
            <w:tcW w:w="6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p>
        </w:tc>
        <w:tc>
          <w:tcPr>
            <w:tcW w:w="695"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受益群众满意度（%）</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项目已验收完成项目受益人员满意度较高</w:t>
            </w:r>
          </w:p>
        </w:tc>
      </w:tr>
    </w:tbl>
    <w:p>
      <w:pPr>
        <w:spacing w:line="600" w:lineRule="exact"/>
        <w:rPr>
          <w:rFonts w:hint="eastAsia" w:ascii="黑体" w:hAnsi="黑体" w:eastAsia="黑体" w:cs="黑体"/>
          <w:bCs/>
          <w:sz w:val="32"/>
          <w:szCs w:val="32"/>
          <w:highlight w:val="none"/>
        </w:rPr>
        <w:sectPr>
          <w:headerReference r:id="rId3" w:type="default"/>
          <w:pgSz w:w="11906" w:h="16838"/>
          <w:pgMar w:top="1928" w:right="1531" w:bottom="1701" w:left="1531" w:header="737" w:footer="851" w:gutter="0"/>
          <w:cols w:space="720" w:num="1"/>
          <w:docGrid w:type="lines" w:linePitch="408" w:charSpace="0"/>
        </w:sectPr>
      </w:pPr>
    </w:p>
    <w:p>
      <w:pPr>
        <w:pStyle w:val="22"/>
        <w:ind w:firstLine="562"/>
        <w:jc w:val="center"/>
        <w:rPr>
          <w:sz w:val="28"/>
          <w:szCs w:val="40"/>
          <w:highlight w:val="none"/>
        </w:rPr>
      </w:pPr>
      <w:bookmarkStart w:id="29" w:name="_Toc30064_WPSOffice_Level1"/>
      <w:bookmarkStart w:id="30" w:name="_Toc26499_WPSOffice_Level2"/>
      <w:r>
        <w:rPr>
          <w:rFonts w:hint="eastAsia"/>
          <w:b/>
          <w:bCs/>
          <w:sz w:val="28"/>
          <w:szCs w:val="40"/>
          <w:highlight w:val="none"/>
          <w:lang w:eastAsia="zh-CN"/>
        </w:rPr>
        <w:t>霍尔果斯市核酸检测中心建设项目</w:t>
      </w:r>
      <w:r>
        <w:rPr>
          <w:rFonts w:hint="eastAsia"/>
          <w:b/>
          <w:bCs/>
          <w:sz w:val="28"/>
          <w:szCs w:val="40"/>
          <w:highlight w:val="none"/>
        </w:rPr>
        <w:t>绩效评价指标体系及综合评分表</w:t>
      </w:r>
      <w:bookmarkEnd w:id="29"/>
      <w:bookmarkEnd w:id="30"/>
    </w:p>
    <w:tbl>
      <w:tblPr>
        <w:tblStyle w:val="13"/>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64"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87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235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5198"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36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r>
              <w:rPr>
                <w:color w:val="000000"/>
                <w:kern w:val="0"/>
                <w:sz w:val="22"/>
                <w:szCs w:val="22"/>
                <w:highlight w:val="none"/>
              </w:rPr>
              <w:t>过程</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pPr>
        <w:rPr>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82016"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717433"/>
    <w:multiLevelType w:val="singleLevel"/>
    <w:tmpl w:val="4271743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F2A6BF7"/>
    <w:rsid w:val="109627EE"/>
    <w:rsid w:val="17136327"/>
    <w:rsid w:val="181871E2"/>
    <w:rsid w:val="19166846"/>
    <w:rsid w:val="19CC3880"/>
    <w:rsid w:val="1E390A97"/>
    <w:rsid w:val="20E92B23"/>
    <w:rsid w:val="22AC2218"/>
    <w:rsid w:val="254A3A5F"/>
    <w:rsid w:val="25C7765E"/>
    <w:rsid w:val="2729052F"/>
    <w:rsid w:val="28C14634"/>
    <w:rsid w:val="2A694DA5"/>
    <w:rsid w:val="2DA90CF4"/>
    <w:rsid w:val="2EC724D4"/>
    <w:rsid w:val="2EE30257"/>
    <w:rsid w:val="343B0A1F"/>
    <w:rsid w:val="34DA27CE"/>
    <w:rsid w:val="36411DC5"/>
    <w:rsid w:val="36B72533"/>
    <w:rsid w:val="3AF3140A"/>
    <w:rsid w:val="4057649F"/>
    <w:rsid w:val="450B6AE4"/>
    <w:rsid w:val="469A6F33"/>
    <w:rsid w:val="54873A1A"/>
    <w:rsid w:val="56796849"/>
    <w:rsid w:val="568F383B"/>
    <w:rsid w:val="592C4021"/>
    <w:rsid w:val="5BDB364B"/>
    <w:rsid w:val="5D555EEF"/>
    <w:rsid w:val="5DA95371"/>
    <w:rsid w:val="5DBE67B3"/>
    <w:rsid w:val="5E923599"/>
    <w:rsid w:val="686F7714"/>
    <w:rsid w:val="6A442346"/>
    <w:rsid w:val="6A862BA8"/>
    <w:rsid w:val="6DFC1C65"/>
    <w:rsid w:val="6EDF6D59"/>
    <w:rsid w:val="75FA041F"/>
    <w:rsid w:val="760F49BD"/>
    <w:rsid w:val="766B3EEC"/>
    <w:rsid w:val="76E870A0"/>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UserStyle_0"/>
    <w:basedOn w:val="3"/>
    <w:next w:val="1"/>
    <w:qFormat/>
    <w:uiPriority w:val="0"/>
    <w:pPr>
      <w:ind w:firstLine="420" w:firstLineChars="200"/>
    </w:pPr>
  </w:style>
  <w:style w:type="paragraph" w:customStyle="1" w:styleId="3">
    <w:name w:val="UserStyle_1"/>
    <w:basedOn w:val="1"/>
    <w:qFormat/>
    <w:uiPriority w:val="0"/>
    <w:pPr>
      <w:spacing w:after="120"/>
      <w:ind w:left="420" w:leftChars="200"/>
    </w:p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footer"/>
    <w:basedOn w:val="1"/>
    <w:link w:val="21"/>
    <w:semiHidden/>
    <w:unhideWhenUsed/>
    <w:qFormat/>
    <w:uiPriority w:val="99"/>
    <w:pPr>
      <w:tabs>
        <w:tab w:val="center" w:pos="4153"/>
        <w:tab w:val="right" w:pos="8306"/>
      </w:tabs>
      <w:snapToGrid w:val="0"/>
      <w:jc w:val="left"/>
    </w:pPr>
    <w:rPr>
      <w:sz w:val="18"/>
      <w:szCs w:val="18"/>
    </w:rPr>
  </w:style>
  <w:style w:type="paragraph" w:styleId="9">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5">
    <w:name w:val="Strong"/>
    <w:qFormat/>
    <w:uiPriority w:val="0"/>
    <w:rPr>
      <w:b/>
      <w:b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标题 1 Char"/>
    <w:basedOn w:val="14"/>
    <w:link w:val="4"/>
    <w:qFormat/>
    <w:uiPriority w:val="9"/>
    <w:rPr>
      <w:rFonts w:ascii="Times New Roman" w:hAnsi="Times New Roman" w:eastAsia="仿宋_GB2312" w:cs="Times New Roman"/>
      <w:b/>
      <w:bCs/>
      <w:kern w:val="44"/>
      <w:sz w:val="44"/>
      <w:szCs w:val="44"/>
    </w:rPr>
  </w:style>
  <w:style w:type="character" w:customStyle="1" w:styleId="18">
    <w:name w:val="标题 2 Char"/>
    <w:basedOn w:val="14"/>
    <w:link w:val="5"/>
    <w:qFormat/>
    <w:uiPriority w:val="9"/>
    <w:rPr>
      <w:rFonts w:asciiTheme="majorHAnsi" w:hAnsiTheme="majorHAnsi" w:eastAsiaTheme="majorEastAsia" w:cstheme="majorBidi"/>
      <w:b/>
      <w:bCs/>
      <w:sz w:val="32"/>
      <w:szCs w:val="32"/>
    </w:rPr>
  </w:style>
  <w:style w:type="paragraph" w:customStyle="1" w:styleId="19">
    <w:name w:val="TOC Heading"/>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
    <w:name w:val="页眉 Char"/>
    <w:basedOn w:val="14"/>
    <w:link w:val="9"/>
    <w:semiHidden/>
    <w:qFormat/>
    <w:uiPriority w:val="99"/>
    <w:rPr>
      <w:rFonts w:ascii="Times New Roman" w:hAnsi="Times New Roman" w:eastAsia="仿宋_GB2312" w:cs="Times New Roman"/>
      <w:sz w:val="18"/>
      <w:szCs w:val="18"/>
    </w:rPr>
  </w:style>
  <w:style w:type="character" w:customStyle="1" w:styleId="21">
    <w:name w:val="页脚 Char"/>
    <w:basedOn w:val="14"/>
    <w:link w:val="8"/>
    <w:semiHidden/>
    <w:qFormat/>
    <w:uiPriority w:val="99"/>
    <w:rPr>
      <w:rFonts w:ascii="Times New Roman" w:hAnsi="Times New Roman" w:eastAsia="仿宋_GB2312" w:cs="Times New Roman"/>
      <w:sz w:val="18"/>
      <w:szCs w:val="18"/>
    </w:rPr>
  </w:style>
  <w:style w:type="paragraph" w:customStyle="1" w:styleId="22">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5042</Words>
  <Characters>5242</Characters>
  <Lines>37</Lines>
  <Paragraphs>10</Paragraphs>
  <TotalTime>7</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2024-06-12T08:49:28Z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83789C1DD4CD42E1A66B6BA390ED0779_13</vt:lpwstr>
  </property>
</Properties>
</file>