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jc w:val="center"/>
        <w:rPr>
          <w:rFonts w:ascii="宋体" w:hAnsi="宋体" w:eastAsia="宋体" w:cs="Arial"/>
          <w:b/>
          <w:bCs/>
          <w:color w:val="auto"/>
          <w:sz w:val="48"/>
          <w:szCs w:val="48"/>
          <w:highlight w:val="none"/>
        </w:rPr>
      </w:pPr>
    </w:p>
    <w:p>
      <w:pPr>
        <w:pageBreakBefore w:val="0"/>
        <w:kinsoku/>
        <w:wordWrap/>
        <w:overflowPunct/>
        <w:topLinePunct w:val="0"/>
        <w:autoSpaceDE/>
        <w:autoSpaceDN/>
        <w:bidi w:val="0"/>
        <w:adjustRightInd/>
        <w:snapToGrid/>
        <w:spacing w:line="560" w:lineRule="exact"/>
        <w:jc w:val="center"/>
        <w:rPr>
          <w:rFonts w:ascii="宋体" w:hAnsi="宋体" w:eastAsia="宋体" w:cs="Arial"/>
          <w:b/>
          <w:bCs/>
          <w:color w:val="auto"/>
          <w:sz w:val="48"/>
          <w:szCs w:val="48"/>
          <w:highlight w:val="none"/>
        </w:rPr>
      </w:pPr>
    </w:p>
    <w:p>
      <w:pPr>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b w:val="0"/>
          <w:bCs w:val="0"/>
          <w:color w:val="auto"/>
          <w:sz w:val="48"/>
          <w:szCs w:val="48"/>
          <w:highlight w:val="none"/>
        </w:rPr>
      </w:pPr>
    </w:p>
    <w:p>
      <w:pPr>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b w:val="0"/>
          <w:bCs w:val="0"/>
          <w:color w:val="auto"/>
          <w:kern w:val="0"/>
          <w:sz w:val="48"/>
          <w:szCs w:val="48"/>
          <w:highlight w:val="none"/>
        </w:rPr>
      </w:pPr>
      <w:r>
        <w:rPr>
          <w:rFonts w:hint="eastAsia" w:ascii="方正小标宋简体" w:hAnsi="方正小标宋简体" w:eastAsia="方正小标宋简体" w:cs="方正小标宋简体"/>
          <w:b w:val="0"/>
          <w:bCs w:val="0"/>
          <w:color w:val="auto"/>
          <w:kern w:val="0"/>
          <w:sz w:val="48"/>
          <w:szCs w:val="48"/>
          <w:highlight w:val="none"/>
        </w:rPr>
        <w:t>信息网络及软件购置类项目</w:t>
      </w:r>
    </w:p>
    <w:p>
      <w:pPr>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b w:val="0"/>
          <w:bCs w:val="0"/>
          <w:color w:val="auto"/>
          <w:kern w:val="0"/>
          <w:sz w:val="48"/>
          <w:szCs w:val="48"/>
          <w:highlight w:val="none"/>
        </w:rPr>
      </w:pPr>
      <w:r>
        <w:rPr>
          <w:rFonts w:hint="eastAsia" w:ascii="方正小标宋简体" w:hAnsi="方正小标宋简体" w:eastAsia="方正小标宋简体" w:cs="方正小标宋简体"/>
          <w:b w:val="0"/>
          <w:bCs w:val="0"/>
          <w:color w:val="auto"/>
          <w:kern w:val="0"/>
          <w:sz w:val="48"/>
          <w:szCs w:val="48"/>
          <w:highlight w:val="none"/>
        </w:rPr>
        <w:t>支出绩效评价报告</w:t>
      </w:r>
    </w:p>
    <w:p>
      <w:pPr>
        <w:pageBreakBefore w:val="0"/>
        <w:kinsoku/>
        <w:wordWrap/>
        <w:overflowPunct/>
        <w:topLinePunct w:val="0"/>
        <w:autoSpaceDE/>
        <w:autoSpaceDN/>
        <w:bidi w:val="0"/>
        <w:adjustRightInd/>
        <w:snapToGrid/>
        <w:spacing w:line="560" w:lineRule="exact"/>
        <w:jc w:val="center"/>
        <w:rPr>
          <w:rFonts w:ascii="宋体" w:hAnsi="宋体" w:eastAsia="宋体" w:cs="Arial"/>
          <w:b/>
          <w:bCs/>
          <w:color w:val="auto"/>
          <w:sz w:val="48"/>
          <w:szCs w:val="48"/>
          <w:highlight w:val="none"/>
        </w:rPr>
      </w:pPr>
    </w:p>
    <w:p>
      <w:pPr>
        <w:pageBreakBefore w:val="0"/>
        <w:widowControl/>
        <w:kinsoku/>
        <w:wordWrap/>
        <w:overflowPunct/>
        <w:topLinePunct w:val="0"/>
        <w:autoSpaceDE/>
        <w:autoSpaceDN/>
        <w:bidi w:val="0"/>
        <w:adjustRightInd/>
        <w:snapToGrid/>
        <w:spacing w:line="560" w:lineRule="exact"/>
        <w:jc w:val="center"/>
        <w:rPr>
          <w:rFonts w:ascii="仿宋_GB2312" w:hAnsi="仿宋_GB2312" w:cs="仿宋_GB2312"/>
          <w:b/>
          <w:color w:val="auto"/>
          <w:kern w:val="0"/>
          <w:sz w:val="50"/>
          <w:szCs w:val="50"/>
          <w:highlight w:val="none"/>
          <w:lang w:bidi="en-US"/>
        </w:rPr>
      </w:pPr>
      <w:r>
        <w:rPr>
          <w:rFonts w:hint="eastAsia" w:ascii="红豆小标宋简体" w:hAnsi="红豆小标宋简体" w:eastAsia="红豆小标宋简体" w:cs="红豆小标宋简体"/>
          <w:color w:val="auto"/>
          <w:kern w:val="0"/>
          <w:sz w:val="36"/>
          <w:szCs w:val="36"/>
          <w:highlight w:val="none"/>
        </w:rPr>
        <w:t>（2</w:t>
      </w:r>
      <w:r>
        <w:rPr>
          <w:rFonts w:ascii="红豆小标宋简体" w:hAnsi="红豆小标宋简体" w:eastAsia="红豆小标宋简体" w:cs="红豆小标宋简体"/>
          <w:color w:val="auto"/>
          <w:kern w:val="0"/>
          <w:sz w:val="36"/>
          <w:szCs w:val="36"/>
          <w:highlight w:val="none"/>
        </w:rPr>
        <w:t>02</w:t>
      </w:r>
      <w:r>
        <w:rPr>
          <w:rFonts w:hint="eastAsia" w:ascii="红豆小标宋简体" w:hAnsi="红豆小标宋简体" w:eastAsia="红豆小标宋简体" w:cs="红豆小标宋简体"/>
          <w:color w:val="auto"/>
          <w:kern w:val="0"/>
          <w:sz w:val="36"/>
          <w:szCs w:val="36"/>
          <w:highlight w:val="none"/>
          <w:lang w:val="en-US" w:eastAsia="zh-CN"/>
        </w:rPr>
        <w:t>3</w:t>
      </w:r>
      <w:r>
        <w:rPr>
          <w:rFonts w:hint="eastAsia" w:ascii="红豆小标宋简体" w:hAnsi="红豆小标宋简体" w:eastAsia="红豆小标宋简体" w:cs="红豆小标宋简体"/>
          <w:color w:val="auto"/>
          <w:kern w:val="0"/>
          <w:sz w:val="36"/>
          <w:szCs w:val="36"/>
          <w:highlight w:val="none"/>
        </w:rPr>
        <w:t>年度）</w:t>
      </w:r>
    </w:p>
    <w:p>
      <w:pPr>
        <w:pageBreakBefore w:val="0"/>
        <w:kinsoku/>
        <w:wordWrap/>
        <w:overflowPunct/>
        <w:topLinePunct w:val="0"/>
        <w:autoSpaceDE/>
        <w:autoSpaceDN/>
        <w:bidi w:val="0"/>
        <w:adjustRightInd/>
        <w:snapToGrid/>
        <w:spacing w:line="560" w:lineRule="exact"/>
        <w:jc w:val="center"/>
        <w:rPr>
          <w:rFonts w:ascii="仿宋_GB2312" w:hAnsi="仿宋_GB2312" w:cs="仿宋_GB2312"/>
          <w:b/>
          <w:color w:val="auto"/>
          <w:kern w:val="0"/>
          <w:sz w:val="50"/>
          <w:szCs w:val="50"/>
          <w:highlight w:val="none"/>
          <w:lang w:bidi="en-US"/>
        </w:rPr>
      </w:pPr>
    </w:p>
    <w:p>
      <w:pPr>
        <w:pageBreakBefore w:val="0"/>
        <w:kinsoku/>
        <w:wordWrap/>
        <w:overflowPunct/>
        <w:topLinePunct w:val="0"/>
        <w:autoSpaceDE/>
        <w:autoSpaceDN/>
        <w:bidi w:val="0"/>
        <w:adjustRightInd/>
        <w:snapToGrid/>
        <w:spacing w:line="560" w:lineRule="exact"/>
        <w:jc w:val="center"/>
        <w:rPr>
          <w:rFonts w:ascii="仿宋_GB2312" w:hAnsi="仿宋_GB2312" w:cs="仿宋_GB2312"/>
          <w:b/>
          <w:color w:val="auto"/>
          <w:kern w:val="0"/>
          <w:sz w:val="50"/>
          <w:szCs w:val="50"/>
          <w:highlight w:val="none"/>
          <w:lang w:bidi="en-US"/>
        </w:rPr>
      </w:pPr>
    </w:p>
    <w:p>
      <w:pPr>
        <w:pageBreakBefore w:val="0"/>
        <w:kinsoku/>
        <w:wordWrap/>
        <w:overflowPunct/>
        <w:topLinePunct w:val="0"/>
        <w:autoSpaceDE/>
        <w:autoSpaceDN/>
        <w:bidi w:val="0"/>
        <w:adjustRightInd/>
        <w:snapToGrid/>
        <w:spacing w:line="560" w:lineRule="exact"/>
        <w:jc w:val="center"/>
        <w:rPr>
          <w:rFonts w:ascii="仿宋_GB2312" w:hAnsi="仿宋_GB2312" w:cs="仿宋_GB2312"/>
          <w:b/>
          <w:color w:val="auto"/>
          <w:kern w:val="0"/>
          <w:sz w:val="50"/>
          <w:szCs w:val="50"/>
          <w:highlight w:val="none"/>
          <w:lang w:bidi="en-US"/>
        </w:rPr>
      </w:pPr>
    </w:p>
    <w:p>
      <w:pPr>
        <w:pageBreakBefore w:val="0"/>
        <w:kinsoku/>
        <w:wordWrap/>
        <w:overflowPunct/>
        <w:topLinePunct w:val="0"/>
        <w:autoSpaceDE/>
        <w:autoSpaceDN/>
        <w:bidi w:val="0"/>
        <w:adjustRightInd/>
        <w:snapToGrid/>
        <w:spacing w:line="560" w:lineRule="exact"/>
        <w:jc w:val="center"/>
        <w:rPr>
          <w:rFonts w:ascii="仿宋_GB2312" w:hAnsi="仿宋_GB2312" w:cs="仿宋_GB2312"/>
          <w:b/>
          <w:color w:val="auto"/>
          <w:kern w:val="0"/>
          <w:sz w:val="50"/>
          <w:szCs w:val="50"/>
          <w:highlight w:val="none"/>
          <w:lang w:bidi="en-US"/>
        </w:rPr>
      </w:pPr>
    </w:p>
    <w:p>
      <w:pPr>
        <w:pageBreakBefore w:val="0"/>
        <w:kinsoku/>
        <w:wordWrap/>
        <w:overflowPunct/>
        <w:topLinePunct w:val="0"/>
        <w:autoSpaceDE/>
        <w:autoSpaceDN/>
        <w:bidi w:val="0"/>
        <w:adjustRightInd/>
        <w:snapToGrid/>
        <w:spacing w:line="560" w:lineRule="exact"/>
        <w:jc w:val="center"/>
        <w:rPr>
          <w:rFonts w:ascii="仿宋_GB2312" w:hAnsi="仿宋_GB2312" w:cs="仿宋_GB2312"/>
          <w:b/>
          <w:color w:val="auto"/>
          <w:kern w:val="0"/>
          <w:sz w:val="50"/>
          <w:szCs w:val="50"/>
          <w:highlight w:val="none"/>
          <w:lang w:bidi="en-US"/>
        </w:rPr>
      </w:pPr>
    </w:p>
    <w:p>
      <w:pPr>
        <w:pageBreakBefore w:val="0"/>
        <w:kinsoku/>
        <w:wordWrap/>
        <w:overflowPunct/>
        <w:topLinePunct w:val="0"/>
        <w:autoSpaceDE/>
        <w:autoSpaceDN/>
        <w:bidi w:val="0"/>
        <w:adjustRightInd/>
        <w:snapToGrid/>
        <w:spacing w:line="560" w:lineRule="exact"/>
        <w:ind w:firstLine="321" w:firstLineChars="100"/>
        <w:jc w:val="both"/>
        <w:rPr>
          <w:rFonts w:hint="eastAsia" w:ascii="宋体" w:hAnsi="宋体" w:eastAsia="宋体" w:cs="仿宋_GB2312"/>
          <w:color w:val="auto"/>
          <w:kern w:val="0"/>
          <w:sz w:val="32"/>
          <w:szCs w:val="32"/>
          <w:highlight w:val="none"/>
          <w:lang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项目名称：</w:t>
      </w:r>
      <w:r>
        <w:rPr>
          <w:rFonts w:hint="eastAsia" w:ascii="宋体" w:hAnsi="宋体" w:eastAsia="宋体" w:cs="仿宋_GB2312"/>
          <w:color w:val="auto"/>
          <w:kern w:val="0"/>
          <w:sz w:val="32"/>
          <w:szCs w:val="32"/>
          <w:highlight w:val="none"/>
          <w:lang w:eastAsia="zh-CN"/>
        </w:rPr>
        <w:t>信息网络及软件购置类项目</w:t>
      </w:r>
    </w:p>
    <w:p>
      <w:pPr>
        <w:pageBreakBefore w:val="0"/>
        <w:kinsoku/>
        <w:wordWrap/>
        <w:overflowPunct/>
        <w:topLinePunct w:val="0"/>
        <w:autoSpaceDE/>
        <w:autoSpaceDN/>
        <w:bidi w:val="0"/>
        <w:adjustRightInd/>
        <w:snapToGrid/>
        <w:spacing w:line="560" w:lineRule="exact"/>
        <w:jc w:val="both"/>
        <w:rPr>
          <w:rFonts w:hint="eastAsia" w:ascii="宋体" w:hAnsi="宋体" w:eastAsia="宋体" w:cs="仿宋_GB2312"/>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实施单位（公章）：</w:t>
      </w:r>
      <w:r>
        <w:rPr>
          <w:rFonts w:hint="eastAsia" w:ascii="宋体" w:hAnsi="宋体" w:eastAsia="宋体" w:cs="仿宋_GB2312"/>
          <w:color w:val="auto"/>
          <w:kern w:val="0"/>
          <w:sz w:val="32"/>
          <w:szCs w:val="32"/>
          <w:highlight w:val="none"/>
          <w:lang w:eastAsia="zh-CN"/>
        </w:rPr>
        <w:t>霍尔果斯市公安局</w:t>
      </w:r>
    </w:p>
    <w:p>
      <w:pPr>
        <w:pageBreakBefore w:val="0"/>
        <w:kinsoku/>
        <w:wordWrap/>
        <w:overflowPunct/>
        <w:topLinePunct w:val="0"/>
        <w:autoSpaceDE/>
        <w:autoSpaceDN/>
        <w:bidi w:val="0"/>
        <w:adjustRightInd/>
        <w:snapToGrid/>
        <w:spacing w:line="560" w:lineRule="exact"/>
        <w:jc w:val="both"/>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主管部门（公章）：</w:t>
      </w:r>
      <w:r>
        <w:rPr>
          <w:rFonts w:hint="eastAsia" w:ascii="宋体" w:hAnsi="宋体" w:eastAsia="宋体" w:cs="仿宋_GB2312"/>
          <w:color w:val="auto"/>
          <w:kern w:val="0"/>
          <w:sz w:val="32"/>
          <w:szCs w:val="32"/>
          <w:highlight w:val="none"/>
          <w:lang w:eastAsia="zh-CN"/>
        </w:rPr>
        <w:t>霍尔果斯市委政法委</w:t>
      </w:r>
    </w:p>
    <w:p>
      <w:pPr>
        <w:pageBreakBefore w:val="0"/>
        <w:kinsoku/>
        <w:wordWrap/>
        <w:overflowPunct/>
        <w:topLinePunct w:val="0"/>
        <w:autoSpaceDE/>
        <w:autoSpaceDN/>
        <w:bidi w:val="0"/>
        <w:adjustRightInd/>
        <w:snapToGrid/>
        <w:spacing w:line="560" w:lineRule="exact"/>
        <w:ind w:firstLine="321" w:firstLineChars="100"/>
        <w:jc w:val="both"/>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项目负责人（签章）：</w:t>
      </w:r>
      <w:r>
        <w:rPr>
          <w:rFonts w:hint="eastAsia" w:ascii="宋体" w:hAnsi="宋体" w:eastAsia="宋体" w:cs="仿宋_GB2312"/>
          <w:color w:val="auto"/>
          <w:kern w:val="0"/>
          <w:sz w:val="32"/>
          <w:szCs w:val="32"/>
          <w:highlight w:val="none"/>
          <w:lang w:eastAsia="zh-CN"/>
        </w:rPr>
        <w:t>冯玉成</w:t>
      </w:r>
    </w:p>
    <w:p>
      <w:pPr>
        <w:pageBreakBefore w:val="0"/>
        <w:kinsoku/>
        <w:wordWrap/>
        <w:overflowPunct/>
        <w:topLinePunct w:val="0"/>
        <w:autoSpaceDE/>
        <w:autoSpaceDN/>
        <w:bidi w:val="0"/>
        <w:adjustRightInd/>
        <w:snapToGrid/>
        <w:spacing w:line="560" w:lineRule="exact"/>
        <w:ind w:firstLine="321" w:firstLineChars="100"/>
        <w:jc w:val="both"/>
        <w:rPr>
          <w:rFonts w:ascii="宋体" w:hAnsi="宋体" w:eastAsia="宋体" w:cs="仿宋_GB2312"/>
          <w:color w:val="auto"/>
          <w:kern w:val="0"/>
          <w:sz w:val="32"/>
          <w:szCs w:val="32"/>
          <w:highlight w:val="none"/>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填报时间：</w:t>
      </w:r>
      <w:r>
        <w:rPr>
          <w:rFonts w:hint="eastAsia" w:ascii="宋体" w:hAnsi="宋体" w:eastAsia="宋体" w:cs="仿宋_GB2312"/>
          <w:color w:val="auto"/>
          <w:kern w:val="0"/>
          <w:sz w:val="32"/>
          <w:szCs w:val="32"/>
          <w:highlight w:val="none"/>
        </w:rPr>
        <w:t>202</w:t>
      </w:r>
      <w:r>
        <w:rPr>
          <w:rFonts w:hint="eastAsia" w:ascii="宋体" w:hAnsi="宋体" w:eastAsia="宋体" w:cs="仿宋_GB2312"/>
          <w:color w:val="auto"/>
          <w:kern w:val="0"/>
          <w:sz w:val="32"/>
          <w:szCs w:val="32"/>
          <w:highlight w:val="none"/>
          <w:lang w:val="en-US" w:eastAsia="zh-CN"/>
        </w:rPr>
        <w:t>4</w:t>
      </w:r>
      <w:r>
        <w:rPr>
          <w:rFonts w:hint="eastAsia" w:ascii="宋体" w:hAnsi="宋体" w:eastAsia="宋体" w:cs="仿宋_GB2312"/>
          <w:color w:val="auto"/>
          <w:kern w:val="0"/>
          <w:sz w:val="32"/>
          <w:szCs w:val="32"/>
          <w:highlight w:val="none"/>
        </w:rPr>
        <w:t>年</w:t>
      </w:r>
      <w:r>
        <w:rPr>
          <w:rFonts w:hint="eastAsia" w:ascii="宋体" w:hAnsi="宋体" w:eastAsia="宋体" w:cs="仿宋_GB2312"/>
          <w:color w:val="auto"/>
          <w:kern w:val="0"/>
          <w:sz w:val="32"/>
          <w:szCs w:val="32"/>
          <w:highlight w:val="none"/>
          <w:lang w:val="en-US" w:eastAsia="zh-CN"/>
        </w:rPr>
        <w:t>4</w:t>
      </w:r>
      <w:r>
        <w:rPr>
          <w:rFonts w:hint="eastAsia" w:ascii="宋体" w:hAnsi="宋体" w:eastAsia="宋体" w:cs="仿宋_GB2312"/>
          <w:color w:val="auto"/>
          <w:kern w:val="0"/>
          <w:sz w:val="32"/>
          <w:szCs w:val="32"/>
          <w:highlight w:val="none"/>
        </w:rPr>
        <w:t>月</w:t>
      </w:r>
      <w:r>
        <w:rPr>
          <w:rFonts w:hint="eastAsia" w:ascii="宋体" w:hAnsi="宋体" w:eastAsia="宋体" w:cs="仿宋_GB2312"/>
          <w:color w:val="auto"/>
          <w:kern w:val="0"/>
          <w:sz w:val="32"/>
          <w:szCs w:val="32"/>
          <w:highlight w:val="none"/>
          <w:lang w:val="en-US" w:eastAsia="zh-CN"/>
        </w:rPr>
        <w:t>15</w:t>
      </w:r>
      <w:r>
        <w:rPr>
          <w:rFonts w:hint="eastAsia" w:ascii="宋体" w:hAnsi="宋体" w:eastAsia="宋体" w:cs="仿宋_GB2312"/>
          <w:color w:val="auto"/>
          <w:kern w:val="0"/>
          <w:sz w:val="32"/>
          <w:szCs w:val="32"/>
          <w:highlight w:val="none"/>
        </w:rPr>
        <w:t>日</w:t>
      </w:r>
    </w:p>
    <w:p>
      <w:pPr>
        <w:pageBreakBefore w:val="0"/>
        <w:widowControl/>
        <w:kinsoku/>
        <w:wordWrap/>
        <w:overflowPunct/>
        <w:topLinePunct w:val="0"/>
        <w:autoSpaceDE/>
        <w:autoSpaceDN/>
        <w:bidi w:val="0"/>
        <w:adjustRightInd/>
        <w:snapToGrid/>
        <w:spacing w:line="560" w:lineRule="exact"/>
        <w:jc w:val="left"/>
        <w:rPr>
          <w:rFonts w:ascii="宋体" w:hAnsi="宋体" w:eastAsia="宋体" w:cs="Arial"/>
          <w:b/>
          <w:bCs/>
          <w:color w:val="auto"/>
          <w:sz w:val="36"/>
          <w:szCs w:val="36"/>
          <w:highlight w:val="none"/>
        </w:rPr>
      </w:pPr>
      <w:r>
        <w:rPr>
          <w:rFonts w:ascii="宋体" w:hAnsi="宋体" w:eastAsia="宋体" w:cs="Arial"/>
          <w:b/>
          <w:bCs/>
          <w:color w:val="auto"/>
          <w:sz w:val="36"/>
          <w:szCs w:val="36"/>
          <w:highlight w:val="none"/>
        </w:rPr>
        <w:br w:type="page"/>
      </w:r>
    </w:p>
    <w:p>
      <w:pPr>
        <w:pageBreakBefore w:val="0"/>
        <w:numPr>
          <w:ilvl w:val="0"/>
          <w:numId w:val="1"/>
        </w:numPr>
        <w:kinsoku/>
        <w:wordWrap/>
        <w:overflowPunct/>
        <w:topLinePunct w:val="0"/>
        <w:autoSpaceDE/>
        <w:autoSpaceDN/>
        <w:bidi w:val="0"/>
        <w:adjustRightInd/>
        <w:snapToGrid/>
        <w:spacing w:line="560" w:lineRule="exact"/>
        <w:rPr>
          <w:rFonts w:hint="eastAsia" w:ascii="Times New Roman" w:hAnsi="Times New Roman" w:eastAsia="黑体" w:cs="Times New Roman"/>
          <w:bCs/>
          <w:color w:val="auto"/>
          <w:sz w:val="32"/>
          <w:szCs w:val="32"/>
          <w:highlight w:val="none"/>
        </w:rPr>
      </w:pPr>
      <w:bookmarkStart w:id="0" w:name="_Toc68703827"/>
      <w:r>
        <w:rPr>
          <w:rFonts w:hint="eastAsia" w:ascii="Times New Roman" w:hAnsi="Times New Roman" w:eastAsia="黑体" w:cs="Times New Roman"/>
          <w:bCs/>
          <w:color w:val="auto"/>
          <w:sz w:val="32"/>
          <w:szCs w:val="32"/>
          <w:highlight w:val="none"/>
        </w:rPr>
        <w:t>基本情况</w:t>
      </w:r>
      <w:bookmarkEnd w:id="0"/>
      <w:bookmarkStart w:id="1" w:name="_Toc68703828"/>
    </w:p>
    <w:p>
      <w:pPr>
        <w:pageBreakBefore w:val="0"/>
        <w:numPr>
          <w:ilvl w:val="0"/>
          <w:numId w:val="0"/>
        </w:numPr>
        <w:kinsoku/>
        <w:wordWrap/>
        <w:overflowPunct/>
        <w:topLinePunct w:val="0"/>
        <w:autoSpaceDE/>
        <w:autoSpaceDN/>
        <w:bidi w:val="0"/>
        <w:adjustRightInd/>
        <w:snapToGrid/>
        <w:spacing w:line="560" w:lineRule="exact"/>
        <w:rPr>
          <w:rFonts w:hint="eastAsia" w:ascii="Times New Roman" w:hAnsi="Times New Roman" w:eastAsia="楷体_GB2312" w:cs="Times New Roman"/>
          <w:b/>
          <w:bCs/>
          <w:color w:val="auto"/>
          <w:sz w:val="32"/>
          <w:szCs w:val="32"/>
          <w:highlight w:val="none"/>
          <w:lang w:eastAsia="zh-CN"/>
        </w:rPr>
      </w:pPr>
      <w:r>
        <w:rPr>
          <w:rFonts w:hint="eastAsia" w:ascii="Times New Roman" w:hAnsi="Times New Roman" w:eastAsia="楷体_GB2312" w:cs="Times New Roman"/>
          <w:b/>
          <w:bCs/>
          <w:color w:val="auto"/>
          <w:sz w:val="32"/>
          <w:szCs w:val="32"/>
          <w:highlight w:val="none"/>
          <w:lang w:eastAsia="zh-CN"/>
        </w:rPr>
        <w:t>（一）</w:t>
      </w:r>
      <w:r>
        <w:rPr>
          <w:rFonts w:hint="eastAsia" w:ascii="Times New Roman" w:hAnsi="Times New Roman" w:eastAsia="楷体_GB2312" w:cs="Times New Roman"/>
          <w:b/>
          <w:bCs/>
          <w:color w:val="auto"/>
          <w:sz w:val="32"/>
          <w:szCs w:val="32"/>
          <w:highlight w:val="none"/>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color w:val="auto"/>
          <w:highlight w:val="none"/>
          <w:lang w:eastAsia="zh-CN"/>
        </w:rPr>
      </w:pPr>
      <w:r>
        <w:rPr>
          <w:rFonts w:hint="eastAsia" w:ascii="Times New Roman" w:hAnsi="Times New Roman" w:cs="Times New Roman"/>
          <w:b w:val="0"/>
          <w:bCs w:val="0"/>
          <w:color w:val="auto"/>
          <w:sz w:val="32"/>
          <w:szCs w:val="32"/>
          <w:highlight w:val="none"/>
          <w:lang w:val="en-US" w:eastAsia="zh-CN"/>
        </w:rPr>
        <w:t>　</w:t>
      </w:r>
      <w:r>
        <w:rPr>
          <w:rFonts w:hint="eastAsia" w:ascii="Times New Roman" w:hAnsi="Times New Roman" w:eastAsia="仿宋_GB2312" w:cs="Times New Roman"/>
          <w:b w:val="0"/>
          <w:bCs w:val="0"/>
          <w:color w:val="auto"/>
          <w:sz w:val="32"/>
          <w:szCs w:val="32"/>
          <w:highlight w:val="none"/>
          <w:lang w:val="en-US" w:eastAsia="zh-CN"/>
        </w:rPr>
        <w:t>1.项目背景：</w:t>
      </w:r>
    </w:p>
    <w:p>
      <w:pPr>
        <w:pageBreakBefore w:val="0"/>
        <w:kinsoku/>
        <w:wordWrap/>
        <w:overflowPunct/>
        <w:topLinePunct w:val="0"/>
        <w:autoSpaceDE/>
        <w:autoSpaceDN/>
        <w:bidi w:val="0"/>
        <w:adjustRightInd/>
        <w:snapToGrid/>
        <w:spacing w:line="560" w:lineRule="exact"/>
        <w:ind w:firstLine="640" w:firstLineChars="200"/>
        <w:rPr>
          <w:color w:val="auto"/>
          <w:sz w:val="32"/>
          <w:szCs w:val="32"/>
          <w:highlight w:val="none"/>
        </w:rPr>
      </w:pPr>
      <w:r>
        <w:rPr>
          <w:rFonts w:hint="eastAsia" w:ascii="仿宋_GB2312" w:hAnsi="仿宋"/>
          <w:color w:val="auto"/>
          <w:sz w:val="32"/>
          <w:szCs w:val="32"/>
          <w:highlight w:val="none"/>
        </w:rPr>
        <w:t>本项目依据《项目支出绩效评价管理办法》（财预〔20</w:t>
      </w:r>
      <w:r>
        <w:rPr>
          <w:rFonts w:ascii="仿宋_GB2312" w:hAnsi="仿宋"/>
          <w:color w:val="auto"/>
          <w:sz w:val="32"/>
          <w:szCs w:val="32"/>
          <w:highlight w:val="none"/>
        </w:rPr>
        <w:t>20</w:t>
      </w:r>
      <w:r>
        <w:rPr>
          <w:rFonts w:hint="eastAsia" w:ascii="仿宋_GB2312" w:hAnsi="仿宋"/>
          <w:color w:val="auto"/>
          <w:sz w:val="32"/>
          <w:szCs w:val="32"/>
          <w:highlight w:val="none"/>
        </w:rPr>
        <w:t>〕</w:t>
      </w:r>
      <w:r>
        <w:rPr>
          <w:rFonts w:ascii="仿宋_GB2312" w:hAnsi="仿宋"/>
          <w:color w:val="auto"/>
          <w:sz w:val="32"/>
          <w:szCs w:val="32"/>
          <w:highlight w:val="none"/>
        </w:rPr>
        <w:t>10</w:t>
      </w:r>
      <w:r>
        <w:rPr>
          <w:rFonts w:hint="eastAsia" w:ascii="仿宋_GB2312" w:hAnsi="仿宋"/>
          <w:color w:val="auto"/>
          <w:sz w:val="32"/>
          <w:szCs w:val="32"/>
          <w:highlight w:val="none"/>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auto"/>
          <w:sz w:val="32"/>
          <w:szCs w:val="32"/>
          <w:highlight w:val="none"/>
          <w:lang w:eastAsia="zh-CN"/>
        </w:rPr>
      </w:pPr>
      <w:r>
        <w:rPr>
          <w:rFonts w:hint="eastAsia" w:ascii="Times New Roman" w:hAnsi="Times New Roman" w:cs="Times New Roman"/>
          <w:b w:val="0"/>
          <w:bCs w:val="0"/>
          <w:color w:val="auto"/>
          <w:sz w:val="32"/>
          <w:szCs w:val="32"/>
          <w:highlight w:val="none"/>
          <w:lang w:eastAsia="zh-CN"/>
        </w:rPr>
        <w:t>　</w:t>
      </w:r>
      <w:r>
        <w:rPr>
          <w:rFonts w:hint="eastAsia" w:ascii="Times New Roman" w:hAnsi="Times New Roman" w:eastAsia="仿宋_GB2312" w:cs="Times New Roman"/>
          <w:b w:val="0"/>
          <w:bCs w:val="0"/>
          <w:color w:val="auto"/>
          <w:sz w:val="32"/>
          <w:szCs w:val="32"/>
          <w:highlight w:val="none"/>
          <w:lang w:eastAsia="zh-CN"/>
        </w:rPr>
        <w:t>2</w:t>
      </w:r>
      <w:r>
        <w:rPr>
          <w:rFonts w:hint="eastAsia" w:ascii="Times New Roman" w:hAnsi="Times New Roman"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val="0"/>
          <w:bCs w:val="0"/>
          <w:color w:val="auto"/>
          <w:sz w:val="32"/>
          <w:szCs w:val="32"/>
          <w:highlight w:val="none"/>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hint="eastAsia" w:ascii="仿宋_GB2312"/>
          <w:color w:val="auto"/>
          <w:sz w:val="32"/>
          <w:szCs w:val="32"/>
          <w:highlight w:val="none"/>
        </w:rPr>
        <w:t>主要内容：信息化已经成为推进公安工作和公安队伍建设的重要载体，也是推进“三基”工程建设的重要抓手。为落实公安部、自治区公安厅对各县市信息化建设工作的安排部署，我局结合本地区实际开展了此项目，该项目资金投入572.88万元，主要用于公共信息网络及软件购置更新支出。</w:t>
      </w:r>
    </w:p>
    <w:p>
      <w:pPr>
        <w:pageBreakBefore w:val="0"/>
        <w:kinsoku/>
        <w:wordWrap/>
        <w:overflowPunct/>
        <w:topLinePunct w:val="0"/>
        <w:autoSpaceDE/>
        <w:autoSpaceDN/>
        <w:bidi w:val="0"/>
        <w:adjustRightInd/>
        <w:snapToGrid/>
        <w:spacing w:line="560" w:lineRule="exact"/>
        <w:ind w:firstLine="640" w:firstLineChars="200"/>
        <w:rPr>
          <w:color w:val="auto"/>
          <w:highlight w:val="none"/>
        </w:rPr>
      </w:pPr>
      <w:r>
        <w:rPr>
          <w:rFonts w:hint="eastAsia" w:ascii="仿宋_GB2312"/>
          <w:color w:val="auto"/>
          <w:sz w:val="32"/>
          <w:szCs w:val="32"/>
          <w:highlight w:val="none"/>
        </w:rPr>
        <w:t>实施情况：</w:t>
      </w:r>
      <w:r>
        <w:rPr>
          <w:rFonts w:eastAsia="仿宋_GB2312"/>
          <w:color w:val="auto"/>
          <w:sz w:val="32"/>
          <w:szCs w:val="32"/>
          <w:highlight w:val="none"/>
        </w:rPr>
        <w:t>项目目前已经完成实际设立的目标，项目在实施过程中严格按照目标设立的各阶段任务进行开展工作，在前期立项过程中严格把</w:t>
      </w:r>
      <w:r>
        <w:rPr>
          <w:rFonts w:hint="eastAsia"/>
          <w:color w:val="auto"/>
          <w:sz w:val="32"/>
          <w:szCs w:val="32"/>
          <w:highlight w:val="none"/>
          <w:lang w:eastAsia="zh-CN"/>
        </w:rPr>
        <w:t>好</w:t>
      </w:r>
      <w:r>
        <w:rPr>
          <w:rFonts w:eastAsia="仿宋_GB2312"/>
          <w:color w:val="auto"/>
          <w:sz w:val="32"/>
          <w:szCs w:val="32"/>
          <w:highlight w:val="none"/>
        </w:rPr>
        <w:t>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color w:val="auto"/>
          <w:sz w:val="32"/>
          <w:szCs w:val="32"/>
          <w:highlight w:val="none"/>
          <w:lang w:eastAsia="zh-CN"/>
        </w:rPr>
      </w:pPr>
      <w:r>
        <w:rPr>
          <w:rFonts w:hint="eastAsia" w:ascii="Times New Roman" w:hAnsi="Times New Roman" w:cs="Times New Roman"/>
          <w:b w:val="0"/>
          <w:bCs w:val="0"/>
          <w:color w:val="auto"/>
          <w:sz w:val="32"/>
          <w:szCs w:val="32"/>
          <w:highlight w:val="none"/>
          <w:lang w:eastAsia="zh-CN"/>
        </w:rPr>
        <w:t>　3</w:t>
      </w:r>
      <w:r>
        <w:rPr>
          <w:rFonts w:hint="eastAsia" w:ascii="Times New Roman" w:hAnsi="Times New Roman" w:cs="Times New Roman"/>
          <w:b w:val="0"/>
          <w:bCs w:val="0"/>
          <w:color w:val="auto"/>
          <w:sz w:val="32"/>
          <w:szCs w:val="32"/>
          <w:highlight w:val="none"/>
          <w:lang w:val="en-US" w:eastAsia="zh-CN"/>
        </w:rPr>
        <w:t>.</w:t>
      </w:r>
      <w:r>
        <w:rPr>
          <w:rFonts w:hint="eastAsia" w:ascii="Times New Roman" w:hAnsi="Times New Roman" w:cs="Times New Roman"/>
          <w:b w:val="0"/>
          <w:bCs w:val="0"/>
          <w:color w:val="auto"/>
          <w:sz w:val="32"/>
          <w:szCs w:val="32"/>
          <w:highlight w:val="none"/>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资金投入情况：该项目年初预算数572.88万元，全年预算数</w:t>
      </w:r>
      <w:r>
        <w:rPr>
          <w:rFonts w:hint="eastAsia"/>
          <w:color w:val="auto"/>
          <w:sz w:val="32"/>
          <w:szCs w:val="32"/>
          <w:highlight w:val="none"/>
          <w:lang w:val="en-US" w:eastAsia="zh-CN"/>
        </w:rPr>
        <w:t>572.88</w:t>
      </w:r>
      <w:r>
        <w:rPr>
          <w:rFonts w:hint="eastAsia"/>
          <w:color w:val="auto"/>
          <w:sz w:val="32"/>
          <w:szCs w:val="32"/>
          <w:highlight w:val="none"/>
        </w:rPr>
        <w:t>万元，实际总投入</w:t>
      </w:r>
      <w:r>
        <w:rPr>
          <w:rFonts w:hint="eastAsia"/>
          <w:color w:val="auto"/>
          <w:sz w:val="32"/>
          <w:szCs w:val="32"/>
          <w:highlight w:val="none"/>
          <w:lang w:val="en-US" w:eastAsia="zh-CN"/>
        </w:rPr>
        <w:t>572.88</w:t>
      </w:r>
      <w:r>
        <w:rPr>
          <w:rFonts w:hint="eastAsia"/>
          <w:color w:val="auto"/>
          <w:sz w:val="32"/>
          <w:szCs w:val="32"/>
          <w:highlight w:val="none"/>
        </w:rPr>
        <w:t>万元，该项目资金已全部落实到位，资金来源为</w:t>
      </w:r>
      <w:r>
        <w:rPr>
          <w:rFonts w:hint="eastAsia"/>
          <w:color w:val="auto"/>
          <w:sz w:val="32"/>
          <w:szCs w:val="32"/>
          <w:highlight w:val="none"/>
          <w:lang w:eastAsia="zh-CN"/>
        </w:rPr>
        <w:t>地方财政资金</w:t>
      </w:r>
      <w:r>
        <w:rPr>
          <w:rFonts w:hint="eastAsia"/>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资金使用情况：该项目年初预算数</w:t>
      </w:r>
      <w:r>
        <w:rPr>
          <w:rFonts w:hint="eastAsia"/>
          <w:color w:val="auto"/>
          <w:sz w:val="32"/>
          <w:szCs w:val="32"/>
          <w:highlight w:val="none"/>
          <w:lang w:val="en-US" w:eastAsia="zh-CN"/>
        </w:rPr>
        <w:t>572.88</w:t>
      </w:r>
      <w:r>
        <w:rPr>
          <w:rFonts w:hint="eastAsia"/>
          <w:color w:val="auto"/>
          <w:sz w:val="32"/>
          <w:szCs w:val="32"/>
          <w:highlight w:val="none"/>
        </w:rPr>
        <w:t>万元，全年预算数</w:t>
      </w:r>
      <w:r>
        <w:rPr>
          <w:rFonts w:hint="eastAsia"/>
          <w:color w:val="auto"/>
          <w:sz w:val="32"/>
          <w:szCs w:val="32"/>
          <w:highlight w:val="none"/>
          <w:lang w:val="en-US" w:eastAsia="zh-CN"/>
        </w:rPr>
        <w:t>572.88</w:t>
      </w:r>
      <w:r>
        <w:rPr>
          <w:rFonts w:hint="eastAsia"/>
          <w:color w:val="auto"/>
          <w:sz w:val="32"/>
          <w:szCs w:val="32"/>
          <w:highlight w:val="none"/>
        </w:rPr>
        <w:t>万元，全年执行数</w:t>
      </w:r>
      <w:r>
        <w:rPr>
          <w:rFonts w:hint="eastAsia"/>
          <w:color w:val="auto"/>
          <w:sz w:val="32"/>
          <w:szCs w:val="32"/>
          <w:highlight w:val="none"/>
          <w:lang w:val="en-US" w:eastAsia="zh-CN"/>
        </w:rPr>
        <w:t>572.88</w:t>
      </w:r>
      <w:r>
        <w:rPr>
          <w:rFonts w:hint="eastAsia"/>
          <w:color w:val="auto"/>
          <w:sz w:val="32"/>
          <w:szCs w:val="32"/>
          <w:highlight w:val="none"/>
        </w:rPr>
        <w:t>万元，预算执行率为</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主要</w:t>
      </w:r>
      <w:r>
        <w:rPr>
          <w:rFonts w:hint="eastAsia"/>
          <w:color w:val="auto"/>
          <w:sz w:val="32"/>
          <w:szCs w:val="32"/>
          <w:highlight w:val="none"/>
        </w:rPr>
        <w:t>用于：</w:t>
      </w:r>
      <w:r>
        <w:rPr>
          <w:rFonts w:hint="eastAsia"/>
          <w:color w:val="auto"/>
          <w:sz w:val="32"/>
          <w:szCs w:val="32"/>
          <w:highlight w:val="none"/>
          <w:lang w:eastAsia="zh-CN"/>
        </w:rPr>
        <w:t>支付音频改造26.34万元，信息网安全等级保护采购93万元，350兆PDT基站156.92万元，视频网等级保护设备96.62万元，系统提升设备200万元</w:t>
      </w:r>
      <w:r>
        <w:rPr>
          <w:rFonts w:hint="eastAsia"/>
          <w:color w:val="auto"/>
          <w:sz w:val="32"/>
          <w:szCs w:val="32"/>
          <w:highlight w:val="none"/>
        </w:rPr>
        <w:t>。</w:t>
      </w:r>
      <w:bookmarkStart w:id="2" w:name="_Toc68703829"/>
    </w:p>
    <w:p>
      <w:pPr>
        <w:pageBreakBefore w:val="0"/>
        <w:kinsoku/>
        <w:wordWrap/>
        <w:overflowPunct/>
        <w:topLinePunct w:val="0"/>
        <w:autoSpaceDE/>
        <w:autoSpaceDN/>
        <w:bidi w:val="0"/>
        <w:adjustRightInd/>
        <w:snapToGrid/>
        <w:spacing w:line="560" w:lineRule="exact"/>
        <w:rPr>
          <w:rFonts w:hint="eastAsia" w:ascii="Times New Roman" w:hAnsi="Times New Roman" w:eastAsia="楷体_GB2312" w:cs="Times New Roman"/>
          <w:b/>
          <w:bCs/>
          <w:color w:val="auto"/>
          <w:sz w:val="32"/>
          <w:szCs w:val="32"/>
          <w:highlight w:val="none"/>
          <w:lang w:eastAsia="zh-CN"/>
        </w:rPr>
      </w:pPr>
      <w:r>
        <w:rPr>
          <w:rFonts w:hint="eastAsia" w:ascii="Times New Roman" w:hAnsi="Times New Roman" w:eastAsia="楷体_GB2312" w:cs="Times New Roman"/>
          <w:b/>
          <w:bCs/>
          <w:color w:val="auto"/>
          <w:sz w:val="32"/>
          <w:szCs w:val="32"/>
          <w:highlight w:val="none"/>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sz w:val="32"/>
          <w:szCs w:val="32"/>
          <w:highlight w:val="none"/>
        </w:rPr>
      </w:pPr>
      <w:r>
        <w:rPr>
          <w:rFonts w:hint="eastAsia"/>
          <w:b w:val="0"/>
          <w:bCs w:val="0"/>
          <w:color w:val="auto"/>
          <w:sz w:val="32"/>
          <w:szCs w:val="32"/>
          <w:highlight w:val="none"/>
          <w:lang w:eastAsia="zh-CN"/>
        </w:rPr>
        <w:t>　</w:t>
      </w:r>
      <w:r>
        <w:rPr>
          <w:rFonts w:hint="eastAsia" w:ascii="Times New Roman" w:hAnsi="Times New Roman" w:eastAsia="仿宋_GB2312" w:cs="Times New Roman"/>
          <w:b w:val="0"/>
          <w:bCs w:val="0"/>
          <w:color w:val="auto"/>
          <w:sz w:val="32"/>
          <w:szCs w:val="32"/>
          <w:highlight w:val="none"/>
          <w:lang w:val="en-US" w:eastAsia="zh-CN"/>
        </w:rPr>
        <w:t>1.总体目标：</w:t>
      </w:r>
      <w:r>
        <w:rPr>
          <w:rFonts w:hint="eastAsia" w:cs="Times New Roman"/>
          <w:b w:val="0"/>
          <w:bCs w:val="0"/>
          <w:color w:val="auto"/>
          <w:sz w:val="32"/>
          <w:szCs w:val="32"/>
          <w:highlight w:val="none"/>
          <w:lang w:val="en-US" w:eastAsia="zh-CN"/>
        </w:rPr>
        <w:t>一是</w:t>
      </w:r>
      <w:r>
        <w:rPr>
          <w:rFonts w:hint="eastAsia"/>
          <w:color w:val="auto"/>
          <w:sz w:val="32"/>
          <w:szCs w:val="32"/>
          <w:highlight w:val="none"/>
        </w:rPr>
        <w:t>确保霍尔果斯市政治大局稳定，社会和谐平安，人民群众安全感和满意度不断提升。</w:t>
      </w:r>
      <w:r>
        <w:rPr>
          <w:rFonts w:hint="eastAsia"/>
          <w:color w:val="auto"/>
          <w:sz w:val="32"/>
          <w:szCs w:val="32"/>
          <w:highlight w:val="none"/>
          <w:lang w:eastAsia="zh-CN"/>
        </w:rPr>
        <w:t>二是</w:t>
      </w:r>
      <w:r>
        <w:rPr>
          <w:rFonts w:hint="eastAsia"/>
          <w:color w:val="auto"/>
          <w:sz w:val="32"/>
          <w:szCs w:val="32"/>
          <w:highlight w:val="none"/>
        </w:rPr>
        <w:t>进一步补全公安局</w:t>
      </w:r>
      <w:r>
        <w:rPr>
          <w:rFonts w:hint="eastAsia"/>
          <w:color w:val="auto"/>
          <w:sz w:val="32"/>
          <w:szCs w:val="32"/>
          <w:highlight w:val="none"/>
          <w:lang w:eastAsia="zh-CN"/>
        </w:rPr>
        <w:t>信息化设备</w:t>
      </w:r>
      <w:r>
        <w:rPr>
          <w:rFonts w:hint="eastAsia"/>
          <w:color w:val="auto"/>
          <w:sz w:val="32"/>
          <w:szCs w:val="32"/>
          <w:highlight w:val="none"/>
        </w:rPr>
        <w:t>短板，提高信息化建设水平。</w:t>
      </w:r>
      <w:r>
        <w:rPr>
          <w:rFonts w:hint="eastAsia"/>
          <w:color w:val="auto"/>
          <w:sz w:val="32"/>
          <w:szCs w:val="32"/>
          <w:highlight w:val="none"/>
          <w:lang w:eastAsia="zh-CN"/>
        </w:rPr>
        <w:t>三是</w:t>
      </w:r>
      <w:r>
        <w:rPr>
          <w:rFonts w:hint="eastAsia"/>
          <w:color w:val="auto"/>
          <w:sz w:val="32"/>
          <w:szCs w:val="32"/>
          <w:highlight w:val="none"/>
        </w:rPr>
        <w:t>增强公安业务工作服务能力，提升案件侦办效率。</w:t>
      </w:r>
    </w:p>
    <w:p>
      <w:pPr>
        <w:pageBreakBefore w:val="0"/>
        <w:kinsoku/>
        <w:wordWrap/>
        <w:overflowPunct/>
        <w:topLinePunct w:val="0"/>
        <w:autoSpaceDE/>
        <w:autoSpaceDN/>
        <w:bidi w:val="0"/>
        <w:adjustRightInd/>
        <w:snapToGrid/>
        <w:spacing w:line="560" w:lineRule="exact"/>
        <w:rPr>
          <w:rFonts w:hint="eastAsia"/>
          <w:color w:val="auto"/>
          <w:sz w:val="32"/>
          <w:szCs w:val="32"/>
          <w:highlight w:val="none"/>
        </w:rPr>
      </w:pPr>
      <w:r>
        <w:rPr>
          <w:rFonts w:hint="eastAsia"/>
          <w:b w:val="0"/>
          <w:bCs w:val="0"/>
          <w:color w:val="auto"/>
          <w:sz w:val="32"/>
          <w:szCs w:val="32"/>
          <w:highlight w:val="none"/>
          <w:lang w:eastAsia="zh-CN"/>
        </w:rPr>
        <w:t>　</w:t>
      </w:r>
      <w:r>
        <w:rPr>
          <w:rFonts w:hint="eastAsia" w:ascii="Times New Roman" w:hAnsi="Times New Roman" w:eastAsia="仿宋_GB2312" w:cs="Times New Roman"/>
          <w:b w:val="0"/>
          <w:bCs w:val="0"/>
          <w:color w:val="auto"/>
          <w:sz w:val="32"/>
          <w:szCs w:val="32"/>
          <w:highlight w:val="none"/>
          <w:lang w:val="en-US" w:eastAsia="zh-CN"/>
        </w:rPr>
        <w:t>2.阶段性目标：</w:t>
      </w:r>
      <w:bookmarkStart w:id="3" w:name="_Toc68703830"/>
      <w:r>
        <w:rPr>
          <w:rFonts w:hint="eastAsia" w:ascii="仿宋_GB2312"/>
          <w:color w:val="auto"/>
          <w:sz w:val="32"/>
          <w:szCs w:val="32"/>
          <w:highlight w:val="none"/>
        </w:rPr>
        <w:t>上半年度</w:t>
      </w:r>
      <w:r>
        <w:rPr>
          <w:rFonts w:hint="eastAsia" w:ascii="仿宋_GB2312"/>
          <w:color w:val="auto"/>
          <w:sz w:val="32"/>
          <w:szCs w:val="32"/>
          <w:highlight w:val="none"/>
          <w:lang w:eastAsia="zh-CN"/>
        </w:rPr>
        <w:t>支付</w:t>
      </w:r>
      <w:r>
        <w:rPr>
          <w:rFonts w:hint="eastAsia" w:ascii="仿宋_GB2312"/>
          <w:color w:val="auto"/>
          <w:sz w:val="32"/>
          <w:szCs w:val="32"/>
          <w:highlight w:val="none"/>
        </w:rPr>
        <w:t>总项目</w:t>
      </w:r>
      <w:r>
        <w:rPr>
          <w:rFonts w:hint="eastAsia" w:ascii="仿宋_GB2312"/>
          <w:color w:val="auto"/>
          <w:sz w:val="32"/>
          <w:szCs w:val="32"/>
          <w:highlight w:val="none"/>
          <w:lang w:eastAsia="zh-CN"/>
        </w:rPr>
        <w:t>资金的</w:t>
      </w:r>
      <w:r>
        <w:rPr>
          <w:rFonts w:hint="eastAsia" w:ascii="仿宋_GB2312"/>
          <w:color w:val="auto"/>
          <w:sz w:val="32"/>
          <w:szCs w:val="32"/>
          <w:highlight w:val="none"/>
        </w:rPr>
        <w:t>50%，项目资金支付至</w:t>
      </w:r>
      <w:r>
        <w:rPr>
          <w:rFonts w:hint="eastAsia" w:ascii="仿宋_GB2312"/>
          <w:color w:val="auto"/>
          <w:sz w:val="32"/>
          <w:szCs w:val="32"/>
          <w:highlight w:val="none"/>
          <w:lang w:val="en-US" w:eastAsia="zh-CN"/>
        </w:rPr>
        <w:t>286.44</w:t>
      </w:r>
      <w:r>
        <w:rPr>
          <w:rFonts w:hint="eastAsia" w:ascii="仿宋_GB2312"/>
          <w:color w:val="auto"/>
          <w:sz w:val="32"/>
          <w:szCs w:val="32"/>
          <w:highlight w:val="none"/>
        </w:rPr>
        <w:t>万元</w:t>
      </w:r>
      <w:r>
        <w:rPr>
          <w:rFonts w:hint="eastAsia" w:ascii="仿宋_GB2312"/>
          <w:color w:val="auto"/>
          <w:sz w:val="32"/>
          <w:szCs w:val="32"/>
          <w:highlight w:val="none"/>
          <w:lang w:eastAsia="zh-CN"/>
        </w:rPr>
        <w:t>；</w:t>
      </w:r>
      <w:r>
        <w:rPr>
          <w:rFonts w:hint="eastAsia" w:ascii="仿宋_GB2312"/>
          <w:color w:val="auto"/>
          <w:sz w:val="32"/>
          <w:szCs w:val="32"/>
          <w:highlight w:val="none"/>
        </w:rPr>
        <w:t>基础设施建设项目计划在上半年度全部开工建设；</w:t>
      </w:r>
      <w:r>
        <w:rPr>
          <w:rFonts w:hint="eastAsia" w:ascii="仿宋_GB2312"/>
          <w:color w:val="auto"/>
          <w:sz w:val="32"/>
          <w:szCs w:val="32"/>
          <w:highlight w:val="none"/>
          <w:lang w:eastAsia="zh-CN"/>
        </w:rPr>
        <w:t>下</w:t>
      </w:r>
      <w:r>
        <w:rPr>
          <w:rFonts w:hint="eastAsia" w:ascii="仿宋_GB2312"/>
          <w:color w:val="auto"/>
          <w:sz w:val="32"/>
          <w:szCs w:val="32"/>
          <w:highlight w:val="none"/>
        </w:rPr>
        <w:t>半年度</w:t>
      </w:r>
      <w:r>
        <w:rPr>
          <w:rFonts w:hint="eastAsia" w:ascii="仿宋_GB2312"/>
          <w:color w:val="auto"/>
          <w:sz w:val="32"/>
          <w:szCs w:val="32"/>
          <w:highlight w:val="none"/>
          <w:lang w:eastAsia="zh-CN"/>
        </w:rPr>
        <w:t>完成</w:t>
      </w:r>
      <w:r>
        <w:rPr>
          <w:rFonts w:hint="eastAsia" w:ascii="仿宋_GB2312"/>
          <w:color w:val="auto"/>
          <w:sz w:val="32"/>
          <w:szCs w:val="32"/>
          <w:highlight w:val="none"/>
        </w:rPr>
        <w:t>总项目</w:t>
      </w:r>
      <w:r>
        <w:rPr>
          <w:rFonts w:hint="eastAsia" w:ascii="仿宋_GB2312"/>
          <w:color w:val="auto"/>
          <w:sz w:val="32"/>
          <w:szCs w:val="32"/>
          <w:highlight w:val="none"/>
          <w:lang w:eastAsia="zh-CN"/>
        </w:rPr>
        <w:t>资金</w:t>
      </w:r>
      <w:r>
        <w:rPr>
          <w:rFonts w:hint="eastAsia" w:ascii="仿宋_GB2312"/>
          <w:color w:val="auto"/>
          <w:sz w:val="32"/>
          <w:szCs w:val="32"/>
          <w:highlight w:val="none"/>
        </w:rPr>
        <w:t>，项目资金支付至</w:t>
      </w:r>
      <w:r>
        <w:rPr>
          <w:rFonts w:hint="eastAsia"/>
          <w:color w:val="auto"/>
          <w:sz w:val="32"/>
          <w:szCs w:val="32"/>
          <w:highlight w:val="none"/>
          <w:lang w:val="en-US" w:eastAsia="zh-CN"/>
        </w:rPr>
        <w:t>572.88</w:t>
      </w:r>
      <w:r>
        <w:rPr>
          <w:rFonts w:hint="eastAsia" w:ascii="仿宋_GB2312"/>
          <w:color w:val="auto"/>
          <w:sz w:val="32"/>
          <w:szCs w:val="32"/>
          <w:highlight w:val="none"/>
        </w:rPr>
        <w:t>万元。</w:t>
      </w:r>
    </w:p>
    <w:p>
      <w:pPr>
        <w:pageBreakBefore w:val="0"/>
        <w:kinsoku/>
        <w:wordWrap/>
        <w:overflowPunct/>
        <w:topLinePunct w:val="0"/>
        <w:autoSpaceDE/>
        <w:autoSpaceDN/>
        <w:bidi w:val="0"/>
        <w:adjustRightInd/>
        <w:snapToGrid/>
        <w:spacing w:line="560" w:lineRule="exact"/>
        <w:rPr>
          <w:rFonts w:hint="eastAsia" w:ascii="Times New Roman" w:hAnsi="Times New Roman" w:eastAsia="黑体" w:cs="Times New Roman"/>
          <w:bCs/>
          <w:color w:val="auto"/>
          <w:sz w:val="32"/>
          <w:szCs w:val="32"/>
          <w:highlight w:val="none"/>
          <w:lang w:val="en-US" w:eastAsia="zh-CN"/>
        </w:rPr>
      </w:pPr>
      <w:r>
        <w:rPr>
          <w:rFonts w:hint="eastAsia" w:ascii="Times New Roman" w:hAnsi="Times New Roman" w:eastAsia="黑体" w:cs="Times New Roman"/>
          <w:bCs/>
          <w:color w:val="auto"/>
          <w:sz w:val="32"/>
          <w:szCs w:val="32"/>
          <w:highlight w:val="none"/>
          <w:lang w:val="en-US" w:eastAsia="zh-CN"/>
        </w:rPr>
        <w:t>二、绩效评价工作开展情况</w:t>
      </w:r>
      <w:bookmarkEnd w:id="3"/>
    </w:p>
    <w:p>
      <w:pPr>
        <w:pageBreakBefore w:val="0"/>
        <w:numPr>
          <w:ilvl w:val="0"/>
          <w:numId w:val="0"/>
        </w:numPr>
        <w:kinsoku/>
        <w:wordWrap/>
        <w:overflowPunct/>
        <w:topLinePunct w:val="0"/>
        <w:autoSpaceDE/>
        <w:autoSpaceDN/>
        <w:bidi w:val="0"/>
        <w:adjustRightInd/>
        <w:snapToGrid/>
        <w:spacing w:line="560" w:lineRule="exact"/>
        <w:rPr>
          <w:rFonts w:hint="eastAsia" w:ascii="Times New Roman" w:hAnsi="Times New Roman" w:eastAsia="楷体_GB2312" w:cs="Times New Roman"/>
          <w:b/>
          <w:bCs/>
          <w:color w:val="auto"/>
          <w:sz w:val="32"/>
          <w:szCs w:val="32"/>
          <w:highlight w:val="none"/>
          <w:lang w:eastAsia="zh-CN"/>
        </w:rPr>
      </w:pPr>
      <w:bookmarkStart w:id="4" w:name="_Toc68703831"/>
      <w:r>
        <w:rPr>
          <w:rFonts w:hint="eastAsia" w:ascii="Times New Roman" w:hAnsi="Times New Roman" w:eastAsia="楷体_GB2312" w:cs="Times New Roman"/>
          <w:b/>
          <w:bCs/>
          <w:color w:val="auto"/>
          <w:sz w:val="32"/>
          <w:szCs w:val="32"/>
          <w:highlight w:val="none"/>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　1.绩效评价目的</w:t>
      </w:r>
    </w:p>
    <w:p>
      <w:pPr>
        <w:pageBreakBefore w:val="0"/>
        <w:kinsoku/>
        <w:wordWrap/>
        <w:overflowPunct/>
        <w:topLinePunct w:val="0"/>
        <w:autoSpaceDE/>
        <w:autoSpaceDN/>
        <w:bidi w:val="0"/>
        <w:adjustRightInd/>
        <w:snapToGrid/>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（2）项目绩效管理财政支出运行提供及时、有效的信息。</w:t>
      </w:r>
    </w:p>
    <w:p>
      <w:pPr>
        <w:pStyle w:val="22"/>
        <w:pageBreakBefore w:val="0"/>
        <w:kinsoku/>
        <w:wordWrap/>
        <w:overflowPunct/>
        <w:topLinePunct w:val="0"/>
        <w:autoSpaceDE/>
        <w:autoSpaceDN/>
        <w:bidi w:val="0"/>
        <w:adjustRightInd/>
        <w:snapToGrid/>
        <w:spacing w:line="560" w:lineRule="exact"/>
        <w:ind w:firstLine="640" w:firstLineChars="200"/>
        <w:rPr>
          <w:rFonts w:eastAsia="方正仿宋_GBK" w:cs="方正仿宋_GBK"/>
          <w:color w:val="auto"/>
          <w:sz w:val="32"/>
          <w:szCs w:val="32"/>
          <w:highlight w:val="none"/>
        </w:rPr>
      </w:pPr>
      <w:r>
        <w:rPr>
          <w:rFonts w:eastAsia="仿宋_GB2312"/>
          <w:color w:val="auto"/>
          <w:sz w:val="32"/>
          <w:szCs w:val="32"/>
          <w:highlight w:val="none"/>
        </w:rPr>
        <w:t>综合来看，通过开展有效的财政支出绩效评价管理，</w:t>
      </w:r>
      <w:r>
        <w:rPr>
          <w:rFonts w:hint="eastAsia" w:eastAsia="仿宋_GB2312"/>
          <w:color w:val="auto"/>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cs="Times New Roman"/>
          <w:b/>
          <w:bCs/>
          <w:color w:val="auto"/>
          <w:sz w:val="30"/>
          <w:szCs w:val="30"/>
          <w:highlight w:val="none"/>
          <w:lang w:val="en-US" w:eastAsia="zh-CN"/>
        </w:rPr>
        <w:t>　</w:t>
      </w:r>
      <w:r>
        <w:rPr>
          <w:rFonts w:hint="eastAsia" w:ascii="Times New Roman" w:hAnsi="Times New Roman" w:eastAsia="仿宋_GB2312" w:cs="Times New Roman"/>
          <w:b w:val="0"/>
          <w:bCs w:val="0"/>
          <w:color w:val="auto"/>
          <w:sz w:val="32"/>
          <w:szCs w:val="32"/>
          <w:highlight w:val="none"/>
          <w:lang w:val="en-US" w:eastAsia="zh-CN"/>
        </w:rPr>
        <w:t>2.绩效评价对象：</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信息网络及软件购置类项目所包含的全部项目内容。</w:t>
      </w:r>
    </w:p>
    <w:p>
      <w:pPr>
        <w:pageBreakBefore w:val="0"/>
        <w:kinsoku/>
        <w:wordWrap/>
        <w:overflowPunct/>
        <w:topLinePunct w:val="0"/>
        <w:autoSpaceDE/>
        <w:autoSpaceDN/>
        <w:bidi w:val="0"/>
        <w:adjustRightInd/>
        <w:snapToGrid/>
        <w:spacing w:line="560" w:lineRule="exact"/>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本次评价从项目决策（包括绩效目标、决策过程）、项目管理（包括项目资金、项目实施）、项目产出（包括项目产出数量、产出质量、产出时效和产出成本）项目效益四个维度进行信息网络及软件购置类项目评价，评价核心为资金的支出完成情况和效果。</w:t>
      </w:r>
    </w:p>
    <w:p>
      <w:pPr>
        <w:pStyle w:val="5"/>
        <w:pageBreakBefore w:val="0"/>
        <w:widowControl w:val="0"/>
        <w:kinsoku/>
        <w:wordWrap/>
        <w:overflowPunct/>
        <w:topLinePunct w:val="0"/>
        <w:autoSpaceDE/>
        <w:autoSpaceDN/>
        <w:bidi w:val="0"/>
        <w:adjustRightInd/>
        <w:snapToGrid/>
        <w:spacing w:before="0" w:after="0"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5" w:name="_Toc68703832"/>
      <w:r>
        <w:rPr>
          <w:rFonts w:hint="eastAsia" w:ascii="Times New Roman" w:hAnsi="Times New Roman" w:eastAsia="楷体_GB2312" w:cs="Times New Roman"/>
          <w:b/>
          <w:bCs/>
          <w:color w:val="auto"/>
          <w:kern w:val="2"/>
          <w:sz w:val="32"/>
          <w:szCs w:val="32"/>
          <w:highlight w:val="none"/>
          <w:lang w:val="en-US" w:eastAsia="zh-CN" w:bidi="ar-SA"/>
        </w:rPr>
        <w:t>（二）绩效评价原则、评价指标体系</w:t>
      </w:r>
      <w:r>
        <w:rPr>
          <w:rFonts w:eastAsia="楷体_GB2312"/>
          <w:b/>
          <w:bCs/>
          <w:color w:val="auto"/>
          <w:sz w:val="32"/>
          <w:szCs w:val="32"/>
          <w:highlight w:val="none"/>
        </w:rPr>
        <w:t>（详情</w:t>
      </w:r>
      <w:r>
        <w:rPr>
          <w:rFonts w:hint="eastAsia" w:ascii="Times New Roman" w:hAnsi="Times New Roman" w:eastAsia="楷体_GB2312" w:cs="Times New Roman"/>
          <w:b/>
          <w:bCs/>
          <w:color w:val="auto"/>
          <w:kern w:val="2"/>
          <w:sz w:val="32"/>
          <w:szCs w:val="32"/>
          <w:highlight w:val="none"/>
          <w:lang w:val="en-US" w:eastAsia="zh-CN" w:bidi="ar-SA"/>
        </w:rPr>
        <w:t>见表1）、评价方法、评价标准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1</w:t>
      </w:r>
      <w:r>
        <w:rPr>
          <w:rFonts w:hint="eastAsia"/>
          <w:color w:val="auto"/>
          <w:sz w:val="32"/>
          <w:szCs w:val="32"/>
          <w:highlight w:val="none"/>
          <w:lang w:val="en-US" w:eastAsia="zh-CN"/>
        </w:rPr>
        <w:t>.</w:t>
      </w:r>
      <w:r>
        <w:rPr>
          <w:rFonts w:hint="eastAsia"/>
          <w:color w:val="auto"/>
          <w:sz w:val="32"/>
          <w:szCs w:val="32"/>
          <w:highlight w:val="none"/>
        </w:rPr>
        <w:t>绩效评价原则</w:t>
      </w:r>
    </w:p>
    <w:p>
      <w:pPr>
        <w:pageBreakBefore w:val="0"/>
        <w:kinsoku/>
        <w:wordWrap/>
        <w:overflowPunct/>
        <w:topLinePunct w:val="0"/>
        <w:autoSpaceDE/>
        <w:autoSpaceDN/>
        <w:bidi w:val="0"/>
        <w:adjustRightInd/>
        <w:snapToGrid/>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本次项目绩效评价遵循以下基本原则：</w:t>
      </w:r>
    </w:p>
    <w:p>
      <w:pPr>
        <w:pStyle w:val="1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（1）科学公正。绩效评价应当运用科学合理的方法，按照规范的程序，对项目绩效进行客观、公正的反映。</w:t>
      </w:r>
    </w:p>
    <w:p>
      <w:pPr>
        <w:pStyle w:val="1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（3）激励约束。绩效评价结果应与预算安排、政策调整、改进管理实质性挂钩，体现奖优罚劣和激励相容导向，有效要安排、低效要压减、无效要问责。</w:t>
      </w:r>
    </w:p>
    <w:p>
      <w:pPr>
        <w:pStyle w:val="12"/>
        <w:pageBreakBefore w:val="0"/>
        <w:kinsoku/>
        <w:wordWrap/>
        <w:overflowPunct/>
        <w:topLinePunct w:val="0"/>
        <w:autoSpaceDE/>
        <w:autoSpaceDN/>
        <w:bidi w:val="0"/>
        <w:adjustRightInd/>
        <w:snapToGrid/>
        <w:spacing w:before="0" w:after="0" w:line="560" w:lineRule="exact"/>
        <w:ind w:firstLine="640" w:firstLineChars="200"/>
        <w:jc w:val="both"/>
        <w:outlineLvl w:val="9"/>
        <w:rPr>
          <w:color w:val="auto"/>
          <w:highlight w:val="none"/>
        </w:rPr>
      </w:pPr>
      <w:r>
        <w:rPr>
          <w:rFonts w:ascii="Times New Roman" w:hAnsi="Times New Roman" w:eastAsia="仿宋_GB2312"/>
          <w:b w:val="0"/>
          <w:bCs w:val="0"/>
          <w:color w:val="auto"/>
          <w:highlight w:val="none"/>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00" w:firstLineChars="200"/>
        <w:jc w:val="left"/>
        <w:rPr>
          <w:rFonts w:hint="eastAsia"/>
          <w:color w:val="auto"/>
          <w:sz w:val="32"/>
          <w:szCs w:val="32"/>
          <w:highlight w:val="none"/>
        </w:rPr>
      </w:pPr>
      <w:r>
        <w:rPr>
          <w:rFonts w:hint="eastAsia"/>
          <w:color w:val="auto"/>
          <w:highlight w:val="none"/>
        </w:rPr>
        <w:t>2、</w:t>
      </w:r>
      <w:r>
        <w:rPr>
          <w:rFonts w:hint="eastAsia"/>
          <w:color w:val="auto"/>
          <w:sz w:val="32"/>
          <w:szCs w:val="32"/>
          <w:highlight w:val="none"/>
        </w:rPr>
        <w:t>评价指标体系</w:t>
      </w:r>
    </w:p>
    <w:p>
      <w:pPr>
        <w:pageBreakBefore w:val="0"/>
        <w:kinsoku/>
        <w:wordWrap/>
        <w:overflowPunct/>
        <w:topLinePunct w:val="0"/>
        <w:autoSpaceDE/>
        <w:autoSpaceDN/>
        <w:bidi w:val="0"/>
        <w:adjustRightInd/>
        <w:snapToGrid/>
        <w:spacing w:line="560" w:lineRule="exact"/>
        <w:ind w:firstLine="708" w:firstLineChars="200"/>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（1）确定评价指标</w:t>
      </w:r>
    </w:p>
    <w:p>
      <w:pPr>
        <w:pageBreakBefore w:val="0"/>
        <w:kinsoku/>
        <w:wordWrap/>
        <w:overflowPunct/>
        <w:topLinePunct w:val="0"/>
        <w:autoSpaceDE/>
        <w:autoSpaceDN/>
        <w:bidi w:val="0"/>
        <w:adjustRightInd/>
        <w:snapToGrid/>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（2）确定权重</w:t>
      </w:r>
    </w:p>
    <w:p>
      <w:pPr>
        <w:pageBreakBefore w:val="0"/>
        <w:kinsoku/>
        <w:wordWrap/>
        <w:overflowPunct/>
        <w:topLinePunct w:val="0"/>
        <w:autoSpaceDE/>
        <w:autoSpaceDN/>
        <w:bidi w:val="0"/>
        <w:adjustRightInd/>
        <w:snapToGrid/>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pPr>
        <w:pageBreakBefore w:val="0"/>
        <w:kinsoku/>
        <w:wordWrap/>
        <w:overflowPunct/>
        <w:topLinePunct w:val="0"/>
        <w:autoSpaceDE/>
        <w:autoSpaceDN/>
        <w:bidi w:val="0"/>
        <w:adjustRightInd/>
        <w:snapToGrid/>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2"/>
        <w:pageBreakBefore w:val="0"/>
        <w:kinsoku/>
        <w:wordWrap/>
        <w:overflowPunct/>
        <w:topLinePunct w:val="0"/>
        <w:autoSpaceDE/>
        <w:autoSpaceDN/>
        <w:bidi w:val="0"/>
        <w:adjustRightInd/>
        <w:snapToGrid/>
        <w:spacing w:before="0" w:after="0" w:line="560" w:lineRule="exact"/>
        <w:ind w:firstLine="708" w:firstLineChars="200"/>
        <w:jc w:val="both"/>
        <w:rPr>
          <w:rFonts w:ascii="Times New Roman" w:hAnsi="Times New Roman" w:eastAsia="仿宋_GB2312"/>
          <w:b w:val="0"/>
          <w:bCs w:val="0"/>
          <w:color w:val="auto"/>
          <w:spacing w:val="17"/>
          <w:kern w:val="2"/>
          <w:highlight w:val="none"/>
        </w:rPr>
      </w:pPr>
      <w:r>
        <w:rPr>
          <w:rFonts w:ascii="Times New Roman" w:hAnsi="Times New Roman" w:eastAsia="仿宋_GB2312"/>
          <w:b w:val="0"/>
          <w:bCs w:val="0"/>
          <w:color w:val="auto"/>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2"/>
        <w:pageBreakBefore w:val="0"/>
        <w:widowControl w:val="0"/>
        <w:kinsoku/>
        <w:wordWrap/>
        <w:overflowPunct/>
        <w:topLinePunct w:val="0"/>
        <w:autoSpaceDE/>
        <w:autoSpaceDN/>
        <w:bidi w:val="0"/>
        <w:adjustRightInd/>
        <w:snapToGrid/>
        <w:spacing w:before="0" w:after="0" w:line="560" w:lineRule="exact"/>
        <w:ind w:firstLine="708" w:firstLineChars="200"/>
        <w:jc w:val="both"/>
        <w:outlineLvl w:val="9"/>
        <w:rPr>
          <w:rFonts w:hint="eastAsia"/>
          <w:color w:val="auto"/>
          <w:highlight w:val="none"/>
        </w:rPr>
      </w:pPr>
      <w:r>
        <w:rPr>
          <w:rFonts w:ascii="Times New Roman" w:hAnsi="Times New Roman" w:eastAsia="仿宋_GB2312"/>
          <w:b w:val="0"/>
          <w:bCs w:val="0"/>
          <w:color w:val="auto"/>
          <w:spacing w:val="17"/>
          <w:highlight w:val="none"/>
        </w:rPr>
        <w:t>具体评价指标体系详情见附件1</w:t>
      </w:r>
    </w:p>
    <w:p>
      <w:pPr>
        <w:pStyle w:val="7"/>
        <w:pageBreakBefore w:val="0"/>
        <w:kinsoku/>
        <w:wordWrap/>
        <w:overflowPunct/>
        <w:topLinePunct w:val="0"/>
        <w:autoSpaceDE/>
        <w:autoSpaceDN/>
        <w:bidi w:val="0"/>
        <w:adjustRightInd/>
        <w:snapToGrid/>
        <w:spacing w:line="560" w:lineRule="exact"/>
        <w:rPr>
          <w:rFonts w:hint="eastAsia"/>
          <w:color w:val="auto"/>
          <w:sz w:val="32"/>
          <w:szCs w:val="32"/>
          <w:highlight w:val="none"/>
        </w:rPr>
      </w:pPr>
      <w:r>
        <w:rPr>
          <w:rFonts w:hint="eastAsia"/>
          <w:color w:val="auto"/>
          <w:sz w:val="32"/>
          <w:szCs w:val="32"/>
          <w:highlight w:val="none"/>
        </w:rPr>
        <w:t>3、评价方法</w:t>
      </w:r>
    </w:p>
    <w:p>
      <w:pPr>
        <w:pageBreakBefore w:val="0"/>
        <w:kinsoku/>
        <w:wordWrap/>
        <w:overflowPunct/>
        <w:topLinePunct w:val="0"/>
        <w:autoSpaceDE/>
        <w:autoSpaceDN/>
        <w:bidi w:val="0"/>
        <w:adjustRightInd/>
        <w:snapToGrid/>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708" w:firstLineChars="200"/>
        <w:rPr>
          <w:rFonts w:hint="eastAsia" w:eastAsia="仿宋_GB2312"/>
          <w:bCs/>
          <w:color w:val="auto"/>
          <w:sz w:val="32"/>
          <w:szCs w:val="32"/>
          <w:highlight w:val="none"/>
          <w:lang w:eastAsia="zh-CN"/>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（1）比较法</w:t>
      </w:r>
    </w:p>
    <w:p>
      <w:pPr>
        <w:pageBreakBefore w:val="0"/>
        <w:kinsoku/>
        <w:wordWrap/>
        <w:overflowPunct/>
        <w:topLinePunct w:val="0"/>
        <w:autoSpaceDE/>
        <w:autoSpaceDN/>
        <w:bidi w:val="0"/>
        <w:adjustRightInd/>
        <w:snapToGrid/>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通过对绩效目标与实施效果、历史与当期情况，综合分析绩效目标实现程度。对</w:t>
      </w:r>
      <w:r>
        <w:rPr>
          <w:rFonts w:eastAsia="仿宋_GB2312"/>
          <w:color w:val="auto"/>
          <w:sz w:val="32"/>
          <w:szCs w:val="32"/>
          <w:highlight w:val="none"/>
        </w:rPr>
        <w:t>项目</w:t>
      </w:r>
      <w:r>
        <w:rPr>
          <w:rFonts w:eastAsia="仿宋_GB2312"/>
          <w:color w:val="auto"/>
          <w:spacing w:val="17"/>
          <w:sz w:val="32"/>
          <w:szCs w:val="32"/>
          <w:highlight w:val="none"/>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（2）因素分析法</w:t>
      </w:r>
    </w:p>
    <w:p>
      <w:pPr>
        <w:pageBreakBefore w:val="0"/>
        <w:kinsoku/>
        <w:wordWrap/>
        <w:overflowPunct/>
        <w:topLinePunct w:val="0"/>
        <w:autoSpaceDE/>
        <w:autoSpaceDN/>
        <w:bidi w:val="0"/>
        <w:adjustRightInd/>
        <w:snapToGrid/>
        <w:spacing w:line="560" w:lineRule="exact"/>
        <w:ind w:firstLine="708" w:firstLineChars="200"/>
        <w:rPr>
          <w:rFonts w:hint="eastAsia" w:eastAsia="仿宋_GB2312"/>
          <w:bCs/>
          <w:color w:val="auto"/>
          <w:sz w:val="32"/>
          <w:szCs w:val="32"/>
          <w:highlight w:val="none"/>
          <w:lang w:eastAsia="zh-CN"/>
        </w:rPr>
      </w:pPr>
      <w:r>
        <w:rPr>
          <w:rFonts w:eastAsia="仿宋_GB2312"/>
          <w:color w:val="auto"/>
          <w:spacing w:val="17"/>
          <w:sz w:val="32"/>
          <w:szCs w:val="32"/>
          <w:highlight w:val="none"/>
        </w:rPr>
        <w:t>通过综合分析影响绩效目标实现、实施效果的内外因素，评价绩效目标实现程度。通过对</w:t>
      </w:r>
      <w:r>
        <w:rPr>
          <w:rFonts w:eastAsia="仿宋_GB2312"/>
          <w:color w:val="auto"/>
          <w:sz w:val="32"/>
          <w:szCs w:val="32"/>
          <w:highlight w:val="none"/>
        </w:rPr>
        <w:t>项目</w:t>
      </w:r>
      <w:r>
        <w:rPr>
          <w:rFonts w:eastAsia="仿宋_GB2312"/>
          <w:color w:val="auto"/>
          <w:spacing w:val="17"/>
          <w:sz w:val="32"/>
          <w:szCs w:val="32"/>
          <w:highlight w:val="none"/>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highlight w:val="none"/>
        </w:rPr>
      </w:pPr>
      <w:r>
        <w:rPr>
          <w:rFonts w:hint="eastAsia"/>
          <w:color w:val="auto"/>
          <w:highlight w:val="none"/>
          <w:lang w:eastAsia="zh-CN"/>
        </w:rPr>
        <w:t>　　</w:t>
      </w:r>
      <w:r>
        <w:rPr>
          <w:rFonts w:hint="eastAsia"/>
          <w:color w:val="auto"/>
          <w:sz w:val="32"/>
          <w:szCs w:val="32"/>
          <w:highlight w:val="none"/>
        </w:rPr>
        <w:t>4</w:t>
      </w:r>
      <w:r>
        <w:rPr>
          <w:rFonts w:hint="eastAsia"/>
          <w:color w:val="auto"/>
          <w:sz w:val="32"/>
          <w:szCs w:val="32"/>
          <w:highlight w:val="none"/>
          <w:lang w:val="en-US" w:eastAsia="zh-CN"/>
        </w:rPr>
        <w:t>.</w:t>
      </w:r>
      <w:r>
        <w:rPr>
          <w:rFonts w:hint="eastAsia"/>
          <w:color w:val="auto"/>
          <w:sz w:val="32"/>
          <w:szCs w:val="32"/>
          <w:highlight w:val="none"/>
        </w:rPr>
        <w:t>评价标准</w:t>
      </w:r>
    </w:p>
    <w:p>
      <w:pPr>
        <w:pageBreakBefore w:val="0"/>
        <w:kinsoku/>
        <w:wordWrap/>
        <w:overflowPunct/>
        <w:topLinePunct w:val="0"/>
        <w:autoSpaceDE/>
        <w:autoSpaceDN/>
        <w:bidi w:val="0"/>
        <w:adjustRightInd/>
        <w:snapToGrid/>
        <w:spacing w:line="560" w:lineRule="exact"/>
        <w:ind w:firstLine="640"/>
        <w:rPr>
          <w:rFonts w:hint="eastAsia"/>
          <w:bCs/>
          <w:color w:val="auto"/>
          <w:sz w:val="32"/>
          <w:szCs w:val="32"/>
          <w:highlight w:val="none"/>
        </w:rPr>
      </w:pPr>
      <w:r>
        <w:rPr>
          <w:rFonts w:hint="eastAsia"/>
          <w:bCs/>
          <w:color w:val="auto"/>
          <w:sz w:val="32"/>
          <w:szCs w:val="32"/>
          <w:highlight w:val="none"/>
        </w:rPr>
        <w:t>绩效评价标准通常包括计划标准、行业标准、历史标准等，用于对绩效指标完成情况进行比较、分析、评价。本次评价主要采用了计划标准</w:t>
      </w:r>
      <w:r>
        <w:rPr>
          <w:rFonts w:hint="eastAsia"/>
          <w:bCs/>
          <w:color w:val="auto"/>
          <w:sz w:val="32"/>
          <w:szCs w:val="32"/>
          <w:highlight w:val="none"/>
          <w:lang w:eastAsia="zh-CN"/>
        </w:rPr>
        <w:t>、</w:t>
      </w:r>
      <w:r>
        <w:rPr>
          <w:rFonts w:hint="eastAsia"/>
          <w:bCs/>
          <w:color w:val="auto"/>
          <w:sz w:val="32"/>
          <w:szCs w:val="32"/>
          <w:highlight w:val="none"/>
        </w:rPr>
        <w:t>行业标准</w:t>
      </w:r>
      <w:r>
        <w:rPr>
          <w:rFonts w:hint="eastAsia"/>
          <w:bCs/>
          <w:color w:val="auto"/>
          <w:sz w:val="32"/>
          <w:szCs w:val="32"/>
          <w:highlight w:val="none"/>
          <w:lang w:eastAsia="zh-CN"/>
        </w:rPr>
        <w:t>、</w:t>
      </w:r>
      <w:r>
        <w:rPr>
          <w:rFonts w:hint="eastAsia"/>
          <w:bCs/>
          <w:color w:val="auto"/>
          <w:sz w:val="32"/>
          <w:szCs w:val="32"/>
          <w:highlight w:val="none"/>
        </w:rPr>
        <w:t>历史标准。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highlight w:val="none"/>
        </w:rPr>
      </w:pPr>
      <w:r>
        <w:rPr>
          <w:rFonts w:hint="eastAsia"/>
          <w:bCs/>
          <w:color w:val="auto"/>
          <w:sz w:val="32"/>
          <w:szCs w:val="32"/>
          <w:highlight w:val="none"/>
        </w:rPr>
        <w:t>（一）计划标准。指以预先制定的目标、计划、预算、定额等作为评价标准。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highlight w:val="none"/>
        </w:rPr>
      </w:pPr>
      <w:r>
        <w:rPr>
          <w:rFonts w:hint="eastAsia"/>
          <w:bCs/>
          <w:color w:val="auto"/>
          <w:sz w:val="32"/>
          <w:szCs w:val="32"/>
          <w:highlight w:val="none"/>
        </w:rPr>
        <w:t>（二）行业标准。指参照国家公布的行业指标数据制定的评价标准。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auto"/>
          <w:w w:val="95"/>
          <w:sz w:val="32"/>
          <w:szCs w:val="32"/>
          <w:highlight w:val="none"/>
        </w:rPr>
      </w:pPr>
      <w:r>
        <w:rPr>
          <w:rFonts w:hint="eastAsia"/>
          <w:bCs/>
          <w:color w:val="auto"/>
          <w:sz w:val="32"/>
          <w:szCs w:val="32"/>
          <w:highlight w:val="none"/>
        </w:rPr>
        <w:t>（三）历史标准。指参照历史数据制定的评价标准，为体现</w:t>
      </w:r>
      <w:r>
        <w:rPr>
          <w:rFonts w:hint="eastAsia"/>
          <w:bCs/>
          <w:color w:val="auto"/>
          <w:w w:val="95"/>
          <w:sz w:val="32"/>
          <w:szCs w:val="32"/>
          <w:highlight w:val="none"/>
        </w:rPr>
        <w:t>绩效改进的原则，在可实现的条件下应当确定相对较高的评价标准。</w:t>
      </w:r>
      <w:bookmarkStart w:id="6" w:name="_Toc68703833"/>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r>
        <w:rPr>
          <w:rFonts w:hint="eastAsia" w:ascii="Times New Roman" w:hAnsi="Times New Roman" w:eastAsia="楷体_GB2312" w:cs="Times New Roman"/>
          <w:b/>
          <w:bCs/>
          <w:color w:val="auto"/>
          <w:kern w:val="2"/>
          <w:sz w:val="32"/>
          <w:szCs w:val="32"/>
          <w:highlight w:val="none"/>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1</w:t>
      </w:r>
      <w:r>
        <w:rPr>
          <w:rFonts w:hint="eastAsia"/>
          <w:color w:val="auto"/>
          <w:sz w:val="32"/>
          <w:szCs w:val="32"/>
          <w:highlight w:val="none"/>
          <w:lang w:val="en-US" w:eastAsia="zh-CN"/>
        </w:rPr>
        <w:t>.</w:t>
      </w:r>
      <w:r>
        <w:rPr>
          <w:rFonts w:hint="eastAsia"/>
          <w:color w:val="auto"/>
          <w:sz w:val="32"/>
          <w:szCs w:val="32"/>
          <w:highlight w:val="none"/>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2</w:t>
      </w:r>
      <w:r>
        <w:rPr>
          <w:rFonts w:hint="eastAsia"/>
          <w:color w:val="auto"/>
          <w:sz w:val="32"/>
          <w:szCs w:val="32"/>
          <w:highlight w:val="none"/>
          <w:lang w:val="en-US" w:eastAsia="zh-CN"/>
        </w:rPr>
        <w:t>.</w:t>
      </w:r>
      <w:r>
        <w:rPr>
          <w:rFonts w:hint="eastAsia"/>
          <w:color w:val="auto"/>
          <w:sz w:val="32"/>
          <w:szCs w:val="32"/>
          <w:highlight w:val="none"/>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3</w:t>
      </w:r>
      <w:r>
        <w:rPr>
          <w:rFonts w:hint="eastAsia"/>
          <w:color w:val="auto"/>
          <w:sz w:val="32"/>
          <w:szCs w:val="32"/>
          <w:highlight w:val="none"/>
          <w:lang w:val="en-US" w:eastAsia="zh-CN"/>
        </w:rPr>
        <w:t>.</w:t>
      </w:r>
      <w:r>
        <w:rPr>
          <w:rFonts w:hint="eastAsia"/>
          <w:color w:val="auto"/>
          <w:sz w:val="32"/>
          <w:szCs w:val="32"/>
          <w:highlight w:val="none"/>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color w:val="auto"/>
          <w:sz w:val="32"/>
          <w:szCs w:val="32"/>
          <w:highlight w:val="none"/>
        </w:rPr>
      </w:pPr>
      <w:bookmarkStart w:id="7" w:name="_Toc68703834"/>
      <w:r>
        <w:rPr>
          <w:rFonts w:hint="eastAsia" w:eastAsia="仿宋_GB2312"/>
          <w:bCs/>
          <w:color w:val="auto"/>
          <w:sz w:val="32"/>
          <w:szCs w:val="32"/>
          <w:highlight w:val="none"/>
        </w:rPr>
        <w:t>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0"/>
        </w:numPr>
        <w:kinsoku/>
        <w:wordWrap/>
        <w:overflowPunct/>
        <w:topLinePunct w:val="0"/>
        <w:autoSpaceDE/>
        <w:autoSpaceDN/>
        <w:bidi w:val="0"/>
        <w:adjustRightInd/>
        <w:snapToGrid/>
        <w:spacing w:line="560" w:lineRule="exact"/>
        <w:rPr>
          <w:rFonts w:hint="eastAsia" w:ascii="Times New Roman" w:hAnsi="Times New Roman" w:eastAsia="黑体" w:cs="Times New Roman"/>
          <w:bCs/>
          <w:color w:val="auto"/>
          <w:sz w:val="32"/>
          <w:szCs w:val="32"/>
          <w:highlight w:val="none"/>
          <w:lang w:val="en-US" w:eastAsia="zh-CN"/>
        </w:rPr>
      </w:pPr>
      <w:r>
        <w:rPr>
          <w:rFonts w:hint="eastAsia" w:eastAsia="黑体" w:cs="Times New Roman"/>
          <w:bCs/>
          <w:color w:val="auto"/>
          <w:sz w:val="32"/>
          <w:szCs w:val="32"/>
          <w:highlight w:val="none"/>
          <w:lang w:val="en-US" w:eastAsia="zh-CN"/>
        </w:rPr>
        <w:t>三、</w:t>
      </w:r>
      <w:r>
        <w:rPr>
          <w:rFonts w:hint="eastAsia" w:ascii="Times New Roman" w:hAnsi="Times New Roman" w:eastAsia="黑体" w:cs="Times New Roman"/>
          <w:bCs/>
          <w:color w:val="auto"/>
          <w:sz w:val="32"/>
          <w:szCs w:val="32"/>
          <w:highlight w:val="none"/>
          <w:lang w:val="en-US" w:eastAsia="zh-CN"/>
        </w:rPr>
        <w:t>综合评价情况及评价结论</w:t>
      </w:r>
      <w:bookmarkEnd w:id="7"/>
      <w:r>
        <w:rPr>
          <w:rFonts w:eastAsia="黑体"/>
          <w:color w:val="auto"/>
          <w:sz w:val="32"/>
          <w:szCs w:val="32"/>
          <w:highlight w:val="none"/>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8" w:name="_Toc68703835"/>
      <w:r>
        <w:rPr>
          <w:rFonts w:hint="eastAsia" w:ascii="Times New Roman" w:hAnsi="Times New Roman" w:eastAsia="楷体_GB2312" w:cs="Times New Roman"/>
          <w:b/>
          <w:bCs/>
          <w:color w:val="auto"/>
          <w:kern w:val="2"/>
          <w:sz w:val="32"/>
          <w:szCs w:val="32"/>
          <w:highlight w:val="none"/>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ascii="Times New Roman" w:hAnsi="Times New Roman" w:eastAsia="仿宋_GB2312" w:cs="Times New Roman"/>
          <w:b w:val="0"/>
          <w:bCs w:val="0"/>
          <w:color w:val="auto"/>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5"/>
        <w:pageBreakBefore w:val="0"/>
        <w:widowControl w:val="0"/>
        <w:kinsoku/>
        <w:wordWrap/>
        <w:overflowPunct/>
        <w:topLinePunct w:val="0"/>
        <w:autoSpaceDE/>
        <w:autoSpaceDN/>
        <w:bidi w:val="0"/>
        <w:adjustRightInd/>
        <w:snapToGrid/>
        <w:spacing w:before="0" w:after="0"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9" w:name="_Toc68703836"/>
      <w:r>
        <w:rPr>
          <w:rFonts w:hint="eastAsia" w:ascii="Times New Roman" w:hAnsi="Times New Roman" w:eastAsia="楷体_GB2312" w:cs="Times New Roman"/>
          <w:b/>
          <w:bCs/>
          <w:color w:val="auto"/>
          <w:kern w:val="2"/>
          <w:sz w:val="32"/>
          <w:szCs w:val="32"/>
          <w:highlight w:val="none"/>
          <w:lang w:val="en-US" w:eastAsia="zh-CN" w:bidi="ar-SA"/>
        </w:rPr>
        <w:t>（二）评价结论</w:t>
      </w:r>
      <w:bookmarkEnd w:id="9"/>
    </w:p>
    <w:p>
      <w:pPr>
        <w:pStyle w:val="12"/>
        <w:keepNext w:val="0"/>
        <w:keepLines w:val="0"/>
        <w:pageBreakBefore w:val="0"/>
        <w:widowControl/>
        <w:kinsoku/>
        <w:wordWrap/>
        <w:overflowPunct/>
        <w:topLinePunct w:val="0"/>
        <w:autoSpaceDE/>
        <w:autoSpaceDN/>
        <w:bidi w:val="0"/>
        <w:adjustRightInd/>
        <w:snapToGrid/>
        <w:spacing w:before="0" w:after="0" w:line="560" w:lineRule="exact"/>
        <w:jc w:val="both"/>
        <w:textAlignment w:val="auto"/>
        <w:rPr>
          <w:rFonts w:hint="eastAsia"/>
          <w:color w:val="auto"/>
          <w:highlight w:val="none"/>
        </w:rPr>
      </w:pPr>
      <w:r>
        <w:rPr>
          <w:rFonts w:hint="eastAsia" w:ascii="Times New Roman" w:hAnsi="Times New Roman" w:eastAsia="仿宋_GB2312"/>
          <w:b w:val="0"/>
          <w:bCs w:val="0"/>
          <w:color w:val="auto"/>
          <w:highlight w:val="none"/>
          <w:lang w:eastAsia="zh-CN"/>
        </w:rPr>
        <w:t>　　</w:t>
      </w:r>
      <w:r>
        <w:rPr>
          <w:rFonts w:hint="eastAsia" w:ascii="Times New Roman" w:hAnsi="Times New Roman" w:eastAsia="仿宋_GB2312"/>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分，属于“优”。其中，项目决策类指标权重为20分，得分为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%。项目过程类指标权重为20分，得分为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%。项目产出类指标权重为40分，得分为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%。项目效益类指标权重为20分，得分为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%。具体打分情况详见：附件1综合评分表</w:t>
      </w:r>
      <w:r>
        <w:rPr>
          <w:rFonts w:hint="eastAsia" w:ascii="Times New Roman" w:hAnsi="Times New Roman" w:eastAsia="仿宋_GB2312"/>
          <w:b w:val="0"/>
          <w:bCs w:val="0"/>
          <w:color w:val="auto"/>
          <w:highlight w:val="none"/>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color w:val="auto"/>
          <w:kern w:val="28"/>
          <w:sz w:val="32"/>
          <w:szCs w:val="32"/>
          <w:highlight w:val="none"/>
          <w:lang w:val="en-US" w:eastAsia="zh-CN" w:bidi="ar-SA"/>
        </w:rPr>
      </w:pPr>
      <w:r>
        <w:rPr>
          <w:rFonts w:hint="eastAsia"/>
          <w:color w:val="auto"/>
          <w:sz w:val="30"/>
          <w:szCs w:val="30"/>
          <w:highlight w:val="none"/>
          <w:lang w:eastAsia="zh-CN"/>
        </w:rPr>
        <w:t>　　　　　　　　</w:t>
      </w:r>
      <w:r>
        <w:rPr>
          <w:rFonts w:hint="eastAsia" w:ascii="Times New Roman" w:hAnsi="Times New Roman" w:eastAsia="仿宋_GB2312" w:cs="Times New Roman"/>
          <w:b w:val="0"/>
          <w:bCs w:val="0"/>
          <w:color w:val="auto"/>
          <w:kern w:val="28"/>
          <w:sz w:val="32"/>
          <w:szCs w:val="32"/>
          <w:highlight w:val="none"/>
          <w:lang w:val="en-US" w:eastAsia="zh-CN" w:bidi="ar-SA"/>
        </w:rPr>
        <w:t>表1综合评分表</w:t>
      </w:r>
    </w:p>
    <w:tbl>
      <w:tblPr>
        <w:tblStyle w:val="13"/>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highlight w:val="none"/>
              </w:rPr>
            </w:pPr>
            <w:r>
              <w:rPr>
                <w:rFonts w:hint="eastAsia"/>
                <w:b/>
                <w:bCs/>
                <w:color w:val="auto"/>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highlight w:val="none"/>
              </w:rPr>
            </w:pPr>
            <w:r>
              <w:rPr>
                <w:rFonts w:hint="eastAsia"/>
                <w:b/>
                <w:bCs/>
                <w:color w:val="auto"/>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highlight w:val="none"/>
              </w:rPr>
            </w:pPr>
            <w:r>
              <w:rPr>
                <w:rFonts w:hint="eastAsia"/>
                <w:b/>
                <w:bCs/>
                <w:color w:val="auto"/>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eastAsia="宋体"/>
                <w:color w:val="auto"/>
                <w:sz w:val="22"/>
                <w:highlight w:val="none"/>
              </w:rPr>
            </w:pPr>
            <w:r>
              <w:rPr>
                <w:rFonts w:hint="eastAsia" w:eastAsia="宋体"/>
                <w:color w:val="auto"/>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eastAsia="宋体"/>
                <w:color w:val="auto"/>
                <w:sz w:val="22"/>
                <w:highlight w:val="none"/>
              </w:rPr>
            </w:pPr>
            <w:r>
              <w:rPr>
                <w:rFonts w:hint="eastAsia" w:eastAsia="宋体"/>
                <w:color w:val="auto"/>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eastAsia="宋体"/>
                <w:color w:val="auto"/>
                <w:sz w:val="22"/>
                <w:highlight w:val="none"/>
              </w:rPr>
            </w:pPr>
            <w:r>
              <w:rPr>
                <w:rFonts w:hint="eastAsia" w:eastAsia="宋体"/>
                <w:color w:val="auto"/>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eastAsia="宋体"/>
                <w:color w:val="auto"/>
                <w:sz w:val="22"/>
                <w:highlight w:val="none"/>
              </w:rPr>
            </w:pPr>
            <w:r>
              <w:rPr>
                <w:rFonts w:hint="eastAsia" w:eastAsia="宋体"/>
                <w:color w:val="auto"/>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auto"/>
                <w:sz w:val="22"/>
                <w:highlight w:val="none"/>
              </w:rPr>
            </w:pPr>
            <w:r>
              <w:rPr>
                <w:rFonts w:hint="eastAsia" w:cs="宋体"/>
                <w:b/>
                <w:bCs/>
                <w:color w:val="auto"/>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22"/>
                <w:highlight w:val="none"/>
                <w:lang w:val="en-US" w:eastAsia="zh-CN"/>
              </w:rPr>
            </w:pPr>
            <w:r>
              <w:rPr>
                <w:rFonts w:hint="eastAsia"/>
                <w:b/>
                <w:bCs/>
                <w:color w:val="auto"/>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22"/>
                <w:highlight w:val="none"/>
                <w:lang w:val="en-US" w:eastAsia="zh-CN"/>
              </w:rPr>
            </w:pPr>
            <w:r>
              <w:rPr>
                <w:rFonts w:hint="eastAsia"/>
                <w:b/>
                <w:bCs/>
                <w:color w:val="auto"/>
                <w:sz w:val="22"/>
                <w:highlight w:val="none"/>
                <w:lang w:val="en-US" w:eastAsia="zh-CN"/>
              </w:rPr>
              <w:t>100</w:t>
            </w:r>
          </w:p>
        </w:tc>
      </w:tr>
    </w:tbl>
    <w:p>
      <w:pPr>
        <w:pageBreakBefore w:val="0"/>
        <w:kinsoku/>
        <w:wordWrap/>
        <w:overflowPunct/>
        <w:topLinePunct w:val="0"/>
        <w:autoSpaceDE/>
        <w:autoSpaceDN/>
        <w:bidi w:val="0"/>
        <w:adjustRightInd/>
        <w:snapToGrid/>
        <w:spacing w:line="560" w:lineRule="exact"/>
        <w:rPr>
          <w:rFonts w:hint="eastAsia" w:ascii="Times New Roman" w:hAnsi="Times New Roman" w:eastAsia="黑体" w:cs="Times New Roman"/>
          <w:bCs/>
          <w:color w:val="auto"/>
          <w:sz w:val="32"/>
          <w:szCs w:val="32"/>
          <w:highlight w:val="none"/>
          <w:lang w:val="en-US" w:eastAsia="zh-CN"/>
        </w:rPr>
      </w:pPr>
      <w:bookmarkStart w:id="10" w:name="_Toc68703837"/>
      <w:r>
        <w:rPr>
          <w:rFonts w:hint="eastAsia" w:ascii="Times New Roman" w:hAnsi="Times New Roman" w:eastAsia="黑体" w:cs="Times New Roman"/>
          <w:bCs/>
          <w:color w:val="auto"/>
          <w:sz w:val="32"/>
          <w:szCs w:val="32"/>
          <w:highlight w:val="none"/>
          <w:lang w:val="en-US" w:eastAsia="zh-CN"/>
        </w:rPr>
        <w:t>四、绩效评价指标分析</w:t>
      </w:r>
      <w:bookmarkEnd w:id="10"/>
    </w:p>
    <w:p>
      <w:pPr>
        <w:pageBreakBefore w:val="0"/>
        <w:kinsoku/>
        <w:wordWrap/>
        <w:overflowPunct/>
        <w:topLinePunct w:val="0"/>
        <w:autoSpaceDE/>
        <w:autoSpaceDN/>
        <w:bidi w:val="0"/>
        <w:adjustRightInd/>
        <w:snapToGrid/>
        <w:spacing w:line="560" w:lineRule="exact"/>
        <w:rPr>
          <w:rFonts w:hint="eastAsia" w:ascii="Times New Roman" w:hAnsi="Times New Roman" w:eastAsia="楷体_GB2312" w:cs="Times New Roman"/>
          <w:b/>
          <w:bCs/>
          <w:color w:val="auto"/>
          <w:kern w:val="2"/>
          <w:sz w:val="32"/>
          <w:szCs w:val="32"/>
          <w:highlight w:val="none"/>
          <w:lang w:val="en-US" w:eastAsia="zh-CN" w:bidi="ar-SA"/>
        </w:rPr>
      </w:pPr>
      <w:bookmarkStart w:id="11" w:name="_Toc68703838"/>
      <w:r>
        <w:rPr>
          <w:rFonts w:hint="eastAsia" w:ascii="Times New Roman" w:hAnsi="Times New Roman" w:eastAsia="楷体_GB2312" w:cs="Times New Roman"/>
          <w:b/>
          <w:bCs/>
          <w:color w:val="auto"/>
          <w:kern w:val="2"/>
          <w:sz w:val="32"/>
          <w:szCs w:val="32"/>
          <w:highlight w:val="none"/>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highlight w:val="none"/>
          <w:lang w:val="en-US" w:eastAsia="zh-CN"/>
        </w:rPr>
      </w:pPr>
      <w:r>
        <w:rPr>
          <w:rFonts w:hint="eastAsia"/>
          <w:b w:val="0"/>
          <w:bCs w:val="0"/>
          <w:color w:val="auto"/>
          <w:sz w:val="32"/>
          <w:szCs w:val="32"/>
          <w:highlight w:val="none"/>
          <w:lang w:val="en-US" w:eastAsia="zh-CN"/>
        </w:rPr>
        <w:t>　　项目决策类指标包括项目立项、绩效目标和资金投入三方面的内容，由6个三级指标构成，权重分值为20分，实际得分20分，得分率为100%。</w:t>
      </w:r>
    </w:p>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val="en-US" w:eastAsia="zh-CN"/>
        </w:rPr>
        <w:t>项目立项</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w:t>
      </w:r>
    </w:p>
    <w:p>
      <w:pPr>
        <w:pageBreakBefore w:val="0"/>
        <w:shd w:val="clear"/>
        <w:kinsoku/>
        <w:wordWrap/>
        <w:overflowPunct/>
        <w:topLinePunct w:val="0"/>
        <w:autoSpaceDE/>
        <w:autoSpaceDN/>
        <w:bidi w:val="0"/>
        <w:adjustRightInd/>
        <w:snapToGrid/>
        <w:spacing w:line="560" w:lineRule="exact"/>
        <w:ind w:firstLine="640" w:firstLineChars="200"/>
        <w:outlineLvl w:val="0"/>
        <w:rPr>
          <w:color w:val="auto"/>
          <w:sz w:val="32"/>
          <w:szCs w:val="32"/>
          <w:highlight w:val="none"/>
        </w:rPr>
      </w:pPr>
      <w:r>
        <w:rPr>
          <w:rFonts w:hint="eastAsia" w:ascii="仿宋_GB2312" w:hAnsi="仿宋_GB2312" w:eastAsia="仿宋_GB2312" w:cs="仿宋_GB2312"/>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color w:val="auto"/>
          <w:sz w:val="32"/>
          <w:szCs w:val="32"/>
          <w:highlight w:val="none"/>
        </w:rPr>
      </w:pPr>
      <w:r>
        <w:rPr>
          <w:rFonts w:hint="eastAsia"/>
          <w:b w:val="0"/>
          <w:bCs w:val="0"/>
          <w:color w:val="auto"/>
          <w:sz w:val="32"/>
          <w:szCs w:val="32"/>
          <w:highlight w:val="none"/>
        </w:rPr>
        <w:t>2</w:t>
      </w:r>
      <w:r>
        <w:rPr>
          <w:rFonts w:hint="eastAsia"/>
          <w:b w:val="0"/>
          <w:bCs w:val="0"/>
          <w:color w:val="auto"/>
          <w:sz w:val="32"/>
          <w:szCs w:val="32"/>
          <w:highlight w:val="none"/>
          <w:lang w:val="en-US" w:eastAsia="zh-CN"/>
        </w:rPr>
        <w:t>.</w:t>
      </w:r>
      <w:r>
        <w:rPr>
          <w:rFonts w:hint="eastAsia"/>
          <w:b w:val="0"/>
          <w:bCs w:val="0"/>
          <w:color w:val="auto"/>
          <w:sz w:val="32"/>
          <w:szCs w:val="32"/>
          <w:highlight w:val="none"/>
        </w:rPr>
        <w:t>立项程序规范性</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项目申请、设立过程符合相关要求，</w:t>
      </w:r>
      <w:r>
        <w:rPr>
          <w:rFonts w:hint="eastAsia" w:ascii="仿宋_GB2312" w:hAnsi="仿宋_GB2312" w:eastAsia="仿宋_GB2312" w:cs="仿宋_GB2312"/>
          <w:color w:val="auto"/>
          <w:sz w:val="32"/>
          <w:szCs w:val="32"/>
          <w:highlight w:val="none"/>
          <w:lang w:eastAsia="zh-Hans"/>
        </w:rPr>
        <w:t>严格按照审批流程准备符合要求的文件、材料；</w:t>
      </w:r>
      <w:r>
        <w:rPr>
          <w:rFonts w:hint="eastAsia" w:ascii="仿宋_GB2312" w:hAnsi="仿宋_GB2312" w:eastAsia="仿宋_GB2312" w:cs="仿宋_GB2312"/>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2.绩效目标</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Hans"/>
        </w:rPr>
        <w:t>年初结合实际工作内容</w:t>
      </w:r>
      <w:r>
        <w:rPr>
          <w:rFonts w:hint="eastAsia" w:ascii="仿宋_GB2312" w:hAnsi="仿宋_GB2312" w:eastAsia="仿宋_GB2312" w:cs="仿宋_GB2312"/>
          <w:color w:val="auto"/>
          <w:sz w:val="32"/>
          <w:szCs w:val="32"/>
          <w:highlight w:val="none"/>
          <w:lang w:val="en-US" w:eastAsia="zh-CN"/>
        </w:rPr>
        <w:t>设定绩效目标</w:t>
      </w:r>
      <w:r>
        <w:rPr>
          <w:rFonts w:hint="eastAsia" w:ascii="仿宋_GB2312" w:hAnsi="仿宋_GB2312" w:eastAsia="仿宋_GB2312" w:cs="仿宋_GB2312"/>
          <w:color w:val="auto"/>
          <w:sz w:val="32"/>
          <w:szCs w:val="32"/>
          <w:highlight w:val="none"/>
          <w:lang w:val="en-US" w:eastAsia="zh-Hans"/>
        </w:rPr>
        <w:t>，绩效目标</w:t>
      </w:r>
      <w:r>
        <w:rPr>
          <w:rFonts w:hint="eastAsia" w:ascii="仿宋_GB2312" w:hAnsi="仿宋_GB2312" w:eastAsia="仿宋_GB2312" w:cs="仿宋_GB2312"/>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bookmarkStart w:id="12" w:name="_Hlk68699917"/>
      <w:r>
        <w:rPr>
          <w:rFonts w:hint="eastAsia" w:ascii="仿宋_GB2312" w:hAnsi="仿宋_GB2312" w:eastAsia="仿宋_GB2312" w:cs="仿宋_GB2312"/>
          <w:color w:val="auto"/>
          <w:sz w:val="32"/>
          <w:szCs w:val="32"/>
          <w:highlight w:val="none"/>
          <w:lang w:val="en-US" w:eastAsia="zh-CN"/>
        </w:rPr>
        <w:t>（2）绩效指标明确性</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lang w:val="en-US" w:eastAsia="zh-CN"/>
        </w:rPr>
        <w:t>资金投入</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（1）预算编制科学性</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预算编制经过科学论证，提供充分的测算依据佐证资料，预算内容与项目内容相匹配。项目投资额与工作任务相匹配。</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（2）资金分配合理性</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资金分配额度与项目单位实际工作内容相适应，资金分配额度合理，资金分配依据充分。</w:t>
      </w:r>
    </w:p>
    <w:p>
      <w:pPr>
        <w:pStyle w:val="12"/>
        <w:pageBreakBefore w:val="0"/>
        <w:numPr>
          <w:ilvl w:val="0"/>
          <w:numId w:val="0"/>
        </w:numPr>
        <w:kinsoku/>
        <w:wordWrap/>
        <w:overflowPunct/>
        <w:topLinePunct w:val="0"/>
        <w:autoSpaceDE/>
        <w:autoSpaceDN/>
        <w:bidi w:val="0"/>
        <w:adjustRightInd/>
        <w:snapToGrid/>
        <w:spacing w:before="0" w:after="0" w:line="560" w:lineRule="exact"/>
        <w:jc w:val="both"/>
        <w:rPr>
          <w:rFonts w:ascii="楷体" w:hAnsi="楷体" w:eastAsia="楷体" w:cs="楷体"/>
          <w:color w:val="auto"/>
          <w:highlight w:val="none"/>
        </w:rPr>
      </w:pPr>
      <w:r>
        <w:rPr>
          <w:rFonts w:hint="eastAsia" w:ascii="楷体" w:hAnsi="楷体" w:eastAsia="楷体" w:cs="楷体"/>
          <w:color w:val="auto"/>
          <w:highlight w:val="none"/>
          <w:lang w:eastAsia="zh-CN"/>
        </w:rPr>
        <w:t>（二）</w:t>
      </w:r>
      <w:r>
        <w:rPr>
          <w:rFonts w:hint="eastAsia" w:ascii="楷体" w:hAnsi="楷体" w:eastAsia="楷体" w:cs="楷体"/>
          <w:color w:val="auto"/>
          <w:highlight w:val="none"/>
        </w:rPr>
        <w:t>项目过程情况</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项目过程类指标包括资金管理和组织实施两方面的内容，由5个三级指标构成，权重分值为20分，实际得分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1.资金管理</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本项目总投资572.88万元，财政资金及时足额到位，到位率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%，预算资金按计划进度执行。</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预算编制较为详细，项目资金支出总体能够按照预算执行，预算资金支出572.88万元，预算执行率为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2.组织实施</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7"/>
        <w:pageBreakBefore w:val="0"/>
        <w:numPr>
          <w:ilvl w:val="0"/>
          <w:numId w:val="3"/>
        </w:numPr>
        <w:kinsoku/>
        <w:wordWrap/>
        <w:overflowPunct/>
        <w:topLinePunct w:val="0"/>
        <w:autoSpaceDE/>
        <w:autoSpaceDN/>
        <w:bidi w:val="0"/>
        <w:adjustRightInd/>
        <w:snapToGrid/>
        <w:spacing w:line="560" w:lineRule="exact"/>
        <w:rPr>
          <w:rFonts w:hint="eastAsia" w:ascii="Times New Roman" w:hAnsi="Times New Roman" w:eastAsia="楷体_GB2312" w:cs="Times New Roman"/>
          <w:b/>
          <w:bCs/>
          <w:color w:val="auto"/>
          <w:kern w:val="2"/>
          <w:sz w:val="32"/>
          <w:szCs w:val="32"/>
          <w:highlight w:val="none"/>
          <w:lang w:val="en-US" w:eastAsia="zh-CN" w:bidi="ar-SA"/>
        </w:rPr>
      </w:pPr>
      <w:bookmarkStart w:id="13" w:name="_Toc68703840"/>
      <w:r>
        <w:rPr>
          <w:rFonts w:hint="eastAsia" w:ascii="Times New Roman" w:hAnsi="Times New Roman" w:eastAsia="楷体_GB2312" w:cs="Times New Roman"/>
          <w:b/>
          <w:bCs/>
          <w:color w:val="auto"/>
          <w:kern w:val="2"/>
          <w:sz w:val="32"/>
          <w:szCs w:val="32"/>
          <w:highlight w:val="none"/>
          <w:lang w:val="en-US" w:eastAsia="zh-CN" w:bidi="ar-SA"/>
        </w:rPr>
        <w:t>（三）项目产出情况</w:t>
      </w:r>
      <w:bookmarkEnd w:id="13"/>
    </w:p>
    <w:p>
      <w:pPr>
        <w:pageBreakBefore w:val="0"/>
        <w:shd w:val="clear"/>
        <w:kinsoku/>
        <w:wordWrap/>
        <w:overflowPunct/>
        <w:topLinePunct w:val="0"/>
        <w:autoSpaceDE/>
        <w:autoSpaceDN/>
        <w:bidi w:val="0"/>
        <w:adjustRightInd/>
        <w:snapToGrid/>
        <w:spacing w:line="56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项目产出类指标包括产出数量、产出质量、产出时效、产出成本四方面的内容，由</w:t>
      </w:r>
      <w:r>
        <w:rPr>
          <w:rFonts w:hint="eastAsia" w:ascii="仿宋_GB2312" w:hAnsi="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lang w:val="en-US" w:eastAsia="zh-CN"/>
        </w:rPr>
        <w:t>个三级指标构成，权重分为40分，实际得分</w:t>
      </w:r>
      <w:r>
        <w:rPr>
          <w:rFonts w:hint="eastAsia" w:ascii="仿宋_GB2312" w:hAnsi="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%。具体产出指标完成情况如下：</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1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eastAsia="zh-CN"/>
        </w:rPr>
        <w:t>350兆PDT基站建设数</w:t>
      </w:r>
      <w:r>
        <w:rPr>
          <w:rFonts w:hint="eastAsia"/>
          <w:color w:val="auto"/>
          <w:sz w:val="32"/>
          <w:szCs w:val="32"/>
          <w:highlight w:val="none"/>
        </w:rPr>
        <w:t>，指标值：&gt;=8个，实际完成值</w:t>
      </w:r>
      <w:r>
        <w:rPr>
          <w:rFonts w:hint="eastAsia"/>
          <w:color w:val="auto"/>
          <w:sz w:val="32"/>
          <w:szCs w:val="32"/>
          <w:highlight w:val="none"/>
          <w:lang w:eastAsia="zh-CN"/>
        </w:rPr>
        <w:t>：8个</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指标2：</w:t>
      </w:r>
      <w:r>
        <w:rPr>
          <w:rFonts w:hint="eastAsia"/>
          <w:color w:val="auto"/>
          <w:sz w:val="32"/>
          <w:szCs w:val="32"/>
          <w:highlight w:val="none"/>
          <w:lang w:eastAsia="zh-CN"/>
        </w:rPr>
        <w:t>支付以前年度项目数量</w:t>
      </w:r>
      <w:r>
        <w:rPr>
          <w:rFonts w:hint="eastAsia"/>
          <w:color w:val="auto"/>
          <w:sz w:val="32"/>
          <w:szCs w:val="32"/>
          <w:highlight w:val="none"/>
        </w:rPr>
        <w:t>，指标值：</w:t>
      </w:r>
      <w:r>
        <w:rPr>
          <w:rFonts w:hint="eastAsia"/>
          <w:color w:val="auto"/>
          <w:sz w:val="32"/>
          <w:szCs w:val="32"/>
          <w:highlight w:val="none"/>
          <w:lang w:eastAsia="zh-CN"/>
        </w:rPr>
        <w:t>&gt;=2个</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2个</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lang w:eastAsia="zh-CN"/>
        </w:rPr>
      </w:pPr>
      <w:r>
        <w:rPr>
          <w:rFonts w:hint="eastAsia"/>
          <w:color w:val="auto"/>
          <w:sz w:val="32"/>
          <w:szCs w:val="32"/>
          <w:highlight w:val="none"/>
        </w:rPr>
        <w:t>指标</w:t>
      </w:r>
      <w:r>
        <w:rPr>
          <w:rFonts w:hint="eastAsia"/>
          <w:color w:val="auto"/>
          <w:sz w:val="32"/>
          <w:szCs w:val="32"/>
          <w:highlight w:val="none"/>
          <w:lang w:val="en-US" w:eastAsia="zh-CN"/>
        </w:rPr>
        <w:t>3</w:t>
      </w:r>
      <w:r>
        <w:rPr>
          <w:rFonts w:hint="eastAsia"/>
          <w:color w:val="auto"/>
          <w:sz w:val="32"/>
          <w:szCs w:val="32"/>
          <w:highlight w:val="none"/>
        </w:rPr>
        <w:t>：</w:t>
      </w:r>
      <w:r>
        <w:rPr>
          <w:rFonts w:hint="eastAsia"/>
          <w:color w:val="auto"/>
          <w:sz w:val="32"/>
          <w:szCs w:val="32"/>
          <w:highlight w:val="none"/>
          <w:lang w:eastAsia="zh-CN"/>
        </w:rPr>
        <w:t>购置信息网络安全等级保护系统数</w:t>
      </w:r>
      <w:r>
        <w:rPr>
          <w:rFonts w:hint="eastAsia"/>
          <w:color w:val="auto"/>
          <w:sz w:val="32"/>
          <w:szCs w:val="32"/>
          <w:highlight w:val="none"/>
        </w:rPr>
        <w:t>，指标值：</w:t>
      </w:r>
      <w:r>
        <w:rPr>
          <w:rFonts w:hint="eastAsia"/>
          <w:color w:val="auto"/>
          <w:sz w:val="32"/>
          <w:szCs w:val="32"/>
          <w:highlight w:val="none"/>
          <w:lang w:eastAsia="zh-CN"/>
        </w:rPr>
        <w:t>&gt;=2套</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2套</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2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eastAsia="zh-CN"/>
        </w:rPr>
        <w:t>购置设备验收合格率</w:t>
      </w:r>
      <w:r>
        <w:rPr>
          <w:rFonts w:hint="eastAsia"/>
          <w:color w:val="auto"/>
          <w:sz w:val="32"/>
          <w:szCs w:val="32"/>
          <w:highlight w:val="none"/>
        </w:rPr>
        <w:t>，指标值：</w:t>
      </w:r>
      <w:r>
        <w:rPr>
          <w:rFonts w:hint="eastAsia"/>
          <w:color w:val="auto"/>
          <w:sz w:val="32"/>
          <w:szCs w:val="32"/>
          <w:highlight w:val="none"/>
          <w:lang w:eastAsia="zh-CN"/>
        </w:rPr>
        <w:t>&gt;=95%</w:t>
      </w:r>
      <w:r>
        <w:rPr>
          <w:rFonts w:hint="eastAsia"/>
          <w:color w:val="auto"/>
          <w:sz w:val="32"/>
          <w:szCs w:val="32"/>
          <w:highlight w:val="none"/>
        </w:rPr>
        <w:t>，实际完成值</w:t>
      </w:r>
      <w:r>
        <w:rPr>
          <w:rFonts w:hint="eastAsia"/>
          <w:color w:val="auto"/>
          <w:sz w:val="32"/>
          <w:szCs w:val="32"/>
          <w:highlight w:val="none"/>
          <w:lang w:eastAsia="zh-CN"/>
        </w:rPr>
        <w:t>：100%</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rPr>
        <w:t>%，偏差原因：设备已全部验收合格。</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指标2：</w:t>
      </w:r>
      <w:r>
        <w:rPr>
          <w:rFonts w:hint="eastAsia"/>
          <w:color w:val="auto"/>
          <w:sz w:val="32"/>
          <w:szCs w:val="32"/>
          <w:highlight w:val="none"/>
          <w:lang w:eastAsia="zh-CN"/>
        </w:rPr>
        <w:t>设备质量合格率</w:t>
      </w:r>
      <w:r>
        <w:rPr>
          <w:rFonts w:hint="eastAsia"/>
          <w:color w:val="auto"/>
          <w:sz w:val="32"/>
          <w:szCs w:val="32"/>
          <w:highlight w:val="none"/>
        </w:rPr>
        <w:t>，指标值：</w:t>
      </w:r>
      <w:r>
        <w:rPr>
          <w:rFonts w:hint="eastAsia"/>
          <w:color w:val="auto"/>
          <w:sz w:val="32"/>
          <w:szCs w:val="32"/>
          <w:highlight w:val="none"/>
          <w:lang w:eastAsia="zh-CN"/>
        </w:rPr>
        <w:t>&gt;=95%</w:t>
      </w:r>
      <w:r>
        <w:rPr>
          <w:rFonts w:hint="eastAsia"/>
          <w:color w:val="auto"/>
          <w:sz w:val="32"/>
          <w:szCs w:val="32"/>
          <w:highlight w:val="none"/>
        </w:rPr>
        <w:t>，实际完成值</w:t>
      </w:r>
      <w:r>
        <w:rPr>
          <w:rFonts w:hint="eastAsia"/>
          <w:color w:val="auto"/>
          <w:sz w:val="32"/>
          <w:szCs w:val="32"/>
          <w:highlight w:val="none"/>
          <w:lang w:eastAsia="zh-CN"/>
        </w:rPr>
        <w:t>：100%</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rPr>
        <w:t>%，偏差原因：设备已全部验收合格。</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color w:val="auto"/>
          <w:w w:val="94"/>
          <w:highlight w:val="none"/>
          <w:lang w:eastAsia="zh-CN"/>
        </w:rPr>
      </w:pPr>
      <w:r>
        <w:rPr>
          <w:rFonts w:hint="eastAsia" w:ascii="仿宋_GB2312" w:hAnsi="仿宋_GB2312" w:eastAsia="仿宋_GB2312" w:cs="仿宋_GB2312"/>
          <w:color w:val="auto"/>
          <w:w w:val="94"/>
          <w:sz w:val="32"/>
          <w:szCs w:val="32"/>
          <w:highlight w:val="none"/>
        </w:rPr>
        <w:t>指标</w:t>
      </w:r>
      <w:r>
        <w:rPr>
          <w:rFonts w:hint="eastAsia" w:ascii="仿宋_GB2312" w:hAnsi="仿宋_GB2312" w:cs="仿宋_GB2312"/>
          <w:color w:val="auto"/>
          <w:w w:val="94"/>
          <w:sz w:val="32"/>
          <w:szCs w:val="32"/>
          <w:highlight w:val="none"/>
          <w:lang w:val="en-US" w:eastAsia="zh-CN"/>
        </w:rPr>
        <w:t>3</w:t>
      </w:r>
      <w:r>
        <w:rPr>
          <w:rFonts w:hint="eastAsia" w:ascii="仿宋_GB2312" w:hAnsi="仿宋_GB2312" w:eastAsia="仿宋_GB2312" w:cs="仿宋_GB2312"/>
          <w:color w:val="auto"/>
          <w:w w:val="94"/>
          <w:sz w:val="32"/>
          <w:szCs w:val="32"/>
          <w:highlight w:val="none"/>
        </w:rPr>
        <w:t>：</w:t>
      </w:r>
      <w:r>
        <w:rPr>
          <w:rFonts w:hint="eastAsia"/>
          <w:color w:val="auto"/>
          <w:w w:val="94"/>
          <w:sz w:val="32"/>
          <w:szCs w:val="32"/>
          <w:highlight w:val="none"/>
          <w:lang w:eastAsia="zh-CN"/>
        </w:rPr>
        <w:t>政府采购率</w:t>
      </w:r>
      <w:r>
        <w:rPr>
          <w:rFonts w:hint="eastAsia"/>
          <w:color w:val="auto"/>
          <w:w w:val="94"/>
          <w:sz w:val="32"/>
          <w:szCs w:val="32"/>
          <w:highlight w:val="none"/>
        </w:rPr>
        <w:t>，指标值：</w:t>
      </w:r>
      <w:r>
        <w:rPr>
          <w:rFonts w:hint="eastAsia"/>
          <w:color w:val="auto"/>
          <w:w w:val="94"/>
          <w:sz w:val="32"/>
          <w:szCs w:val="32"/>
          <w:highlight w:val="none"/>
          <w:lang w:eastAsia="zh-CN"/>
        </w:rPr>
        <w:t>&gt;=95%</w:t>
      </w:r>
      <w:r>
        <w:rPr>
          <w:rFonts w:hint="eastAsia"/>
          <w:color w:val="auto"/>
          <w:w w:val="94"/>
          <w:sz w:val="32"/>
          <w:szCs w:val="32"/>
          <w:highlight w:val="none"/>
        </w:rPr>
        <w:t>，实际完成值</w:t>
      </w:r>
      <w:r>
        <w:rPr>
          <w:rFonts w:hint="eastAsia"/>
          <w:color w:val="auto"/>
          <w:w w:val="94"/>
          <w:sz w:val="32"/>
          <w:szCs w:val="32"/>
          <w:highlight w:val="none"/>
          <w:lang w:eastAsia="zh-CN"/>
        </w:rPr>
        <w:t>：100%</w:t>
      </w:r>
      <w:r>
        <w:rPr>
          <w:rFonts w:hint="eastAsia"/>
          <w:color w:val="auto"/>
          <w:w w:val="94"/>
          <w:sz w:val="32"/>
          <w:szCs w:val="32"/>
          <w:highlight w:val="none"/>
        </w:rPr>
        <w:t>，指标完成率</w:t>
      </w:r>
      <w:r>
        <w:rPr>
          <w:rFonts w:hint="eastAsia"/>
          <w:color w:val="auto"/>
          <w:w w:val="94"/>
          <w:sz w:val="32"/>
          <w:szCs w:val="32"/>
          <w:highlight w:val="none"/>
          <w:lang w:val="en-US" w:eastAsia="zh-CN"/>
        </w:rPr>
        <w:t>105.26</w:t>
      </w:r>
      <w:r>
        <w:rPr>
          <w:rFonts w:hint="eastAsia"/>
          <w:color w:val="auto"/>
          <w:w w:val="94"/>
          <w:sz w:val="32"/>
          <w:szCs w:val="32"/>
          <w:highlight w:val="none"/>
        </w:rPr>
        <w:t>%，偏差原因：项目采购已全部通过政采云采购。</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3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时效指标：</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color w:val="auto"/>
          <w:sz w:val="32"/>
          <w:szCs w:val="32"/>
          <w:highlight w:val="none"/>
          <w:lang w:eastAsia="zh-CN"/>
        </w:rPr>
      </w:pPr>
      <w:bookmarkStart w:id="14" w:name="_Toc68703841"/>
      <w:r>
        <w:rPr>
          <w:rFonts w:hint="eastAsia"/>
          <w:color w:val="auto"/>
          <w:sz w:val="32"/>
          <w:szCs w:val="32"/>
          <w:highlight w:val="none"/>
        </w:rPr>
        <w:t>指标1：</w:t>
      </w:r>
      <w:r>
        <w:rPr>
          <w:rFonts w:hint="eastAsia"/>
          <w:color w:val="auto"/>
          <w:sz w:val="32"/>
          <w:szCs w:val="32"/>
          <w:highlight w:val="none"/>
          <w:lang w:eastAsia="zh-CN"/>
        </w:rPr>
        <w:t>设备购置安装到位及时率</w:t>
      </w:r>
      <w:r>
        <w:rPr>
          <w:rFonts w:hint="eastAsia"/>
          <w:color w:val="auto"/>
          <w:sz w:val="32"/>
          <w:szCs w:val="32"/>
          <w:highlight w:val="none"/>
        </w:rPr>
        <w:t>，指标值：2023年9月30日前，实际完成值</w:t>
      </w:r>
      <w:r>
        <w:rPr>
          <w:rFonts w:hint="eastAsia"/>
          <w:color w:val="auto"/>
          <w:sz w:val="32"/>
          <w:szCs w:val="32"/>
          <w:highlight w:val="none"/>
          <w:lang w:eastAsia="zh-CN"/>
        </w:rPr>
        <w:t>：2023年6月</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指标2：设备质量合格率，指标值：&gt;=95%，实际完成值：100%，指标完成率105.26%，偏差原因：资金已全额及时支付。</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fldChar w:fldCharType="begin"/>
      </w:r>
      <w:r>
        <w:rPr>
          <w:rFonts w:hint="eastAsia" w:ascii="仿宋_GB2312" w:hAnsi="仿宋_GB2312" w:eastAsia="仿宋_GB2312" w:cs="仿宋_GB2312"/>
          <w:color w:val="auto"/>
          <w:sz w:val="32"/>
          <w:szCs w:val="32"/>
          <w:highlight w:val="none"/>
          <w:lang w:val="en-US" w:eastAsia="zh-CN"/>
        </w:rPr>
        <w:instrText xml:space="preserve"> = 4 \* GB3 </w:instrText>
      </w:r>
      <w:r>
        <w:rPr>
          <w:rFonts w:hint="eastAsia" w:ascii="仿宋_GB2312" w:hAnsi="仿宋_GB2312" w:eastAsia="仿宋_GB2312" w:cs="仿宋_GB2312"/>
          <w:color w:val="auto"/>
          <w:sz w:val="32"/>
          <w:szCs w:val="32"/>
          <w:highlight w:val="none"/>
          <w:lang w:val="en-US" w:eastAsia="zh-CN"/>
        </w:rPr>
        <w:fldChar w:fldCharType="separate"/>
      </w: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val="en-US" w:eastAsia="zh-CN"/>
        </w:rPr>
        <w:fldChar w:fldCharType="end"/>
      </w:r>
      <w:r>
        <w:rPr>
          <w:rFonts w:hint="eastAsia" w:ascii="仿宋_GB2312" w:hAnsi="仿宋_GB2312" w:eastAsia="仿宋_GB2312" w:cs="仿宋_GB2312"/>
          <w:color w:val="auto"/>
          <w:sz w:val="32"/>
          <w:szCs w:val="32"/>
          <w:highlight w:val="none"/>
          <w:lang w:val="en-US" w:eastAsia="zh-CN"/>
        </w:rPr>
        <w:t>经济成本指标：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eastAsia="zh-CN"/>
        </w:rPr>
        <w:t>支付2021年音频改造项目金额</w:t>
      </w:r>
      <w:r>
        <w:rPr>
          <w:rFonts w:hint="eastAsia"/>
          <w:color w:val="auto"/>
          <w:sz w:val="32"/>
          <w:szCs w:val="32"/>
          <w:highlight w:val="none"/>
        </w:rPr>
        <w:t>，指标值：</w:t>
      </w:r>
      <w:r>
        <w:rPr>
          <w:rFonts w:hint="eastAsia"/>
          <w:color w:val="auto"/>
          <w:sz w:val="32"/>
          <w:szCs w:val="32"/>
          <w:highlight w:val="none"/>
          <w:lang w:eastAsia="zh-CN"/>
        </w:rPr>
        <w:t>&gt;=26.34万元</w:t>
      </w:r>
      <w:r>
        <w:rPr>
          <w:rFonts w:hint="eastAsia"/>
          <w:color w:val="auto"/>
          <w:sz w:val="32"/>
          <w:szCs w:val="32"/>
          <w:highlight w:val="none"/>
        </w:rPr>
        <w:t>，实际完成值</w:t>
      </w:r>
      <w:r>
        <w:rPr>
          <w:rFonts w:hint="eastAsia"/>
          <w:color w:val="auto"/>
          <w:sz w:val="32"/>
          <w:szCs w:val="32"/>
          <w:highlight w:val="none"/>
          <w:lang w:eastAsia="zh-CN"/>
        </w:rPr>
        <w:t>：26.34万元</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指标2：</w:t>
      </w:r>
      <w:r>
        <w:rPr>
          <w:rFonts w:hint="eastAsia"/>
          <w:color w:val="auto"/>
          <w:sz w:val="32"/>
          <w:szCs w:val="32"/>
          <w:highlight w:val="none"/>
          <w:lang w:eastAsia="zh-CN"/>
        </w:rPr>
        <w:t>信息网安全等级保护采购项目金额</w:t>
      </w:r>
      <w:r>
        <w:rPr>
          <w:rFonts w:hint="eastAsia"/>
          <w:color w:val="auto"/>
          <w:sz w:val="32"/>
          <w:szCs w:val="32"/>
          <w:highlight w:val="none"/>
        </w:rPr>
        <w:t>，指标值：</w:t>
      </w:r>
      <w:r>
        <w:rPr>
          <w:rFonts w:hint="eastAsia"/>
          <w:color w:val="auto"/>
          <w:sz w:val="32"/>
          <w:szCs w:val="32"/>
          <w:highlight w:val="none"/>
          <w:lang w:eastAsia="zh-CN"/>
        </w:rPr>
        <w:t>&gt;=93万元</w:t>
      </w:r>
      <w:r>
        <w:rPr>
          <w:rFonts w:hint="eastAsia"/>
          <w:color w:val="auto"/>
          <w:sz w:val="32"/>
          <w:szCs w:val="32"/>
          <w:highlight w:val="none"/>
        </w:rPr>
        <w:t>，实际完成值</w:t>
      </w:r>
      <w:r>
        <w:rPr>
          <w:rFonts w:hint="eastAsia"/>
          <w:color w:val="auto"/>
          <w:sz w:val="32"/>
          <w:szCs w:val="32"/>
          <w:highlight w:val="none"/>
          <w:lang w:eastAsia="zh-CN"/>
        </w:rPr>
        <w:t>：100%</w:t>
      </w:r>
      <w:r>
        <w:rPr>
          <w:rFonts w:hint="eastAsia"/>
          <w:color w:val="auto"/>
          <w:sz w:val="32"/>
          <w:szCs w:val="32"/>
          <w:highlight w:val="none"/>
        </w:rPr>
        <w:t>，指标完成率</w:t>
      </w:r>
      <w:r>
        <w:rPr>
          <w:rFonts w:hint="eastAsia"/>
          <w:color w:val="auto"/>
          <w:sz w:val="32"/>
          <w:szCs w:val="32"/>
          <w:highlight w:val="none"/>
          <w:lang w:val="en-US" w:eastAsia="zh-CN"/>
        </w:rPr>
        <w:t>93万元</w:t>
      </w:r>
      <w:r>
        <w:rPr>
          <w:rFonts w:hint="eastAsia"/>
          <w:color w:val="auto"/>
          <w:sz w:val="32"/>
          <w:szCs w:val="32"/>
          <w:highlight w:val="none"/>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ascii="仿宋_GB2312" w:hAnsi="仿宋_GB2312" w:eastAsia="仿宋_GB2312" w:cs="仿宋_GB2312"/>
          <w:color w:val="auto"/>
          <w:sz w:val="32"/>
          <w:szCs w:val="32"/>
          <w:highlight w:val="none"/>
        </w:rPr>
        <w:t>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w:t>
      </w:r>
      <w:r>
        <w:rPr>
          <w:rFonts w:hint="eastAsia"/>
          <w:color w:val="auto"/>
          <w:sz w:val="32"/>
          <w:szCs w:val="32"/>
          <w:highlight w:val="none"/>
          <w:lang w:eastAsia="zh-CN"/>
        </w:rPr>
        <w:t>建设350兆PDT基站成本</w:t>
      </w:r>
      <w:r>
        <w:rPr>
          <w:rFonts w:hint="eastAsia"/>
          <w:color w:val="auto"/>
          <w:sz w:val="32"/>
          <w:szCs w:val="32"/>
          <w:highlight w:val="none"/>
        </w:rPr>
        <w:t>，指标值：</w:t>
      </w:r>
      <w:r>
        <w:rPr>
          <w:rFonts w:hint="eastAsia"/>
          <w:color w:val="auto"/>
          <w:sz w:val="32"/>
          <w:szCs w:val="32"/>
          <w:highlight w:val="none"/>
          <w:lang w:eastAsia="zh-CN"/>
        </w:rPr>
        <w:t>&lt;=39.23万元/套</w:t>
      </w:r>
      <w:r>
        <w:rPr>
          <w:rFonts w:hint="eastAsia"/>
          <w:color w:val="auto"/>
          <w:sz w:val="32"/>
          <w:szCs w:val="32"/>
          <w:highlight w:val="none"/>
        </w:rPr>
        <w:t>，实际完成值</w:t>
      </w:r>
      <w:r>
        <w:rPr>
          <w:rFonts w:hint="eastAsia"/>
          <w:color w:val="auto"/>
          <w:sz w:val="32"/>
          <w:szCs w:val="32"/>
          <w:highlight w:val="none"/>
          <w:lang w:eastAsia="zh-CN"/>
        </w:rPr>
        <w:t>：39.23万元/套</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指标4：建设350兆PDT基站成本，指标值：&lt;=39.23万元/套，实际完成值：39.23万元/套，指标完成率100%。</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指标</w:t>
      </w:r>
      <w:r>
        <w:rPr>
          <w:rFonts w:hint="eastAsia"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：支付2020年系统提升项目金额，指标值：&gt;=200万元，实际完成值：200万元，指标完成率100%。</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cs="Times New Roman"/>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⑤</w:t>
      </w:r>
      <w:r>
        <w:rPr>
          <w:rFonts w:hint="eastAsia" w:ascii="Times New Roman" w:hAnsi="Times New Roman" w:eastAsia="仿宋_GB2312" w:cs="Times New Roman"/>
          <w:color w:val="auto"/>
          <w:kern w:val="2"/>
          <w:sz w:val="32"/>
          <w:szCs w:val="32"/>
          <w:highlight w:val="none"/>
          <w:lang w:val="en-US" w:eastAsia="zh-CN" w:bidi="ar-SA"/>
        </w:rPr>
        <w:t>社会效益指标</w:t>
      </w:r>
      <w:r>
        <w:rPr>
          <w:rFonts w:hint="eastAsia"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eastAsia="zh-CN"/>
        </w:rPr>
        <w:t>设备利用率</w:t>
      </w:r>
      <w:r>
        <w:rPr>
          <w:rFonts w:hint="eastAsia"/>
          <w:color w:val="auto"/>
          <w:sz w:val="32"/>
          <w:szCs w:val="32"/>
          <w:highlight w:val="none"/>
        </w:rPr>
        <w:t>，指标值：</w:t>
      </w:r>
      <w:r>
        <w:rPr>
          <w:rFonts w:hint="eastAsia"/>
          <w:color w:val="auto"/>
          <w:sz w:val="32"/>
          <w:szCs w:val="32"/>
          <w:highlight w:val="none"/>
          <w:lang w:eastAsia="zh-CN"/>
        </w:rPr>
        <w:t>&gt;=80%</w:t>
      </w:r>
      <w:r>
        <w:rPr>
          <w:rFonts w:hint="eastAsia"/>
          <w:color w:val="auto"/>
          <w:sz w:val="32"/>
          <w:szCs w:val="32"/>
          <w:highlight w:val="none"/>
        </w:rPr>
        <w:t>，实际完成值</w:t>
      </w:r>
      <w:r>
        <w:rPr>
          <w:rFonts w:hint="eastAsia"/>
          <w:color w:val="auto"/>
          <w:sz w:val="32"/>
          <w:szCs w:val="32"/>
          <w:highlight w:val="none"/>
          <w:lang w:eastAsia="zh-CN"/>
        </w:rPr>
        <w:t>：100%</w:t>
      </w:r>
      <w:r>
        <w:rPr>
          <w:rFonts w:hint="eastAsia"/>
          <w:color w:val="auto"/>
          <w:sz w:val="32"/>
          <w:szCs w:val="32"/>
          <w:highlight w:val="none"/>
        </w:rPr>
        <w:t>，指标完成率</w:t>
      </w:r>
      <w:r>
        <w:rPr>
          <w:rFonts w:hint="eastAsia"/>
          <w:color w:val="auto"/>
          <w:sz w:val="32"/>
          <w:szCs w:val="32"/>
          <w:highlight w:val="none"/>
          <w:lang w:val="en-US" w:eastAsia="zh-CN"/>
        </w:rPr>
        <w:t>125</w:t>
      </w:r>
      <w:r>
        <w:rPr>
          <w:rFonts w:hint="eastAsia"/>
          <w:color w:val="auto"/>
          <w:sz w:val="32"/>
          <w:szCs w:val="32"/>
          <w:highlight w:val="none"/>
        </w:rPr>
        <w:t>%。</w:t>
      </w:r>
      <w:r>
        <w:rPr>
          <w:rFonts w:hint="eastAsia" w:ascii="Times New Roman" w:hAnsi="Times New Roman" w:eastAsia="仿宋_GB2312" w:cs="Times New Roman"/>
          <w:color w:val="auto"/>
          <w:kern w:val="2"/>
          <w:sz w:val="32"/>
          <w:szCs w:val="32"/>
          <w:highlight w:val="none"/>
          <w:lang w:val="en-US" w:eastAsia="zh-CN" w:bidi="ar-SA"/>
        </w:rPr>
        <w:t>偏差原因：设备已全部投入使用且正常运转</w:t>
      </w:r>
      <w:r>
        <w:rPr>
          <w:rFonts w:hint="eastAsia" w:cs="Times New Roman"/>
          <w:color w:val="auto"/>
          <w:kern w:val="2"/>
          <w:sz w:val="32"/>
          <w:szCs w:val="32"/>
          <w:highlight w:val="none"/>
          <w:lang w:val="en-US" w:eastAsia="zh-CN" w:bidi="ar-SA"/>
        </w:rPr>
        <w:t>，下年度从严从高设置指标目标值</w:t>
      </w:r>
      <w:r>
        <w:rPr>
          <w:rFonts w:hint="eastAsia" w:ascii="Times New Roman" w:hAnsi="Times New Roman" w:eastAsia="仿宋_GB2312" w:cs="Times New Roman"/>
          <w:color w:val="auto"/>
          <w:kern w:val="2"/>
          <w:sz w:val="32"/>
          <w:szCs w:val="32"/>
          <w:highlight w:val="none"/>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eastAsia="仿宋_GB2312" w:cs="Times New Roman"/>
          <w:color w:val="auto"/>
          <w:kern w:val="2"/>
          <w:sz w:val="32"/>
          <w:szCs w:val="32"/>
          <w:highlight w:val="none"/>
          <w:lang w:val="en-US" w:eastAsia="zh-CN" w:bidi="ar-SA"/>
        </w:rPr>
      </w:pPr>
      <w:r>
        <w:rPr>
          <w:rFonts w:hint="eastAsia"/>
          <w:color w:val="auto"/>
          <w:sz w:val="32"/>
          <w:szCs w:val="32"/>
          <w:highlight w:val="none"/>
        </w:rPr>
        <w:t>指标2：</w:t>
      </w:r>
      <w:r>
        <w:rPr>
          <w:rFonts w:hint="eastAsia"/>
          <w:color w:val="auto"/>
          <w:sz w:val="32"/>
          <w:szCs w:val="32"/>
          <w:highlight w:val="none"/>
          <w:lang w:eastAsia="zh-CN"/>
        </w:rPr>
        <w:t>重大活动突发事件下降率</w:t>
      </w:r>
      <w:r>
        <w:rPr>
          <w:rFonts w:hint="eastAsia"/>
          <w:color w:val="auto"/>
          <w:sz w:val="32"/>
          <w:szCs w:val="32"/>
          <w:highlight w:val="none"/>
        </w:rPr>
        <w:t>，指标值：</w:t>
      </w:r>
      <w:r>
        <w:rPr>
          <w:rFonts w:hint="eastAsia"/>
          <w:color w:val="auto"/>
          <w:sz w:val="32"/>
          <w:szCs w:val="32"/>
          <w:highlight w:val="none"/>
          <w:lang w:eastAsia="zh-CN"/>
        </w:rPr>
        <w:t>&gt;=10%</w:t>
      </w:r>
      <w:r>
        <w:rPr>
          <w:rFonts w:hint="eastAsia"/>
          <w:color w:val="auto"/>
          <w:sz w:val="32"/>
          <w:szCs w:val="32"/>
          <w:highlight w:val="none"/>
        </w:rPr>
        <w:t>，实际完成值</w:t>
      </w:r>
      <w:r>
        <w:rPr>
          <w:rFonts w:hint="eastAsia"/>
          <w:color w:val="auto"/>
          <w:sz w:val="32"/>
          <w:szCs w:val="32"/>
          <w:highlight w:val="none"/>
          <w:lang w:eastAsia="zh-CN"/>
        </w:rPr>
        <w:t>：10%</w:t>
      </w:r>
      <w:r>
        <w:rPr>
          <w:rFonts w:hint="eastAsia" w:ascii="Times New Roman" w:hAnsi="Times New Roman" w:eastAsia="仿宋_GB2312" w:cs="Times New Roman"/>
          <w:color w:val="auto"/>
          <w:kern w:val="2"/>
          <w:sz w:val="32"/>
          <w:szCs w:val="32"/>
          <w:highlight w:val="none"/>
          <w:lang w:val="en-US" w:eastAsia="zh-CN" w:bidi="ar-SA"/>
        </w:rPr>
        <w:t>，指标完成率100%</w:t>
      </w:r>
      <w:r>
        <w:rPr>
          <w:rFonts w:hint="eastAsia"/>
          <w:color w:val="auto"/>
          <w:sz w:val="32"/>
          <w:szCs w:val="32"/>
          <w:highlight w:val="none"/>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⑥满意度指标</w:t>
      </w:r>
      <w:r>
        <w:rPr>
          <w:rFonts w:hint="eastAsia" w:ascii="仿宋_GB2312" w:hAnsi="仿宋_GB2312" w:cs="仿宋_GB2312"/>
          <w:color w:val="auto"/>
          <w:kern w:val="2"/>
          <w:sz w:val="32"/>
          <w:szCs w:val="32"/>
          <w:highlight w:val="none"/>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cs="仿宋_GB2312"/>
          <w:color w:val="auto"/>
          <w:kern w:val="2"/>
          <w:sz w:val="32"/>
          <w:szCs w:val="32"/>
          <w:highlight w:val="none"/>
          <w:lang w:val="en-US" w:eastAsia="zh-CN" w:bidi="ar-SA"/>
        </w:rPr>
      </w:pPr>
      <w:r>
        <w:rPr>
          <w:rFonts w:hint="eastAsia"/>
          <w:color w:val="auto"/>
          <w:sz w:val="32"/>
          <w:szCs w:val="32"/>
          <w:highlight w:val="none"/>
        </w:rPr>
        <w:t>指标1：</w:t>
      </w:r>
      <w:r>
        <w:rPr>
          <w:rFonts w:hint="eastAsia"/>
          <w:color w:val="auto"/>
          <w:sz w:val="32"/>
          <w:szCs w:val="32"/>
          <w:highlight w:val="none"/>
          <w:lang w:eastAsia="zh-CN"/>
        </w:rPr>
        <w:t>干部职工满意度</w:t>
      </w:r>
      <w:r>
        <w:rPr>
          <w:rFonts w:hint="eastAsia"/>
          <w:color w:val="auto"/>
          <w:sz w:val="32"/>
          <w:szCs w:val="32"/>
          <w:highlight w:val="none"/>
        </w:rPr>
        <w:t>，指标值：</w:t>
      </w:r>
      <w:r>
        <w:rPr>
          <w:rFonts w:hint="eastAsia"/>
          <w:color w:val="auto"/>
          <w:sz w:val="32"/>
          <w:szCs w:val="32"/>
          <w:highlight w:val="none"/>
          <w:lang w:eastAsia="zh-CN"/>
        </w:rPr>
        <w:t>&gt;=95%</w:t>
      </w:r>
      <w:r>
        <w:rPr>
          <w:rFonts w:hint="eastAsia"/>
          <w:color w:val="auto"/>
          <w:sz w:val="32"/>
          <w:szCs w:val="32"/>
          <w:highlight w:val="none"/>
        </w:rPr>
        <w:t>，实际完成值</w:t>
      </w:r>
      <w:r>
        <w:rPr>
          <w:rFonts w:hint="eastAsia"/>
          <w:color w:val="auto"/>
          <w:sz w:val="32"/>
          <w:szCs w:val="32"/>
          <w:highlight w:val="none"/>
          <w:lang w:eastAsia="zh-CN"/>
        </w:rPr>
        <w:t>：100%</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rPr>
        <w:t>%。</w:t>
      </w:r>
      <w:r>
        <w:rPr>
          <w:rFonts w:hint="eastAsia" w:ascii="Times New Roman" w:hAnsi="Times New Roman" w:eastAsia="仿宋_GB2312" w:cs="Times New Roman"/>
          <w:color w:val="auto"/>
          <w:kern w:val="2"/>
          <w:sz w:val="32"/>
          <w:szCs w:val="32"/>
          <w:highlight w:val="none"/>
          <w:lang w:val="en-US" w:eastAsia="zh-CN" w:bidi="ar-SA"/>
        </w:rPr>
        <w:t>偏差原因：设备已全部投入使用且正常运转。</w:t>
      </w:r>
    </w:p>
    <w:p>
      <w:pPr>
        <w:pStyle w:val="5"/>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r>
        <w:rPr>
          <w:rFonts w:hint="eastAsia" w:ascii="Times New Roman" w:hAnsi="Times New Roman" w:eastAsia="楷体_GB2312" w:cs="Times New Roman"/>
          <w:b/>
          <w:bCs/>
          <w:color w:val="auto"/>
          <w:kern w:val="2"/>
          <w:sz w:val="32"/>
          <w:szCs w:val="32"/>
          <w:highlight w:val="none"/>
          <w:lang w:val="en-US" w:eastAsia="zh-CN" w:bidi="ar-SA"/>
        </w:rPr>
        <w:t>（四）项目效益情况</w:t>
      </w:r>
      <w:bookmarkEnd w:id="14"/>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项目效益类指标包括项目实施效益和满意度两方面的内容，由</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个三级指标构成，权重分为20分，实际得分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%。具体效益指标及满意度指标完成情况如下：</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1.实施效益</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rPr>
        <w:t>社会效益指标：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eastAsia="zh-CN"/>
        </w:rPr>
        <w:t>设备利用率</w:t>
      </w:r>
      <w:r>
        <w:rPr>
          <w:rFonts w:hint="eastAsia"/>
          <w:color w:val="auto"/>
          <w:sz w:val="32"/>
          <w:szCs w:val="32"/>
          <w:highlight w:val="none"/>
        </w:rPr>
        <w:t>，指标值：</w:t>
      </w:r>
      <w:r>
        <w:rPr>
          <w:rFonts w:hint="eastAsia"/>
          <w:color w:val="auto"/>
          <w:sz w:val="32"/>
          <w:szCs w:val="32"/>
          <w:highlight w:val="none"/>
          <w:lang w:eastAsia="zh-CN"/>
        </w:rPr>
        <w:t>&gt;=80%</w:t>
      </w:r>
      <w:r>
        <w:rPr>
          <w:rFonts w:hint="eastAsia"/>
          <w:color w:val="auto"/>
          <w:sz w:val="32"/>
          <w:szCs w:val="32"/>
          <w:highlight w:val="none"/>
        </w:rPr>
        <w:t>，实际完成值</w:t>
      </w:r>
      <w:r>
        <w:rPr>
          <w:rFonts w:hint="eastAsia"/>
          <w:color w:val="auto"/>
          <w:sz w:val="32"/>
          <w:szCs w:val="32"/>
          <w:highlight w:val="none"/>
          <w:lang w:eastAsia="zh-CN"/>
        </w:rPr>
        <w:t>：100%</w:t>
      </w:r>
      <w:r>
        <w:rPr>
          <w:rFonts w:hint="eastAsia"/>
          <w:color w:val="auto"/>
          <w:sz w:val="32"/>
          <w:szCs w:val="32"/>
          <w:highlight w:val="none"/>
        </w:rPr>
        <w:t>，指标完成率</w:t>
      </w:r>
      <w:r>
        <w:rPr>
          <w:rFonts w:hint="eastAsia"/>
          <w:color w:val="auto"/>
          <w:sz w:val="32"/>
          <w:szCs w:val="32"/>
          <w:highlight w:val="none"/>
          <w:lang w:val="en-US" w:eastAsia="zh-CN"/>
        </w:rPr>
        <w:t>125</w:t>
      </w:r>
      <w:r>
        <w:rPr>
          <w:rFonts w:hint="eastAsia"/>
          <w:color w:val="auto"/>
          <w:sz w:val="32"/>
          <w:szCs w:val="32"/>
          <w:highlight w:val="none"/>
        </w:rPr>
        <w:t>%。</w:t>
      </w:r>
      <w:r>
        <w:rPr>
          <w:rFonts w:hint="eastAsia" w:ascii="Times New Roman" w:hAnsi="Times New Roman" w:eastAsia="仿宋_GB2312" w:cs="Times New Roman"/>
          <w:color w:val="auto"/>
          <w:kern w:val="2"/>
          <w:sz w:val="32"/>
          <w:szCs w:val="32"/>
          <w:highlight w:val="none"/>
          <w:lang w:val="en-US" w:eastAsia="zh-CN" w:bidi="ar-SA"/>
        </w:rPr>
        <w:t>偏差原因：设备已全部投入使用且正常运转</w:t>
      </w:r>
      <w:r>
        <w:rPr>
          <w:rFonts w:hint="eastAsia" w:cs="Times New Roman"/>
          <w:color w:val="auto"/>
          <w:kern w:val="2"/>
          <w:sz w:val="32"/>
          <w:szCs w:val="32"/>
          <w:highlight w:val="none"/>
          <w:lang w:val="en-US" w:eastAsia="zh-CN" w:bidi="ar-SA"/>
        </w:rPr>
        <w:t>，下年度从严从高设置指标目标值</w:t>
      </w:r>
      <w:r>
        <w:rPr>
          <w:rFonts w:hint="eastAsia" w:ascii="Times New Roman" w:hAnsi="Times New Roman" w:eastAsia="仿宋_GB2312" w:cs="Times New Roman"/>
          <w:color w:val="auto"/>
          <w:kern w:val="2"/>
          <w:sz w:val="32"/>
          <w:szCs w:val="32"/>
          <w:highlight w:val="none"/>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eastAsia="仿宋_GB2312" w:cs="Times New Roman"/>
          <w:color w:val="auto"/>
          <w:kern w:val="2"/>
          <w:sz w:val="32"/>
          <w:szCs w:val="32"/>
          <w:highlight w:val="none"/>
          <w:lang w:val="en-US" w:eastAsia="zh-CN" w:bidi="ar-SA"/>
        </w:rPr>
      </w:pPr>
      <w:r>
        <w:rPr>
          <w:rFonts w:hint="eastAsia"/>
          <w:color w:val="auto"/>
          <w:sz w:val="32"/>
          <w:szCs w:val="32"/>
          <w:highlight w:val="none"/>
        </w:rPr>
        <w:t>指标2：</w:t>
      </w:r>
      <w:r>
        <w:rPr>
          <w:rFonts w:hint="eastAsia"/>
          <w:color w:val="auto"/>
          <w:sz w:val="32"/>
          <w:szCs w:val="32"/>
          <w:highlight w:val="none"/>
          <w:lang w:eastAsia="zh-CN"/>
        </w:rPr>
        <w:t>重大活动突发事件下降率</w:t>
      </w:r>
      <w:r>
        <w:rPr>
          <w:rFonts w:hint="eastAsia"/>
          <w:color w:val="auto"/>
          <w:sz w:val="32"/>
          <w:szCs w:val="32"/>
          <w:highlight w:val="none"/>
        </w:rPr>
        <w:t>，指标值：</w:t>
      </w:r>
      <w:r>
        <w:rPr>
          <w:rFonts w:hint="eastAsia"/>
          <w:color w:val="auto"/>
          <w:sz w:val="32"/>
          <w:szCs w:val="32"/>
          <w:highlight w:val="none"/>
          <w:lang w:eastAsia="zh-CN"/>
        </w:rPr>
        <w:t>&gt;=10%</w:t>
      </w:r>
      <w:r>
        <w:rPr>
          <w:rFonts w:hint="eastAsia"/>
          <w:color w:val="auto"/>
          <w:sz w:val="32"/>
          <w:szCs w:val="32"/>
          <w:highlight w:val="none"/>
        </w:rPr>
        <w:t>，实际完成值</w:t>
      </w:r>
      <w:r>
        <w:rPr>
          <w:rFonts w:hint="eastAsia"/>
          <w:color w:val="auto"/>
          <w:sz w:val="32"/>
          <w:szCs w:val="32"/>
          <w:highlight w:val="none"/>
          <w:lang w:eastAsia="zh-CN"/>
        </w:rPr>
        <w:t>：10%</w:t>
      </w:r>
      <w:r>
        <w:rPr>
          <w:rFonts w:hint="eastAsia" w:ascii="Times New Roman" w:hAnsi="Times New Roman" w:eastAsia="仿宋_GB2312" w:cs="Times New Roman"/>
          <w:color w:val="auto"/>
          <w:kern w:val="2"/>
          <w:sz w:val="32"/>
          <w:szCs w:val="32"/>
          <w:highlight w:val="none"/>
          <w:lang w:val="en-US" w:eastAsia="zh-CN" w:bidi="ar-SA"/>
        </w:rPr>
        <w:t>，指标完成率100%</w:t>
      </w:r>
      <w:r>
        <w:rPr>
          <w:rFonts w:hint="eastAsia"/>
          <w:color w:val="auto"/>
          <w:sz w:val="32"/>
          <w:szCs w:val="32"/>
          <w:highlight w:val="none"/>
        </w:rPr>
        <w:t>。</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①满意度指标：</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default"/>
          <w:color w:val="auto"/>
          <w:highlight w:val="none"/>
          <w:lang w:val="en-US" w:eastAsia="zh-CN"/>
        </w:rPr>
      </w:pPr>
      <w:r>
        <w:rPr>
          <w:rFonts w:hint="eastAsia"/>
          <w:color w:val="auto"/>
          <w:sz w:val="32"/>
          <w:szCs w:val="32"/>
          <w:highlight w:val="none"/>
        </w:rPr>
        <w:t>指标1：</w:t>
      </w:r>
      <w:r>
        <w:rPr>
          <w:rFonts w:hint="eastAsia"/>
          <w:color w:val="auto"/>
          <w:sz w:val="32"/>
          <w:szCs w:val="32"/>
          <w:highlight w:val="none"/>
          <w:lang w:eastAsia="zh-CN"/>
        </w:rPr>
        <w:t>干部职工满意度</w:t>
      </w:r>
      <w:r>
        <w:rPr>
          <w:rFonts w:hint="eastAsia"/>
          <w:color w:val="auto"/>
          <w:sz w:val="32"/>
          <w:szCs w:val="32"/>
          <w:highlight w:val="none"/>
        </w:rPr>
        <w:t>，指标值：</w:t>
      </w:r>
      <w:r>
        <w:rPr>
          <w:rFonts w:hint="eastAsia"/>
          <w:color w:val="auto"/>
          <w:sz w:val="32"/>
          <w:szCs w:val="32"/>
          <w:highlight w:val="none"/>
          <w:lang w:eastAsia="zh-CN"/>
        </w:rPr>
        <w:t>&gt;=95%</w:t>
      </w:r>
      <w:r>
        <w:rPr>
          <w:rFonts w:hint="eastAsia"/>
          <w:color w:val="auto"/>
          <w:sz w:val="32"/>
          <w:szCs w:val="32"/>
          <w:highlight w:val="none"/>
        </w:rPr>
        <w:t>，实际完成值</w:t>
      </w:r>
      <w:r>
        <w:rPr>
          <w:rFonts w:hint="eastAsia"/>
          <w:color w:val="auto"/>
          <w:sz w:val="32"/>
          <w:szCs w:val="32"/>
          <w:highlight w:val="none"/>
          <w:lang w:eastAsia="zh-CN"/>
        </w:rPr>
        <w:t>：100%</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rPr>
        <w:t>%。</w:t>
      </w:r>
      <w:r>
        <w:rPr>
          <w:rFonts w:hint="eastAsia" w:ascii="Times New Roman" w:hAnsi="Times New Roman" w:eastAsia="仿宋_GB2312" w:cs="Times New Roman"/>
          <w:color w:val="auto"/>
          <w:kern w:val="2"/>
          <w:sz w:val="32"/>
          <w:szCs w:val="32"/>
          <w:highlight w:val="none"/>
          <w:lang w:val="en-US" w:eastAsia="zh-CN" w:bidi="ar-SA"/>
        </w:rPr>
        <w:t>偏差原因：设备已全部投入使用且正常运转。</w:t>
      </w:r>
    </w:p>
    <w:p>
      <w:pPr>
        <w:pageBreakBefore w:val="0"/>
        <w:kinsoku/>
        <w:wordWrap/>
        <w:overflowPunct/>
        <w:topLinePunct w:val="0"/>
        <w:autoSpaceDE/>
        <w:autoSpaceDN/>
        <w:bidi w:val="0"/>
        <w:adjustRightInd/>
        <w:snapToGrid/>
        <w:spacing w:line="560" w:lineRule="exact"/>
        <w:rPr>
          <w:rFonts w:hint="eastAsia" w:ascii="Times New Roman" w:hAnsi="Times New Roman" w:eastAsia="黑体" w:cs="Times New Roman"/>
          <w:color w:val="auto"/>
          <w:sz w:val="32"/>
          <w:szCs w:val="32"/>
          <w:highlight w:val="none"/>
          <w:lang w:eastAsia="zh-Hans"/>
        </w:rPr>
      </w:pPr>
      <w:r>
        <w:rPr>
          <w:rFonts w:hint="eastAsia" w:ascii="Times New Roman" w:hAnsi="Times New Roman" w:eastAsia="黑体" w:cs="Times New Roman"/>
          <w:color w:val="auto"/>
          <w:sz w:val="32"/>
          <w:szCs w:val="32"/>
          <w:highlight w:val="none"/>
          <w:lang w:eastAsia="zh-Hans"/>
        </w:rPr>
        <w:t>五、预算执行进度与绩效指标总体完成率偏差</w:t>
      </w:r>
    </w:p>
    <w:p>
      <w:pPr>
        <w:pStyle w:val="22"/>
        <w:pageBreakBefore w:val="0"/>
        <w:kinsoku/>
        <w:wordWrap/>
        <w:overflowPunct/>
        <w:topLinePunct w:val="0"/>
        <w:autoSpaceDE/>
        <w:autoSpaceDN/>
        <w:bidi w:val="0"/>
        <w:adjustRightInd/>
        <w:snapToGrid/>
        <w:spacing w:line="560" w:lineRule="exact"/>
        <w:ind w:firstLine="640"/>
        <w:rPr>
          <w:color w:val="auto"/>
          <w:highlight w:val="none"/>
        </w:rPr>
      </w:pPr>
      <w:r>
        <w:rPr>
          <w:rFonts w:hint="eastAsia" w:ascii="仿宋_GB2312" w:hAnsi="仿宋_GB2312" w:eastAsia="仿宋_GB2312" w:cs="仿宋_GB2312"/>
          <w:color w:val="auto"/>
          <w:kern w:val="2"/>
          <w:sz w:val="32"/>
          <w:szCs w:val="32"/>
          <w:highlight w:val="none"/>
          <w:lang w:val="en-US" w:eastAsia="zh-CN" w:bidi="ar-SA"/>
        </w:rPr>
        <w:t>信息网络及软件购置类项目年初预算572.88万元，全年预算572.88万元，实际支出572.88万元，预算执行率为</w:t>
      </w:r>
      <w:r>
        <w:rPr>
          <w:rFonts w:hint="eastAsia" w:ascii="仿宋_GB2312" w:hAnsi="仿宋_GB2312" w:cs="仿宋_GB2312"/>
          <w:color w:val="auto"/>
          <w:kern w:val="2"/>
          <w:sz w:val="32"/>
          <w:szCs w:val="32"/>
          <w:highlight w:val="none"/>
          <w:lang w:val="en-US" w:eastAsia="zh-CN" w:bidi="ar-SA"/>
        </w:rPr>
        <w:t>100</w:t>
      </w:r>
      <w:r>
        <w:rPr>
          <w:rFonts w:hint="eastAsia" w:ascii="仿宋_GB2312" w:hAnsi="仿宋_GB2312" w:eastAsia="仿宋_GB2312" w:cs="仿宋_GB2312"/>
          <w:color w:val="auto"/>
          <w:kern w:val="2"/>
          <w:sz w:val="32"/>
          <w:szCs w:val="32"/>
          <w:highlight w:val="none"/>
          <w:lang w:val="en-US" w:eastAsia="zh-CN" w:bidi="ar-SA"/>
        </w:rPr>
        <w:t>%，项目绩效指标总体完成率为</w:t>
      </w:r>
      <w:r>
        <w:rPr>
          <w:rFonts w:hint="eastAsia" w:ascii="仿宋_GB2312" w:hAnsi="仿宋_GB2312" w:cs="仿宋_GB2312"/>
          <w:color w:val="auto"/>
          <w:kern w:val="2"/>
          <w:sz w:val="32"/>
          <w:szCs w:val="32"/>
          <w:highlight w:val="none"/>
          <w:lang w:val="en-US" w:eastAsia="zh-CN" w:bidi="ar-SA"/>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Hans" w:bidi="ar-SA"/>
        </w:rPr>
        <w:t>总体</w:t>
      </w:r>
      <w:r>
        <w:rPr>
          <w:rFonts w:hint="eastAsia" w:ascii="仿宋_GB2312" w:hAnsi="仿宋_GB2312" w:eastAsia="仿宋_GB2312" w:cs="仿宋_GB2312"/>
          <w:color w:val="auto"/>
          <w:kern w:val="2"/>
          <w:sz w:val="32"/>
          <w:szCs w:val="32"/>
          <w:highlight w:val="none"/>
          <w:lang w:val="en-US" w:eastAsia="zh-CN" w:bidi="ar-SA"/>
        </w:rPr>
        <w:t>偏差率为</w:t>
      </w:r>
      <w:r>
        <w:rPr>
          <w:rFonts w:hint="eastAsia" w:ascii="仿宋_GB2312" w:hAnsi="仿宋_GB2312" w:cs="仿宋_GB2312"/>
          <w:color w:val="auto"/>
          <w:kern w:val="2"/>
          <w:sz w:val="32"/>
          <w:szCs w:val="32"/>
          <w:highlight w:val="none"/>
          <w:lang w:val="en-US" w:eastAsia="zh-CN" w:bidi="ar-SA"/>
        </w:rPr>
        <w:t>0</w:t>
      </w:r>
      <w:r>
        <w:rPr>
          <w:rFonts w:hint="eastAsia" w:ascii="仿宋_GB2312" w:hAnsi="仿宋_GB2312" w:eastAsia="仿宋_GB2312" w:cs="仿宋_GB2312"/>
          <w:color w:val="auto"/>
          <w:kern w:val="2"/>
          <w:sz w:val="32"/>
          <w:szCs w:val="32"/>
          <w:highlight w:val="none"/>
          <w:lang w:val="en-US" w:eastAsia="zh-CN" w:bidi="ar-SA"/>
        </w:rPr>
        <w:t>%。</w:t>
      </w:r>
    </w:p>
    <w:p>
      <w:pPr>
        <w:pageBreakBefore w:val="0"/>
        <w:kinsoku/>
        <w:wordWrap/>
        <w:overflowPunct/>
        <w:topLinePunct w:val="0"/>
        <w:autoSpaceDE/>
        <w:autoSpaceDN/>
        <w:bidi w:val="0"/>
        <w:adjustRightInd/>
        <w:snapToGrid/>
        <w:spacing w:line="560" w:lineRule="exact"/>
        <w:rPr>
          <w:rFonts w:hint="eastAsia" w:ascii="Times New Roman" w:hAnsi="Times New Roman" w:eastAsia="黑体" w:cs="Times New Roman"/>
          <w:bCs/>
          <w:color w:val="auto"/>
          <w:sz w:val="32"/>
          <w:szCs w:val="32"/>
          <w:highlight w:val="none"/>
          <w:lang w:val="en-US" w:eastAsia="zh-CN"/>
        </w:rPr>
      </w:pPr>
      <w:bookmarkStart w:id="15" w:name="_Toc68703842"/>
      <w:r>
        <w:rPr>
          <w:rFonts w:hint="eastAsia" w:eastAsia="黑体" w:cs="Times New Roman"/>
          <w:bCs/>
          <w:color w:val="auto"/>
          <w:sz w:val="32"/>
          <w:szCs w:val="32"/>
          <w:highlight w:val="none"/>
          <w:lang w:val="en-US" w:eastAsia="zh-CN"/>
        </w:rPr>
        <w:t>六</w:t>
      </w:r>
      <w:r>
        <w:rPr>
          <w:rFonts w:hint="eastAsia" w:ascii="Times New Roman" w:hAnsi="Times New Roman" w:eastAsia="黑体" w:cs="Times New Roman"/>
          <w:bCs/>
          <w:color w:val="auto"/>
          <w:sz w:val="32"/>
          <w:szCs w:val="32"/>
          <w:highlight w:val="none"/>
          <w:lang w:val="en-US" w:eastAsia="zh-CN"/>
        </w:rPr>
        <w:t>、主要经验及做法、存在的问题及原因分析</w:t>
      </w:r>
      <w:bookmarkEnd w:id="15"/>
    </w:p>
    <w:p>
      <w:pPr>
        <w:pageBreakBefore w:val="0"/>
        <w:kinsoku/>
        <w:wordWrap/>
        <w:overflowPunct/>
        <w:topLinePunct w:val="0"/>
        <w:autoSpaceDE/>
        <w:autoSpaceDN/>
        <w:bidi w:val="0"/>
        <w:adjustRightInd/>
        <w:snapToGrid/>
        <w:spacing w:line="560" w:lineRule="exact"/>
        <w:rPr>
          <w:rFonts w:hint="eastAsia" w:ascii="Times New Roman" w:hAnsi="Times New Roman" w:eastAsia="楷体_GB2312" w:cs="Times New Roman"/>
          <w:b/>
          <w:bCs/>
          <w:color w:val="auto"/>
          <w:kern w:val="2"/>
          <w:sz w:val="32"/>
          <w:szCs w:val="32"/>
          <w:highlight w:val="none"/>
          <w:lang w:val="en-US" w:eastAsia="zh-CN" w:bidi="ar-SA"/>
        </w:rPr>
      </w:pPr>
      <w:bookmarkStart w:id="16" w:name="_Toc68703843"/>
      <w:r>
        <w:rPr>
          <w:rFonts w:hint="eastAsia" w:ascii="Times New Roman" w:hAnsi="Times New Roman" w:eastAsia="楷体_GB2312" w:cs="Times New Roman"/>
          <w:b/>
          <w:bCs/>
          <w:color w:val="auto"/>
          <w:kern w:val="2"/>
          <w:sz w:val="32"/>
          <w:szCs w:val="32"/>
          <w:highlight w:val="none"/>
          <w:lang w:val="en-US" w:eastAsia="zh-CN" w:bidi="ar-SA"/>
        </w:rPr>
        <w:t>（一）主要经验及做法</w:t>
      </w:r>
      <w:bookmarkEnd w:id="16"/>
    </w:p>
    <w:p>
      <w:pPr>
        <w:pageBreakBefore w:val="0"/>
        <w:kinsoku/>
        <w:wordWrap/>
        <w:overflowPunct/>
        <w:topLinePunct w:val="0"/>
        <w:autoSpaceDE/>
        <w:autoSpaceDN/>
        <w:bidi w:val="0"/>
        <w:adjustRightInd/>
        <w:snapToGrid/>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2"/>
        <w:pageBreakBefore w:val="0"/>
        <w:kinsoku/>
        <w:wordWrap/>
        <w:overflowPunct/>
        <w:topLinePunct w:val="0"/>
        <w:autoSpaceDE/>
        <w:autoSpaceDN/>
        <w:bidi w:val="0"/>
        <w:adjustRightInd/>
        <w:snapToGrid/>
        <w:spacing w:before="0" w:after="0" w:line="560" w:lineRule="exact"/>
        <w:ind w:firstLine="640" w:firstLineChars="200"/>
        <w:jc w:val="left"/>
        <w:rPr>
          <w:color w:val="auto"/>
          <w:highlight w:val="none"/>
        </w:rPr>
      </w:pPr>
      <w:r>
        <w:rPr>
          <w:rFonts w:ascii="Times New Roman" w:hAnsi="Times New Roman" w:eastAsia="仿宋_GB2312"/>
          <w:b w:val="0"/>
          <w:bCs w:val="0"/>
          <w:color w:val="auto"/>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5"/>
        <w:pageBreakBefore w:val="0"/>
        <w:widowControl w:val="0"/>
        <w:kinsoku/>
        <w:wordWrap/>
        <w:overflowPunct/>
        <w:topLinePunct w:val="0"/>
        <w:autoSpaceDE/>
        <w:autoSpaceDN/>
        <w:bidi w:val="0"/>
        <w:adjustRightInd/>
        <w:snapToGrid/>
        <w:spacing w:before="0" w:after="0"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17" w:name="_Toc68703844"/>
      <w:r>
        <w:rPr>
          <w:rFonts w:hint="eastAsia" w:ascii="Times New Roman" w:hAnsi="Times New Roman" w:eastAsia="楷体_GB2312" w:cs="Times New Roman"/>
          <w:b/>
          <w:bCs/>
          <w:color w:val="auto"/>
          <w:kern w:val="2"/>
          <w:sz w:val="32"/>
          <w:szCs w:val="32"/>
          <w:highlight w:val="none"/>
          <w:lang w:val="en-US" w:eastAsia="zh-CN" w:bidi="ar-SA"/>
        </w:rPr>
        <w:t>（二）存在的问题及原因分析</w:t>
      </w:r>
      <w:bookmarkEnd w:id="17"/>
      <w:r>
        <w:rPr>
          <w:rFonts w:hint="eastAsia" w:ascii="Times New Roman" w:hAnsi="Times New Roman" w:eastAsia="楷体_GB2312" w:cs="Times New Roman"/>
          <w:b/>
          <w:bCs/>
          <w:color w:val="auto"/>
          <w:kern w:val="2"/>
          <w:sz w:val="32"/>
          <w:szCs w:val="32"/>
          <w:highlight w:val="none"/>
          <w:lang w:val="en-US" w:eastAsia="zh-CN" w:bidi="ar-SA"/>
        </w:rPr>
        <w:t>　</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2.因轮岗、调动等因素使我单位绩效工作人员流动频繁，造成了工作衔接不到位的情况。</w:t>
      </w:r>
    </w:p>
    <w:p>
      <w:pPr>
        <w:pStyle w:val="4"/>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bookmarkStart w:id="18" w:name="_Toc68703845"/>
      <w:r>
        <w:rPr>
          <w:rFonts w:hint="eastAsia" w:eastAsia="黑体" w:cs="Times New Roman"/>
          <w:b w:val="0"/>
          <w:bCs/>
          <w:color w:val="auto"/>
          <w:kern w:val="2"/>
          <w:sz w:val="32"/>
          <w:szCs w:val="32"/>
          <w:highlight w:val="none"/>
          <w:lang w:val="en-US" w:eastAsia="zh-CN" w:bidi="ar-SA"/>
        </w:rPr>
        <w:t>七</w:t>
      </w:r>
      <w:r>
        <w:rPr>
          <w:rFonts w:hint="eastAsia" w:ascii="Times New Roman" w:hAnsi="Times New Roman" w:eastAsia="黑体" w:cs="Times New Roman"/>
          <w:b w:val="0"/>
          <w:bCs/>
          <w:color w:val="auto"/>
          <w:kern w:val="2"/>
          <w:sz w:val="32"/>
          <w:szCs w:val="32"/>
          <w:highlight w:val="none"/>
          <w:lang w:val="en-US" w:eastAsia="zh-CN" w:bidi="ar-SA"/>
        </w:rPr>
        <w:t>、有关建议</w:t>
      </w:r>
      <w:bookmarkEnd w:id="18"/>
      <w:r>
        <w:rPr>
          <w:rFonts w:hint="eastAsia" w:ascii="Times New Roman" w:hAnsi="Times New Roman" w:eastAsia="黑体" w:cs="Times New Roman"/>
          <w:b w:val="0"/>
          <w:bCs/>
          <w:color w:val="auto"/>
          <w:kern w:val="2"/>
          <w:sz w:val="32"/>
          <w:szCs w:val="32"/>
          <w:highlight w:val="none"/>
          <w:lang w:val="en-US" w:eastAsia="zh-CN" w:bidi="ar-SA"/>
        </w:rPr>
        <w:t>　</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2.专门设定对绩效工作人员定职、定岗、定责等相关制度措施，进一步提升我单位绩效管理工作业务水平，扎实做好绩效管理工作。</w:t>
      </w:r>
    </w:p>
    <w:p>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ageBreakBefore w:val="0"/>
        <w:shd w:val="clear"/>
        <w:kinsoku/>
        <w:wordWrap/>
        <w:overflowPunct/>
        <w:topLinePunct w:val="0"/>
        <w:autoSpaceDE/>
        <w:autoSpaceDN/>
        <w:bidi w:val="0"/>
        <w:adjustRightInd/>
        <w:snapToGrid/>
        <w:spacing w:line="560" w:lineRule="exact"/>
        <w:ind w:firstLine="640" w:firstLineChars="200"/>
        <w:outlineLvl w:val="0"/>
        <w:rPr>
          <w:color w:val="auto"/>
          <w:sz w:val="22"/>
          <w:szCs w:val="28"/>
          <w:highlight w:val="none"/>
        </w:rPr>
      </w:pPr>
      <w:r>
        <w:rPr>
          <w:rFonts w:hint="eastAsia" w:ascii="仿宋_GB2312" w:hAnsi="仿宋_GB2312" w:eastAsia="仿宋_GB2312" w:cs="仿宋_GB2312"/>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color w:val="auto"/>
          <w:sz w:val="36"/>
          <w:szCs w:val="32"/>
          <w:highlight w:val="none"/>
        </w:rPr>
        <w:t>。</w:t>
      </w:r>
    </w:p>
    <w:p>
      <w:pPr>
        <w:pageBreakBefore w:val="0"/>
        <w:shd w:val="clear"/>
        <w:kinsoku/>
        <w:wordWrap/>
        <w:overflowPunct/>
        <w:topLinePunct w:val="0"/>
        <w:autoSpaceDE/>
        <w:autoSpaceDN/>
        <w:bidi w:val="0"/>
        <w:adjustRightInd/>
        <w:snapToGrid/>
        <w:spacing w:line="560" w:lineRule="exact"/>
        <w:ind w:firstLine="640" w:firstLineChars="200"/>
        <w:outlineLvl w:val="0"/>
        <w:rPr>
          <w:color w:val="auto"/>
          <w:highlight w:val="none"/>
        </w:rPr>
      </w:pPr>
      <w:r>
        <w:rPr>
          <w:rFonts w:hint="eastAsia" w:ascii="仿宋_GB2312" w:hAnsi="仿宋_GB2312" w:eastAsia="仿宋_GB2312" w:cs="仿宋_GB2312"/>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4"/>
        <w:pageBreakBefore w:val="0"/>
        <w:widowControl w:val="0"/>
        <w:kinsoku/>
        <w:wordWrap/>
        <w:overflowPunct/>
        <w:topLinePunct w:val="0"/>
        <w:autoSpaceDE/>
        <w:autoSpaceDN/>
        <w:bidi w:val="0"/>
        <w:adjustRightInd/>
        <w:snapToGrid/>
        <w:spacing w:before="0" w:after="0" w:line="560" w:lineRule="exact"/>
        <w:textAlignment w:val="auto"/>
        <w:rPr>
          <w:rFonts w:ascii="宋体" w:hAnsi="宋体" w:eastAsia="宋体"/>
          <w:color w:val="auto"/>
          <w:sz w:val="32"/>
          <w:szCs w:val="32"/>
          <w:highlight w:val="none"/>
        </w:rPr>
      </w:pPr>
      <w:bookmarkStart w:id="19" w:name="_Toc68703846"/>
      <w:r>
        <w:rPr>
          <w:rFonts w:hint="eastAsia" w:ascii="宋体" w:hAnsi="宋体" w:eastAsia="宋体"/>
          <w:color w:val="auto"/>
          <w:sz w:val="32"/>
          <w:szCs w:val="32"/>
          <w:highlight w:val="none"/>
          <w:lang w:eastAsia="zh-CN"/>
        </w:rPr>
        <w:t>八</w:t>
      </w:r>
      <w:r>
        <w:rPr>
          <w:rFonts w:hint="eastAsia" w:ascii="宋体" w:hAnsi="宋体" w:eastAsia="宋体"/>
          <w:color w:val="auto"/>
          <w:sz w:val="32"/>
          <w:szCs w:val="32"/>
          <w:highlight w:val="none"/>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auto"/>
          <w:sz w:val="32"/>
          <w:szCs w:val="32"/>
          <w:highlight w:val="none"/>
        </w:rPr>
      </w:pPr>
      <w:r>
        <w:rPr>
          <w:rFonts w:hint="eastAsia" w:ascii="仿宋_GB2312" w:hAnsi="仿宋_GB2312" w:cs="仿宋_GB2312"/>
          <w:color w:val="auto"/>
          <w:sz w:val="32"/>
          <w:szCs w:val="32"/>
          <w:highlight w:val="none"/>
          <w:lang w:eastAsia="zh-CN"/>
        </w:rPr>
        <w:t>　</w:t>
      </w:r>
      <w:r>
        <w:rPr>
          <w:rFonts w:hint="eastAsia" w:ascii="仿宋_GB2312" w:hAnsi="仿宋_GB2312" w:eastAsia="仿宋_GB2312" w:cs="仿宋_GB2312"/>
          <w:color w:val="auto"/>
          <w:sz w:val="32"/>
          <w:szCs w:val="32"/>
          <w:highlight w:val="none"/>
          <w:lang w:eastAsia="zh-Hans"/>
        </w:rPr>
        <w:t>本项目无其他需说明的问题</w:t>
      </w:r>
      <w:r>
        <w:rPr>
          <w:rFonts w:hint="eastAsia" w:ascii="仿宋_GB2312" w:hAnsi="仿宋_GB2312" w:cs="仿宋_GB2312"/>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ind w:left="0" w:leftChars="0" w:firstLine="0" w:firstLineChars="0"/>
        <w:rPr>
          <w:color w:val="auto"/>
          <w:highlight w:val="none"/>
        </w:rPr>
      </w:pPr>
    </w:p>
    <w:tbl>
      <w:tblPr>
        <w:tblStyle w:val="13"/>
        <w:tblW w:w="10700" w:type="dxa"/>
        <w:jc w:val="center"/>
        <w:tblInd w:w="-9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08"/>
        <w:gridCol w:w="811"/>
        <w:gridCol w:w="815"/>
        <w:gridCol w:w="894"/>
        <w:gridCol w:w="1000"/>
        <w:gridCol w:w="491"/>
        <w:gridCol w:w="1141"/>
        <w:gridCol w:w="1013"/>
        <w:gridCol w:w="650"/>
        <w:gridCol w:w="586"/>
        <w:gridCol w:w="662"/>
        <w:gridCol w:w="474"/>
        <w:gridCol w:w="534"/>
        <w:gridCol w:w="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26" w:hRule="atLeast"/>
          <w:jc w:val="center"/>
        </w:trPr>
        <w:tc>
          <w:tcPr>
            <w:tcW w:w="1070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9" w:hRule="atLeast"/>
          <w:jc w:val="center"/>
        </w:trPr>
        <w:tc>
          <w:tcPr>
            <w:tcW w:w="1070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jc w:val="center"/>
        </w:trPr>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9081"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信息网络及软件购置类项目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jc w:val="center"/>
        </w:trPr>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434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霍尔果斯市公安局</w:t>
            </w:r>
          </w:p>
        </w:tc>
        <w:tc>
          <w:tcPr>
            <w:tcW w:w="16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07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jc w:val="center"/>
        </w:trPr>
        <w:tc>
          <w:tcPr>
            <w:tcW w:w="16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6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2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jc w:val="center"/>
        </w:trPr>
        <w:tc>
          <w:tcPr>
            <w:tcW w:w="1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572.88</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572.88</w:t>
            </w:r>
          </w:p>
        </w:tc>
        <w:tc>
          <w:tcPr>
            <w:tcW w:w="16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572.88</w:t>
            </w:r>
          </w:p>
        </w:tc>
        <w:tc>
          <w:tcPr>
            <w:tcW w:w="12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jc w:val="center"/>
        </w:trPr>
        <w:tc>
          <w:tcPr>
            <w:tcW w:w="1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572.88</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572.88</w:t>
            </w:r>
          </w:p>
        </w:tc>
        <w:tc>
          <w:tcPr>
            <w:tcW w:w="16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572.88</w:t>
            </w:r>
          </w:p>
        </w:tc>
        <w:tc>
          <w:tcPr>
            <w:tcW w:w="12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jc w:val="center"/>
        </w:trPr>
        <w:tc>
          <w:tcPr>
            <w:tcW w:w="1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jc w:val="center"/>
        </w:trPr>
        <w:tc>
          <w:tcPr>
            <w:tcW w:w="1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jc w:val="center"/>
        </w:trPr>
        <w:tc>
          <w:tcPr>
            <w:tcW w:w="8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515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474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61"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15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霍尔果斯市公安局信息网络及软件购置项目2023年度总目标如下：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1、确保霍尔果斯市政治大局稳定，社会和谐平安，人民群众安全感和满意度不断提升。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2、进一步补全公安局基础设施短板，提高信息化建设水平。</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3、增强公安业务工作服务能力，提升案件侦办效率。</w:t>
            </w:r>
          </w:p>
        </w:tc>
        <w:tc>
          <w:tcPr>
            <w:tcW w:w="474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1、支付350兆PDT基站建设8个（39.23万元/套），本年度计划支付计划投入资金156.92万元；</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2、购置信息网络安全等级保护系统2条，支付视频网等级保护设备采购项目96.62万元，支付信息网络</w:t>
            </w:r>
            <w:bookmarkStart w:id="22" w:name="_GoBack"/>
            <w:bookmarkEnd w:id="22"/>
            <w:r>
              <w:rPr>
                <w:rFonts w:hint="eastAsia" w:ascii="宋体" w:hAnsi="宋体" w:eastAsia="宋体" w:cs="宋体"/>
                <w:i w:val="0"/>
                <w:color w:val="000000"/>
                <w:kern w:val="0"/>
                <w:sz w:val="20"/>
                <w:szCs w:val="20"/>
                <w:u w:val="none"/>
                <w:lang w:val="en-US" w:eastAsia="zh-CN" w:bidi="ar"/>
              </w:rPr>
              <w:t>安全等级保护采购项目93万元；</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3、支付以前年度项目资金226.33万元。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8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38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1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1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35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0"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3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jc w:val="center"/>
        </w:trPr>
        <w:tc>
          <w:tcPr>
            <w:tcW w:w="8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350兆PDT基站建设数</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&gt;=8个</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8个</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支付以前年度项目数量</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&gt;=2个</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2个</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购置信息网络安全等级保护系统数</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&gt;=2套</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2套</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购置设备验收合格率</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设备已全部验收合格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设备质量合格率</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设备已全部验收合格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政府采购率</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项目采购已全部通过政采云采购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设备购置安装到位及时率</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2023年9月30日前</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2023年6月</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支付以前年度资金及时率</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资金已全额及时支付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支付2021年音频改造项目金额</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&gt;=26.34万元</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26.34万元</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信息网安全等级保护采购项目金额</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&gt;=93万元</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93万元</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建设350兆PDT基站成本</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&lt;=39.23万元/套</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39.23万元/套</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视频网等级保护设备采购项目</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&gt;=96.62万元</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96.62万元</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支付2020年系统提升项目金额</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&gt;=200万元</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200万元</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设备利用率</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设备已全部投入使用且正常运转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重大活动突发事件下降率</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3"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干部职工满意度</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设备已圆满完成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jc w:val="center"/>
        </w:trPr>
        <w:tc>
          <w:tcPr>
            <w:tcW w:w="697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100.00分</w:t>
            </w: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Style w:val="12"/>
        <w:pageBreakBefore w:val="0"/>
        <w:kinsoku/>
        <w:wordWrap/>
        <w:overflowPunct/>
        <w:topLinePunct w:val="0"/>
        <w:autoSpaceDE/>
        <w:autoSpaceDN/>
        <w:bidi w:val="0"/>
        <w:adjustRightInd/>
        <w:snapToGrid/>
        <w:spacing w:before="0" w:after="0" w:line="560" w:lineRule="exact"/>
        <w:jc w:val="both"/>
        <w:rPr>
          <w:color w:val="auto"/>
          <w:highlight w:val="none"/>
        </w:rPr>
      </w:pPr>
    </w:p>
    <w:p>
      <w:pPr>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ageBreakBefore w:val="0"/>
        <w:kinsoku/>
        <w:wordWrap/>
        <w:overflowPunct/>
        <w:topLinePunct w:val="0"/>
        <w:autoSpaceDE/>
        <w:autoSpaceDN/>
        <w:bidi w:val="0"/>
        <w:adjustRightInd/>
        <w:snapToGrid/>
        <w:spacing w:line="560" w:lineRule="exact"/>
      </w:pPr>
    </w:p>
    <w:p>
      <w:pPr>
        <w:pageBreakBefore w:val="0"/>
        <w:kinsoku/>
        <w:wordWrap/>
        <w:overflowPunct/>
        <w:topLinePunct w:val="0"/>
        <w:autoSpaceDE/>
        <w:autoSpaceDN/>
        <w:bidi w:val="0"/>
        <w:adjustRightInd/>
        <w:snapToGrid/>
        <w:spacing w:line="560" w:lineRule="exact"/>
        <w:rPr>
          <w:rFonts w:hint="eastAsia" w:ascii="黑体" w:hAnsi="黑体" w:eastAsia="黑体" w:cs="黑体"/>
          <w:bCs/>
          <w:color w:val="auto"/>
          <w:sz w:val="32"/>
          <w:szCs w:val="32"/>
          <w:highlight w:val="none"/>
        </w:rPr>
        <w:sectPr>
          <w:headerReference r:id="rId3" w:type="default"/>
          <w:pgSz w:w="11906" w:h="16838"/>
          <w:pgMar w:top="1928" w:right="1531" w:bottom="1701" w:left="1531" w:header="737" w:footer="851" w:gutter="0"/>
          <w:cols w:space="720" w:num="1"/>
          <w:docGrid w:type="lines" w:linePitch="408" w:charSpace="0"/>
        </w:sectPr>
      </w:pPr>
    </w:p>
    <w:p>
      <w:pPr>
        <w:pStyle w:val="22"/>
        <w:pageBreakBefore w:val="0"/>
        <w:kinsoku/>
        <w:wordWrap/>
        <w:overflowPunct/>
        <w:topLinePunct w:val="0"/>
        <w:autoSpaceDE/>
        <w:autoSpaceDN/>
        <w:bidi w:val="0"/>
        <w:adjustRightInd/>
        <w:snapToGrid/>
        <w:spacing w:line="560" w:lineRule="exact"/>
        <w:ind w:firstLine="562"/>
        <w:jc w:val="center"/>
        <w:rPr>
          <w:color w:val="auto"/>
          <w:sz w:val="28"/>
          <w:szCs w:val="40"/>
          <w:highlight w:val="none"/>
        </w:rPr>
      </w:pPr>
      <w:bookmarkStart w:id="20" w:name="_Toc30064_WPSOffice_Level1"/>
      <w:bookmarkStart w:id="21" w:name="_Toc26499_WPSOffice_Level2"/>
      <w:r>
        <w:rPr>
          <w:rFonts w:hint="eastAsia"/>
          <w:b/>
          <w:bCs/>
          <w:color w:val="auto"/>
          <w:sz w:val="28"/>
          <w:szCs w:val="40"/>
          <w:highlight w:val="none"/>
          <w:lang w:val="en-US" w:eastAsia="zh-CN"/>
        </w:rPr>
        <w:t>信息网络及软件购置类项目</w:t>
      </w:r>
      <w:r>
        <w:rPr>
          <w:rFonts w:hint="eastAsia"/>
          <w:b/>
          <w:bCs/>
          <w:color w:val="auto"/>
          <w:sz w:val="28"/>
          <w:szCs w:val="40"/>
          <w:highlight w:val="none"/>
        </w:rPr>
        <w:t>绩效评价指标体系及综合评分表</w:t>
      </w:r>
      <w:bookmarkEnd w:id="20"/>
      <w:bookmarkEnd w:id="21"/>
    </w:p>
    <w:tbl>
      <w:tblPr>
        <w:tblStyle w:val="13"/>
        <w:tblW w:w="15900" w:type="dxa"/>
        <w:jc w:val="center"/>
        <w:tblInd w:w="-133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84"/>
        <w:gridCol w:w="1208"/>
        <w:gridCol w:w="1441"/>
        <w:gridCol w:w="3599"/>
        <w:gridCol w:w="7322"/>
        <w:gridCol w:w="772"/>
        <w:gridCol w:w="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47" w:hRule="atLeast"/>
          <w:jc w:val="center"/>
        </w:trPr>
        <w:tc>
          <w:tcPr>
            <w:tcW w:w="14354"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信息网络及软件购置类项目支出绩效评价指标体系</w:t>
            </w:r>
          </w:p>
        </w:tc>
        <w:tc>
          <w:tcPr>
            <w:tcW w:w="772" w:type="dxa"/>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774" w:type="dxa"/>
            <w:tcBorders>
              <w:top w:val="nil"/>
              <w:left w:val="nil"/>
              <w:bottom w:val="nil"/>
              <w:right w:val="nil"/>
            </w:tcBorders>
            <w:shd w:val="clear" w:color="auto" w:fill="auto"/>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jc w:val="center"/>
        </w:trPr>
        <w:tc>
          <w:tcPr>
            <w:tcW w:w="7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一级指标</w:t>
            </w:r>
          </w:p>
        </w:tc>
        <w:tc>
          <w:tcPr>
            <w:tcW w:w="120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二级指标</w:t>
            </w:r>
          </w:p>
        </w:tc>
        <w:tc>
          <w:tcPr>
            <w:tcW w:w="144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三级指标</w:t>
            </w:r>
          </w:p>
        </w:tc>
        <w:tc>
          <w:tcPr>
            <w:tcW w:w="35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指标解释</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指标说明</w:t>
            </w:r>
          </w:p>
        </w:tc>
        <w:tc>
          <w:tcPr>
            <w:tcW w:w="77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分值</w:t>
            </w:r>
          </w:p>
        </w:tc>
        <w:tc>
          <w:tcPr>
            <w:tcW w:w="77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决策　（20）</w:t>
            </w:r>
          </w:p>
        </w:tc>
        <w:tc>
          <w:tcPr>
            <w:tcW w:w="120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项目立项(6)</w:t>
            </w: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立项依据充分性</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项目立项是否符合法律法规、相关政策、发展规划以及部门职责，用以反映和考核项目立项依据情况。</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①项目立项是否符合国家法律法规、国民经济发展规划和相关政策；</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②项目立项是否符合行业发展规划和政策要求；</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③项目立项是否与部门职责范围相符，属于部门履职所需；</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④项目是否属于公共财政支持范围，是否符合中央、地方事权支出责任划分原则；</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⑤项目是否与相关部门同类项目或部门内部相关项目重复。</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立项程序规范性</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项目申请、设立过程是否符合相关要求，用以反映和考核项目立项的规范情况。</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①项目是否按照规定的程序申请设立；</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②审批文件、材料是否符合相关要求；</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③事前是否已经过必要的可行性研究、专家论证、风险评估、绩效评估、集体决策。</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绩效目标(3)</w:t>
            </w: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绩效目标合理性</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项目所设定的绩效目标是否依据充分，是否符合客观实际，用以反映和考核项目绩效目标与项目实施的相符情况。</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（如未设定预算绩效目标，也可考核其他工作任务目标）</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①项目是否有绩效目标；</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②项目绩效目标与实际工作内容是否具有相关性；</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③项目预期产出效益和效果是否符合正常的业绩水平；</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④是否与预算确定的项目投资额或资金量相匹配。</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绩效目标（3）</w:t>
            </w: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绩效指标明确性</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依据绩效目标设定的绩效指标是否清晰、细化、可衡量等，用以反映和考核项目绩效目标的明细化情况。</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①是否将项目绩效目标细化分解为具体的绩效指标；</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②是否通过清晰、可衡量的指标值予以体现；</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③是否与项目目标任务数或计划数相对应。</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资金投入（8）</w:t>
            </w: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预算编制科学性</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项目预算编制是否经过科学论证、有明确标准，资金额度与年度目标是否相适应，用以反映和考核项目预算编制的科学性、合理性情况。</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①预算编制是否经过科学论证；</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②预算内容与项目内容是否匹配；</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③预算额度测算依据是否充分，是否按照标准编制；</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④预算确定的项目投资额或资金量是否与工作任务相匹配。</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资金分配合理性</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项目预算资金分配是否有测算依据，与补助单位或地方实际是否相适应，用以反映和考核项目预算资金分配的科学性、合理性情况。</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①预算资金分配依据是否充分；</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1"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②资金分配额度是否合理，与项目单位或地方实际是否相适应。</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过程（20）</w:t>
            </w:r>
          </w:p>
        </w:tc>
        <w:tc>
          <w:tcPr>
            <w:tcW w:w="120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资金管理(8)</w:t>
            </w: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资金到位率</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实际到位资金与预算资金的比率，用以反映和考核资金落实情况对项目实施的总体保障程度。</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资金到位率=（实际到位资金/预算资金）×100%。</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实际到位资金：一定时期（本年度或项目期）内落实到具体项目的资金。</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预算资金：一定时期（本年度或项目期）内预算安排到具体项目的资金。</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预算执行率</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项目预算资金是否按照计划执行，用以反映或考核项目预算执行情况。</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预算执行率=（实际支出资金/实际到位资金）×100%。</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实际支出资金：一定时期（本年度或项目期）内项目实际拨付的资金。</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资金管理(4)</w:t>
            </w: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资金使用合规性</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项目资金使用是否符合相关的财务管理制度规定，用以反映和考核项目资金的规范运行情况。</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①是否符合国家财经法规和财务管理制度以及有关专项资金管理办法的规定；</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②资金的拨付是否有完整的审批程序和手续；</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③是否符合项目预算批复或合同规定的用途；</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④是否存在截留、挤占、挪用、虚列支出等情况。</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组织实施（8）</w:t>
            </w: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管理制度健全性</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项目实施单位的财务和业务管理制度是否健全，用以反映和考核财务和业务管理制度对项目顺利实施的保障情况。</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①是否已制定或具有相应的财务和业务管理制度；</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②财务和业务管理制度是否合法、合规、完整。</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制度执行有效性</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项目实施是否符合相关管理规定，用以反映和考核相关管理制度的有效执行情况。</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①是否遵守相关法律法规和相关管理规定；</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②项目调整及支出调整手续是否完备；</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③项目合同书、验收报告、技术鉴定等资料是否齐全并及时归档；</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④项目实施的人员条件、场地设备、信息支撑等是否落实到位。</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产出（40）</w:t>
            </w:r>
          </w:p>
        </w:tc>
        <w:tc>
          <w:tcPr>
            <w:tcW w:w="120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产出数量(10)</w:t>
            </w: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实际完成率</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项目实施的实际产出数与计划产出数的比率，用以反映和考核项目产出数量目标的实现程度。</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实际完成率=（实际产出数/计划产出数）×100%。</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实际产出数：一定时期（本年度或项目期）内项目实际产出的产品或提供的服务数量。</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计划产出数：项目绩效目标确定的在一定时期（本年度或项目期）内计划产出的产品或提供的服务数量。</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产出质量(10)</w:t>
            </w: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质量达标率</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项目完成的质量达标产出数与实际产出数的比率，用以反映和考核项目产出质量目标的实现程度。</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质量达标率=（质量达标产出数/实际产出数）×100%。</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32"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产出时效(10)</w:t>
            </w: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完成及时性</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项目实际完成时间与计划完成时间的比较，用以反映和考核项目产出时效目标的实现程度。</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实际完成时间：项目实施单位完成该项目实际所耗用的时间。</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8"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计划完成时间：按照项目实施计划或相关规定完成该项目所需的时间。</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产出成本(10)</w:t>
            </w:r>
          </w:p>
        </w:tc>
        <w:tc>
          <w:tcPr>
            <w:tcW w:w="144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成本节约率</w:t>
            </w:r>
          </w:p>
        </w:tc>
        <w:tc>
          <w:tcPr>
            <w:tcW w:w="35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完成项目计划工作目标的实际节约成本与计划成本的比率，用以反映和考核项目的成本节约程度。</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成本节约率=[（计划成本-实际成本）/计划成本]×100%。</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实际成本：项目实施单位如期、保质、保量完成既定工作目标实际所耗费的支出。</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计划成本：项目实施单位为完成工作目标计划安排的支出，一般以项目预算为参考。</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jc w:val="center"/>
        </w:trPr>
        <w:tc>
          <w:tcPr>
            <w:tcW w:w="7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效益（20）</w:t>
            </w:r>
          </w:p>
        </w:tc>
        <w:tc>
          <w:tcPr>
            <w:tcW w:w="120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项目效益（20）</w:t>
            </w:r>
          </w:p>
        </w:tc>
        <w:tc>
          <w:tcPr>
            <w:tcW w:w="144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实施效益</w:t>
            </w:r>
          </w:p>
        </w:tc>
        <w:tc>
          <w:tcPr>
            <w:tcW w:w="35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项目实施所产生的效益。</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项目实施所产生的社会效益、经济效益、生态效益、可持续影响等。可根据项目实际情况有选择地设置和细化。</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jc w:val="center"/>
        </w:trPr>
        <w:tc>
          <w:tcPr>
            <w:tcW w:w="7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4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w:t>
            </w:r>
          </w:p>
        </w:tc>
        <w:tc>
          <w:tcPr>
            <w:tcW w:w="35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社会公众或服务对象对项目实施效果的满意程度。</w:t>
            </w:r>
          </w:p>
        </w:tc>
        <w:tc>
          <w:tcPr>
            <w:tcW w:w="73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社会公众或服务对象是指因该项目实施而受到影响的部门（单位）、群体或个人。一般采取社会调查的方式。</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9" w:hRule="atLeast"/>
          <w:jc w:val="center"/>
        </w:trPr>
        <w:tc>
          <w:tcPr>
            <w:tcW w:w="14354" w:type="dxa"/>
            <w:gridSpan w:val="5"/>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总分</w:t>
            </w:r>
          </w:p>
        </w:tc>
        <w:tc>
          <w:tcPr>
            <w:tcW w:w="77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100.00 </w:t>
            </w:r>
          </w:p>
        </w:tc>
        <w:tc>
          <w:tcPr>
            <w:tcW w:w="774"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100.00 </w:t>
            </w:r>
          </w:p>
        </w:tc>
      </w:tr>
    </w:tbl>
    <w:p>
      <w:pPr>
        <w:pageBreakBefore w:val="0"/>
        <w:kinsoku/>
        <w:wordWrap/>
        <w:overflowPunct/>
        <w:topLinePunct w:val="0"/>
        <w:autoSpaceDE/>
        <w:autoSpaceDN/>
        <w:bidi w:val="0"/>
        <w:adjustRightInd/>
        <w:snapToGrid/>
        <w:spacing w:line="560" w:lineRule="exact"/>
        <w:jc w:val="center"/>
        <w:rPr>
          <w:color w:val="auto"/>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hNWM0OGFhYTU3YmZiYjYxMTEzMzJkMDY1NjllZTY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E665481"/>
    <w:rsid w:val="0F2A6BF7"/>
    <w:rsid w:val="109627EE"/>
    <w:rsid w:val="16D85989"/>
    <w:rsid w:val="17136327"/>
    <w:rsid w:val="181871E2"/>
    <w:rsid w:val="19166846"/>
    <w:rsid w:val="20D30919"/>
    <w:rsid w:val="20E92B23"/>
    <w:rsid w:val="22AC2218"/>
    <w:rsid w:val="2729052F"/>
    <w:rsid w:val="28C14634"/>
    <w:rsid w:val="29E05206"/>
    <w:rsid w:val="2EC724D4"/>
    <w:rsid w:val="2EE30257"/>
    <w:rsid w:val="31A94FB1"/>
    <w:rsid w:val="335D6831"/>
    <w:rsid w:val="34DA27CE"/>
    <w:rsid w:val="36411DC5"/>
    <w:rsid w:val="36B72533"/>
    <w:rsid w:val="39F54BA2"/>
    <w:rsid w:val="3A431878"/>
    <w:rsid w:val="4057649F"/>
    <w:rsid w:val="432800C2"/>
    <w:rsid w:val="450B6AE4"/>
    <w:rsid w:val="4A847DA5"/>
    <w:rsid w:val="4BE13256"/>
    <w:rsid w:val="4DB40883"/>
    <w:rsid w:val="51ED1A46"/>
    <w:rsid w:val="52427194"/>
    <w:rsid w:val="53344193"/>
    <w:rsid w:val="54873A1A"/>
    <w:rsid w:val="56796849"/>
    <w:rsid w:val="568F383B"/>
    <w:rsid w:val="5A7761EC"/>
    <w:rsid w:val="5D555EEF"/>
    <w:rsid w:val="5DA95371"/>
    <w:rsid w:val="64685B7C"/>
    <w:rsid w:val="6507363E"/>
    <w:rsid w:val="686F7714"/>
    <w:rsid w:val="6A862BA8"/>
    <w:rsid w:val="6DD83157"/>
    <w:rsid w:val="6DFC1C65"/>
    <w:rsid w:val="700D1281"/>
    <w:rsid w:val="75FA041F"/>
    <w:rsid w:val="760F49BD"/>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unhideWhenUsed/>
    <w:qFormat/>
    <w:uiPriority w:val="99"/>
    <w:pPr>
      <w:spacing w:after="120"/>
    </w:p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link w:val="21"/>
    <w:semiHidden/>
    <w:unhideWhenUsed/>
    <w:qFormat/>
    <w:uiPriority w:val="99"/>
    <w:pPr>
      <w:tabs>
        <w:tab w:val="center" w:pos="4153"/>
        <w:tab w:val="right" w:pos="8306"/>
      </w:tabs>
      <w:snapToGrid w:val="0"/>
      <w:jc w:val="left"/>
    </w:pPr>
    <w:rPr>
      <w:sz w:val="18"/>
      <w:szCs w:val="18"/>
    </w:rPr>
  </w:style>
  <w:style w:type="paragraph" w:styleId="9">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5">
    <w:name w:val="Strong"/>
    <w:qFormat/>
    <w:uiPriority w:val="0"/>
    <w:rPr>
      <w:b/>
      <w:b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标题 1 Char"/>
    <w:basedOn w:val="14"/>
    <w:link w:val="4"/>
    <w:qFormat/>
    <w:uiPriority w:val="9"/>
    <w:rPr>
      <w:rFonts w:ascii="Times New Roman" w:hAnsi="Times New Roman" w:eastAsia="仿宋_GB2312" w:cs="Times New Roman"/>
      <w:b/>
      <w:bCs/>
      <w:kern w:val="44"/>
      <w:sz w:val="44"/>
      <w:szCs w:val="44"/>
    </w:rPr>
  </w:style>
  <w:style w:type="character" w:customStyle="1" w:styleId="18">
    <w:name w:val="标题 2 Char"/>
    <w:basedOn w:val="14"/>
    <w:link w:val="5"/>
    <w:qFormat/>
    <w:uiPriority w:val="9"/>
    <w:rPr>
      <w:rFonts w:asciiTheme="majorHAnsi" w:hAnsiTheme="majorHAnsi" w:eastAsiaTheme="majorEastAsia" w:cstheme="majorBidi"/>
      <w:b/>
      <w:bCs/>
      <w:sz w:val="32"/>
      <w:szCs w:val="32"/>
    </w:rPr>
  </w:style>
  <w:style w:type="paragraph" w:customStyle="1" w:styleId="19">
    <w:name w:val="TOC Heading"/>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
    <w:name w:val="页眉 Char"/>
    <w:basedOn w:val="14"/>
    <w:link w:val="9"/>
    <w:semiHidden/>
    <w:qFormat/>
    <w:uiPriority w:val="99"/>
    <w:rPr>
      <w:rFonts w:ascii="Times New Roman" w:hAnsi="Times New Roman" w:eastAsia="仿宋_GB2312" w:cs="Times New Roman"/>
      <w:sz w:val="18"/>
      <w:szCs w:val="18"/>
    </w:rPr>
  </w:style>
  <w:style w:type="character" w:customStyle="1" w:styleId="21">
    <w:name w:val="页脚 Char"/>
    <w:basedOn w:val="14"/>
    <w:link w:val="8"/>
    <w:semiHidden/>
    <w:qFormat/>
    <w:uiPriority w:val="99"/>
    <w:rPr>
      <w:rFonts w:ascii="Times New Roman" w:hAnsi="Times New Roman" w:eastAsia="仿宋_GB2312" w:cs="Times New Roman"/>
      <w:sz w:val="18"/>
      <w:szCs w:val="18"/>
    </w:rPr>
  </w:style>
  <w:style w:type="paragraph" w:customStyle="1" w:styleId="22">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5042</Words>
  <Characters>5242</Characters>
  <Lines>37</Lines>
  <Paragraphs>10</Paragraphs>
  <TotalTime>13</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2024-09-04T08:21:01Z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