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2" w:name="_GoBack"/>
      <w:bookmarkEnd w:id="22"/>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b/>
          <w:bCs/>
          <w:kern w:val="0"/>
          <w:sz w:val="48"/>
          <w:szCs w:val="48"/>
        </w:rPr>
      </w:pPr>
      <w:r>
        <w:rPr>
          <w:rFonts w:hint="eastAsia" w:eastAsia="方正小标宋_GBK"/>
          <w:b/>
          <w:bCs/>
          <w:kern w:val="0"/>
          <w:sz w:val="48"/>
          <w:szCs w:val="48"/>
          <w:lang w:val="en-US" w:eastAsia="zh-CN"/>
        </w:rPr>
        <w:t>监察信息员、村居务监督委员及“三员”开展工作相关设备资料</w:t>
      </w:r>
      <w:r>
        <w:rPr>
          <w:rFonts w:eastAsia="方正小标宋_GBK"/>
          <w:b/>
          <w:bCs/>
          <w:kern w:val="0"/>
          <w:sz w:val="48"/>
          <w:szCs w:val="48"/>
        </w:rPr>
        <w:t>资金项目支出</w:t>
      </w:r>
    </w:p>
    <w:p>
      <w:pPr>
        <w:spacing w:line="540" w:lineRule="exact"/>
        <w:jc w:val="center"/>
        <w:rPr>
          <w:rFonts w:eastAsia="方正小标宋_GBK"/>
          <w:b/>
          <w:bCs/>
          <w:kern w:val="0"/>
          <w:sz w:val="48"/>
          <w:szCs w:val="48"/>
        </w:rPr>
      </w:pPr>
      <w:r>
        <w:rPr>
          <w:rFonts w:eastAsia="方正小标宋_GBK"/>
          <w:b/>
          <w:bCs/>
          <w:kern w:val="0"/>
          <w:sz w:val="48"/>
          <w:szCs w:val="48"/>
        </w:rPr>
        <w:t>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left="3196" w:leftChars="530" w:hanging="1606" w:hangingChars="500"/>
        <w:jc w:val="both"/>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val="en-US" w:eastAsia="zh-CN"/>
        </w:rPr>
        <w:t>监察信息员、村居务监督委员及“三员”开展工作相关设备资料</w:t>
      </w:r>
    </w:p>
    <w:p>
      <w:pPr>
        <w:spacing w:line="560" w:lineRule="exact"/>
        <w:ind w:left="4176" w:hanging="4176" w:hangingChars="13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实施单位（公章）：中国共产党霍尔果斯市纪律检查委员会</w:t>
      </w:r>
    </w:p>
    <w:p>
      <w:pPr>
        <w:spacing w:line="560" w:lineRule="exact"/>
        <w:ind w:left="4176" w:hanging="4176" w:hangingChars="13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w:t>
      </w:r>
      <w:r>
        <w:rPr>
          <w:rFonts w:hint="eastAsia" w:ascii="宋体" w:hAnsi="宋体" w:eastAsia="宋体" w:cs="仿宋_GB2312"/>
          <w:b/>
          <w:bCs/>
          <w:color w:val="000000"/>
          <w:kern w:val="0"/>
          <w:sz w:val="32"/>
          <w:szCs w:val="32"/>
        </w:rPr>
        <w:t>中国共产党霍尔果斯市纪律检查委员会</w:t>
      </w:r>
    </w:p>
    <w:p>
      <w:pPr>
        <w:spacing w:line="560" w:lineRule="exact"/>
        <w:ind w:firstLine="321" w:firstLineChars="100"/>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马进霞</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17</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1.项目背景：</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以习近平新时代中国特色社会主义思想为指导，以</w:t>
      </w:r>
      <w:r>
        <w:rPr>
          <w:rFonts w:hint="eastAsia"/>
          <w:sz w:val="32"/>
          <w:szCs w:val="32"/>
          <w:lang w:eastAsia="zh-CN"/>
        </w:rPr>
        <w:t>党的十九大和十九届历次全会</w:t>
      </w:r>
      <w:r>
        <w:rPr>
          <w:rFonts w:hint="eastAsia" w:eastAsia="仿宋_GB2312"/>
          <w:sz w:val="32"/>
          <w:szCs w:val="32"/>
        </w:rPr>
        <w:t>上关于强化基层监督的重大决策为遵循，坚决贯彻中央和上级党委、纪委监委关于推动全面从严治党向基层延伸的工作部署，打通基层监督“神经末梢”、织密基层监督网络，形成横向到边、纵向到底的基层监督体系，突出发挥好群众的监督主体作用，不断巩固深化反腐败斗争压倒性态势，更加回应群众关心关切，促进社会公平正义。工作目标：围绕加快推进乡村治理体系和治理能力现代化，把消除群众身边的腐败和作风问题放在首位，切实规范“小微权力”运行，坚决做到“公权力延伸到哪里，监督就覆盖到哪里”，着力推动基层监督从“有形”向“有效”转变，提升发现问题能力，以强有力的有的监督促进干部作风转变，确保党中央重大决策部署、自治区党委、州党委工作安排在基层落地落实。 二：立项依据：根据伊州纪办发（2021）11号 关于印发《伊犁州纪委监委“强化基层监督年”工作方案》的通知及《伊犁州村级“三员”管理指导意见）（试行）》。</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spacing w:line="560" w:lineRule="exact"/>
        <w:ind w:firstLine="640" w:firstLineChars="200"/>
        <w:rPr>
          <w:rFonts w:hint="eastAsia" w:ascii="仿宋_GB2312"/>
          <w:sz w:val="32"/>
          <w:szCs w:val="32"/>
          <w:lang w:val="en-US" w:eastAsia="zh-CN"/>
        </w:rPr>
      </w:pPr>
      <w:r>
        <w:rPr>
          <w:rFonts w:hint="eastAsia" w:ascii="仿宋_GB2312"/>
          <w:sz w:val="32"/>
          <w:szCs w:val="32"/>
        </w:rPr>
        <w:t>主要内容：完成支付监察信息员、居务监督员（两员）68人的津贴，按季度发放全年支付4次，用于主要发现村（社区）领导干部违法违纪情况、督促解决群众反映困难情况、领导干部作风问题情况，纪检监察机关根据反映的情况进行研判处理相关领导干部、加强基层领导干部的监督，促进为群众办实事好事的能力。该项目提升“两员”监督力度，提升群众对政策的知晓率。</w:t>
      </w:r>
      <w:r>
        <w:rPr>
          <w:rFonts w:hint="eastAsia" w:ascii="仿宋_GB2312"/>
          <w:sz w:val="32"/>
          <w:szCs w:val="32"/>
          <w:lang w:val="en-US" w:eastAsia="zh-CN"/>
        </w:rPr>
        <w:t xml:space="preserve">    </w:t>
      </w:r>
    </w:p>
    <w:p>
      <w:pPr>
        <w:spacing w:line="560" w:lineRule="exact"/>
        <w:ind w:firstLine="640" w:firstLineChars="200"/>
        <w:rPr>
          <w:color w:val="auto"/>
        </w:rPr>
      </w:pPr>
      <w:r>
        <w:rPr>
          <w:rFonts w:hint="eastAsia" w:ascii="仿宋_GB2312"/>
          <w:sz w:val="32"/>
          <w:szCs w:val="32"/>
        </w:rPr>
        <w:t>实施情况：</w:t>
      </w:r>
      <w:r>
        <w:rPr>
          <w:rFonts w:eastAsia="仿宋_GB2312"/>
          <w:sz w:val="32"/>
          <w:szCs w:val="32"/>
        </w:rPr>
        <w:t>项目目前已经完成实际设立的目标，</w:t>
      </w:r>
      <w:r>
        <w:rPr>
          <w:rFonts w:hint="eastAsia" w:ascii="仿宋_GB2312"/>
          <w:sz w:val="32"/>
          <w:szCs w:val="32"/>
        </w:rPr>
        <w:t>完成支付监察信息员、居务监督员（两员）</w:t>
      </w:r>
      <w:r>
        <w:rPr>
          <w:rFonts w:hint="eastAsia" w:ascii="仿宋_GB2312"/>
          <w:sz w:val="32"/>
          <w:szCs w:val="32"/>
          <w:lang w:val="en-US" w:eastAsia="zh-CN"/>
        </w:rPr>
        <w:t>72</w:t>
      </w:r>
      <w:r>
        <w:rPr>
          <w:rFonts w:hint="eastAsia" w:ascii="仿宋_GB2312"/>
          <w:sz w:val="32"/>
          <w:szCs w:val="32"/>
        </w:rPr>
        <w:t>人的津贴</w:t>
      </w:r>
      <w:r>
        <w:rPr>
          <w:rFonts w:hint="eastAsia" w:ascii="仿宋_GB2312"/>
          <w:sz w:val="32"/>
          <w:szCs w:val="32"/>
          <w:lang w:eastAsia="zh-CN"/>
        </w:rPr>
        <w:t>。</w:t>
      </w:r>
      <w:r>
        <w:rPr>
          <w:rFonts w:eastAsia="仿宋_GB2312"/>
          <w:sz w:val="32"/>
          <w:szCs w:val="32"/>
        </w:rPr>
        <w:t>项目在实施过程中严格按照目标设立的各阶段任务进行开展工作，在前期立项过程中严格把质量关，建立安全防护机制，保证项目实施各阶</w:t>
      </w:r>
      <w:r>
        <w:rPr>
          <w:rFonts w:eastAsia="仿宋_GB2312"/>
          <w:color w:val="auto"/>
          <w:sz w:val="32"/>
          <w:szCs w:val="32"/>
        </w:rPr>
        <w:t>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color w:val="auto"/>
          <w:sz w:val="32"/>
          <w:szCs w:val="32"/>
          <w:lang w:eastAsia="zh-CN"/>
        </w:rPr>
      </w:pPr>
      <w:r>
        <w:rPr>
          <w:rFonts w:hint="eastAsia" w:ascii="Times New Roman" w:hAnsi="Times New Roman" w:cs="Times New Roman"/>
          <w:b w:val="0"/>
          <w:bCs w:val="0"/>
          <w:color w:val="auto"/>
          <w:sz w:val="32"/>
          <w:szCs w:val="32"/>
          <w:lang w:eastAsia="zh-CN"/>
        </w:rPr>
        <w:t>　3</w:t>
      </w:r>
      <w:r>
        <w:rPr>
          <w:rFonts w:hint="eastAsia" w:ascii="Times New Roman" w:hAnsi="Times New Roman" w:cs="Times New Roman"/>
          <w:b w:val="0"/>
          <w:bCs w:val="0"/>
          <w:color w:val="auto"/>
          <w:sz w:val="32"/>
          <w:szCs w:val="32"/>
          <w:lang w:val="en-US" w:eastAsia="zh-CN"/>
        </w:rPr>
        <w:t>.</w:t>
      </w:r>
      <w:r>
        <w:rPr>
          <w:rFonts w:hint="eastAsia" w:ascii="Times New Roman" w:hAnsi="Times New Roman" w:cs="Times New Roman"/>
          <w:b w:val="0"/>
          <w:bCs w:val="0"/>
          <w:color w:val="auto"/>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资金投入情况：该项目年初预算数</w:t>
      </w:r>
      <w:r>
        <w:rPr>
          <w:rFonts w:hint="eastAsia"/>
          <w:color w:val="auto"/>
          <w:sz w:val="32"/>
          <w:szCs w:val="32"/>
          <w:lang w:val="en-US" w:eastAsia="zh-CN"/>
        </w:rPr>
        <w:t>18.32</w:t>
      </w:r>
      <w:r>
        <w:rPr>
          <w:rFonts w:hint="eastAsia"/>
          <w:color w:val="auto"/>
          <w:sz w:val="32"/>
          <w:szCs w:val="32"/>
        </w:rPr>
        <w:t>万元，全年预算数</w:t>
      </w:r>
      <w:r>
        <w:rPr>
          <w:rFonts w:hint="eastAsia"/>
          <w:color w:val="auto"/>
          <w:sz w:val="32"/>
          <w:szCs w:val="32"/>
          <w:lang w:val="en-US" w:eastAsia="zh-CN"/>
        </w:rPr>
        <w:t>16.32</w:t>
      </w:r>
      <w:r>
        <w:rPr>
          <w:rFonts w:hint="eastAsia"/>
          <w:color w:val="auto"/>
          <w:sz w:val="32"/>
          <w:szCs w:val="32"/>
        </w:rPr>
        <w:t>万元</w:t>
      </w:r>
      <w:r>
        <w:rPr>
          <w:rFonts w:hint="eastAsia"/>
          <w:color w:val="auto"/>
          <w:sz w:val="32"/>
          <w:szCs w:val="32"/>
          <w:lang w:eastAsia="zh-CN"/>
        </w:rPr>
        <w:t>，</w:t>
      </w:r>
      <w:r>
        <w:rPr>
          <w:rFonts w:hint="eastAsia"/>
          <w:color w:val="auto"/>
          <w:sz w:val="32"/>
          <w:szCs w:val="32"/>
        </w:rPr>
        <w:t>实际总投入</w:t>
      </w:r>
      <w:r>
        <w:rPr>
          <w:rFonts w:hint="eastAsia"/>
          <w:color w:val="auto"/>
          <w:sz w:val="32"/>
          <w:szCs w:val="32"/>
          <w:lang w:val="en-US" w:eastAsia="zh-CN"/>
        </w:rPr>
        <w:t>16.32</w:t>
      </w:r>
      <w:r>
        <w:rPr>
          <w:rFonts w:hint="eastAsia"/>
          <w:color w:val="auto"/>
          <w:sz w:val="32"/>
          <w:szCs w:val="32"/>
        </w:rPr>
        <w:t>万元，该项目资金已全部落实到位，资金来源为财政拨款。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资金使用情况：该项目年初预算数</w:t>
      </w:r>
      <w:r>
        <w:rPr>
          <w:rFonts w:hint="eastAsia"/>
          <w:color w:val="auto"/>
          <w:sz w:val="32"/>
          <w:szCs w:val="32"/>
          <w:lang w:val="en-US" w:eastAsia="zh-CN"/>
        </w:rPr>
        <w:t>18.32</w:t>
      </w:r>
      <w:r>
        <w:rPr>
          <w:rFonts w:hint="eastAsia"/>
          <w:color w:val="auto"/>
          <w:sz w:val="32"/>
          <w:szCs w:val="32"/>
        </w:rPr>
        <w:t>万元，全年预算数</w:t>
      </w:r>
      <w:r>
        <w:rPr>
          <w:rFonts w:hint="eastAsia"/>
          <w:color w:val="auto"/>
          <w:sz w:val="32"/>
          <w:szCs w:val="32"/>
          <w:lang w:val="en-US" w:eastAsia="zh-CN"/>
        </w:rPr>
        <w:t>16.32</w:t>
      </w:r>
      <w:r>
        <w:rPr>
          <w:rFonts w:hint="eastAsia"/>
          <w:color w:val="auto"/>
          <w:sz w:val="32"/>
          <w:szCs w:val="32"/>
        </w:rPr>
        <w:t>万元</w:t>
      </w:r>
      <w:r>
        <w:rPr>
          <w:rFonts w:hint="eastAsia"/>
          <w:color w:val="auto"/>
          <w:sz w:val="32"/>
          <w:szCs w:val="32"/>
          <w:lang w:eastAsia="zh-CN"/>
        </w:rPr>
        <w:t>，</w:t>
      </w:r>
      <w:r>
        <w:rPr>
          <w:rFonts w:hint="eastAsia"/>
          <w:color w:val="auto"/>
          <w:sz w:val="32"/>
          <w:szCs w:val="32"/>
        </w:rPr>
        <w:t>全年执行数</w:t>
      </w:r>
      <w:r>
        <w:rPr>
          <w:rFonts w:hint="eastAsia"/>
          <w:color w:val="auto"/>
          <w:sz w:val="32"/>
          <w:szCs w:val="32"/>
          <w:lang w:val="en-US" w:eastAsia="zh-CN"/>
        </w:rPr>
        <w:t>15.24</w:t>
      </w:r>
      <w:r>
        <w:rPr>
          <w:rFonts w:hint="eastAsia"/>
          <w:color w:val="auto"/>
          <w:sz w:val="32"/>
          <w:szCs w:val="32"/>
        </w:rPr>
        <w:t>万元，预算执行率为</w:t>
      </w:r>
      <w:r>
        <w:rPr>
          <w:rFonts w:hint="eastAsia"/>
          <w:color w:val="auto"/>
          <w:sz w:val="32"/>
          <w:szCs w:val="32"/>
          <w:lang w:val="en-US" w:eastAsia="zh-CN"/>
        </w:rPr>
        <w:t>93.38</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用于：支付监察信息员、居务监督员（两员）津贴</w:t>
      </w:r>
      <w:r>
        <w:rPr>
          <w:rFonts w:hint="eastAsia"/>
          <w:color w:val="auto"/>
          <w:sz w:val="32"/>
          <w:szCs w:val="32"/>
          <w:lang w:val="en-US" w:eastAsia="zh-CN"/>
        </w:rPr>
        <w:t>15.24</w:t>
      </w:r>
      <w:r>
        <w:rPr>
          <w:rFonts w:hint="eastAsia"/>
          <w:color w:val="auto"/>
          <w:sz w:val="32"/>
          <w:szCs w:val="32"/>
        </w:rPr>
        <w:t>万元</w:t>
      </w:r>
      <w:bookmarkStart w:id="2" w:name="_Toc68703829"/>
      <w:r>
        <w:rPr>
          <w:rFonts w:hint="eastAsia"/>
          <w:color w:val="auto"/>
          <w:sz w:val="32"/>
          <w:szCs w:val="32"/>
          <w:lang w:eastAsia="zh-CN"/>
        </w:rPr>
        <w:t>。</w:t>
      </w:r>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spacing w:line="560" w:lineRule="exact"/>
        <w:ind w:firstLine="644"/>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1.总体目标：根据伊州纪办发（2021）11号 关于印发《伊犁州纪委监委“强化基层监督年”工作方案》的通知及《伊犁州村级“三员”管理指导意见）（试行）》。完成支付监察信息员、居务监督员（两员）68人的津贴，按季度发放全年支付4次，用于主要发现村（社区）领导干部违法违纪情况、督促解决群众反映困难情况、领导干部作风问题情况，纪检监察机关根据反映的情况进行研判处理相关领导干部、加强基层领导干部的监督，促进为群众办实事好事的能力。该项目提升“两员”监督力度，提升群众对政策的知晓率。</w:t>
      </w:r>
    </w:p>
    <w:p>
      <w:pPr>
        <w:spacing w:line="560" w:lineRule="exact"/>
        <w:ind w:firstLine="320" w:firstLineChars="100"/>
        <w:rPr>
          <w:rFonts w:hint="eastAsia"/>
          <w:color w:val="FF0000"/>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ascii="Times New Roman" w:hAnsi="Times New Roman" w:eastAsia="仿宋_GB2312" w:cs="Times New Roman"/>
          <w:b w:val="0"/>
          <w:bCs w:val="0"/>
          <w:sz w:val="32"/>
          <w:szCs w:val="32"/>
          <w:lang w:val="en-US" w:eastAsia="zh-CN"/>
        </w:rPr>
        <w:t>完成支付监察信息员、居务监督员（两员）68人的津贴，</w:t>
      </w:r>
      <w:r>
        <w:rPr>
          <w:rFonts w:hint="eastAsia" w:cs="Times New Roman"/>
          <w:b w:val="0"/>
          <w:bCs w:val="0"/>
          <w:sz w:val="32"/>
          <w:szCs w:val="32"/>
          <w:lang w:val="en-US" w:eastAsia="zh-CN"/>
        </w:rPr>
        <w:t>每</w:t>
      </w:r>
      <w:r>
        <w:rPr>
          <w:rFonts w:hint="eastAsia" w:ascii="Times New Roman" w:hAnsi="Times New Roman" w:eastAsia="仿宋_GB2312" w:cs="Times New Roman"/>
          <w:b w:val="0"/>
          <w:bCs w:val="0"/>
          <w:sz w:val="32"/>
          <w:szCs w:val="32"/>
          <w:lang w:val="en-US" w:eastAsia="zh-CN"/>
        </w:rPr>
        <w:t>季度发放支付</w:t>
      </w:r>
      <w:r>
        <w:rPr>
          <w:rFonts w:hint="eastAsia" w:cs="Times New Roman"/>
          <w:b w:val="0"/>
          <w:bCs w:val="0"/>
          <w:sz w:val="32"/>
          <w:szCs w:val="32"/>
          <w:lang w:val="en-US" w:eastAsia="zh-CN"/>
        </w:rPr>
        <w:t>1</w:t>
      </w:r>
      <w:r>
        <w:rPr>
          <w:rFonts w:hint="eastAsia" w:ascii="Times New Roman" w:hAnsi="Times New Roman" w:eastAsia="仿宋_GB2312" w:cs="Times New Roman"/>
          <w:b w:val="0"/>
          <w:bCs w:val="0"/>
          <w:sz w:val="32"/>
          <w:szCs w:val="32"/>
          <w:lang w:val="en-US" w:eastAsia="zh-CN"/>
        </w:rPr>
        <w:t>次</w:t>
      </w:r>
      <w:r>
        <w:rPr>
          <w:rFonts w:hint="eastAsia"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用于主要发现村（社区）领导干部违法违纪情况、督促解决群众反映困难情况、领导干部作风问题情况，纪检监察机关根据反映的情况进行研判处理相关领导干部、加强基层领导干部的监督，促进为群众办实事好事的能力。</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监察信息员、村居务监督委员及“三员”开展工作相关设备资料项目所包含的全部项目内容。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监察信息员、村居务监督委员及“三员”开展工作相关设备资料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0"/>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pPr>
      <w:r>
        <w:rPr>
          <w:rFonts w:ascii="Times New Roman" w:hAnsi="Times New Roman" w:eastAsia="仿宋_GB2312"/>
          <w:b w:val="0"/>
          <w:bCs w:val="0"/>
        </w:rPr>
        <w:t>（4）公开透明。绩效评价结果应依法依规公开，并自觉接受社会监督。</w:t>
      </w:r>
    </w:p>
    <w:p>
      <w:pPr>
        <w:keepNext w:val="0"/>
        <w:keepLines w:val="0"/>
        <w:pageBreakBefore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sz w:val="32"/>
          <w:szCs w:val="32"/>
        </w:rPr>
      </w:pPr>
      <w:r>
        <w:rPr>
          <w:rFonts w:hint="eastAsia"/>
        </w:rPr>
        <w:t>2、</w:t>
      </w:r>
      <w:r>
        <w:rPr>
          <w:rFonts w:hint="eastAsia"/>
          <w:sz w:val="32"/>
          <w:szCs w:val="32"/>
        </w:rPr>
        <w:t>评价指标体系</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outlineLvl w:val="9"/>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eastAsia"/>
        </w:rPr>
      </w:pPr>
      <w:r>
        <w:rPr>
          <w:rFonts w:ascii="Times New Roman" w:hAnsi="Times New Roman" w:eastAsia="仿宋_GB2312"/>
          <w:b w:val="0"/>
          <w:bCs w:val="0"/>
          <w:color w:val="000000"/>
          <w:spacing w:val="17"/>
        </w:rPr>
        <w:t>具体评价指标体系详情见附件1</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sz w:val="32"/>
          <w:szCs w:val="32"/>
        </w:rPr>
      </w:pPr>
      <w:r>
        <w:rPr>
          <w:rFonts w:hint="eastAsia"/>
          <w:sz w:val="32"/>
          <w:szCs w:val="32"/>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outlineLvl w:val="9"/>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绩效评价标准通常包括计划标准、行业标准、历史标准等，用于对绩效指标完成情况进行比较、分析、评价。本次评价主要采用了计划标准、历史标准。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计划标准</w:t>
      </w:r>
      <w:r>
        <w:rPr>
          <w:rFonts w:hint="eastAsia"/>
          <w:bCs/>
          <w:color w:val="000000" w:themeColor="text1"/>
          <w:sz w:val="32"/>
          <w:szCs w:val="32"/>
          <w:lang w:eastAsia="zh-CN"/>
          <w14:textFill>
            <w14:solidFill>
              <w14:schemeClr w14:val="tx1"/>
            </w14:solidFill>
          </w14:textFill>
        </w:rPr>
        <w:t>：</w:t>
      </w:r>
      <w:r>
        <w:rPr>
          <w:rFonts w:hint="eastAsia"/>
          <w:bCs/>
          <w:color w:val="000000" w:themeColor="text1"/>
          <w:sz w:val="32"/>
          <w:szCs w:val="32"/>
          <w14:textFill>
            <w14:solidFill>
              <w14:schemeClr w14:val="tx1"/>
            </w14:solidFill>
          </w14:textFill>
        </w:rPr>
        <w:t>指以预先制定的目标、计划、预算、定额等作为评价标准。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历史标准</w:t>
      </w:r>
      <w:r>
        <w:rPr>
          <w:rFonts w:hint="eastAsia"/>
          <w:bCs/>
          <w:color w:val="000000" w:themeColor="text1"/>
          <w:sz w:val="32"/>
          <w:szCs w:val="32"/>
          <w:lang w:eastAsia="zh-CN"/>
          <w14:textFill>
            <w14:solidFill>
              <w14:schemeClr w14:val="tx1"/>
            </w14:solidFill>
          </w14:textFill>
        </w:rPr>
        <w:t>：</w:t>
      </w:r>
      <w:r>
        <w:rPr>
          <w:rFonts w:hint="eastAsia"/>
          <w:bCs/>
          <w:color w:val="000000" w:themeColor="text1"/>
          <w:sz w:val="32"/>
          <w:szCs w:val="32"/>
          <w14:textFill>
            <w14:solidFill>
              <w14:schemeClr w14:val="tx1"/>
            </w14:solidFill>
          </w14:textFill>
        </w:rPr>
        <w:t>指参照历史数据制定的评价标准，为体现绩效改进的原则，在可实现的条件下应当确定相对较高的评价标准。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w w:val="95"/>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w:t>
      </w:r>
      <w:r>
        <w:rPr>
          <w:rFonts w:hint="eastAsia" w:eastAsia="仿宋_GB2312"/>
          <w:bCs/>
          <w:w w:val="95"/>
          <w:sz w:val="32"/>
          <w:szCs w:val="32"/>
        </w:rPr>
        <w:t>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before="0" w:after="0"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10"/>
        <w:keepNext w:val="0"/>
        <w:keepLines w:val="0"/>
        <w:pageBreakBefore w:val="0"/>
        <w:widowControl/>
        <w:kinsoku/>
        <w:wordWrap/>
        <w:overflowPunct/>
        <w:topLinePunct w:val="0"/>
        <w:autoSpaceDE/>
        <w:autoSpaceDN/>
        <w:bidi w:val="0"/>
        <w:adjustRightInd/>
        <w:snapToGrid/>
        <w:spacing w:before="0" w:after="0" w:line="560" w:lineRule="exact"/>
        <w:jc w:val="both"/>
        <w:textAlignment w:val="auto"/>
        <w:outlineLvl w:val="9"/>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w:t>
      </w:r>
      <w:r>
        <w:rPr>
          <w:rFonts w:hint="eastAsia" w:ascii="Times New Roman" w:hAnsi="Times New Roman" w:eastAsia="仿宋_GB2312"/>
          <w:b w:val="0"/>
          <w:bCs w:val="0"/>
          <w:highlight w:val="none"/>
        </w:rPr>
        <w:t>通过数据采集、问卷调查及访谈等方式，对本项目进行客观评价，最终评分结果：总得分为</w:t>
      </w:r>
      <w:r>
        <w:rPr>
          <w:rFonts w:hint="eastAsia" w:ascii="Times New Roman" w:hAnsi="Times New Roman" w:eastAsia="仿宋_GB2312"/>
          <w:b w:val="0"/>
          <w:bCs w:val="0"/>
          <w:highlight w:val="none"/>
          <w:lang w:val="en-US" w:eastAsia="zh-CN"/>
        </w:rPr>
        <w:t>99.11</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19.73</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98.65</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39.38</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98.45</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19.73</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39.38</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99.11</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lang w:val="en-US" w:eastAsia="zh-CN"/>
        </w:rPr>
      </w:pPr>
      <w:r>
        <w:rPr>
          <w:rFonts w:hint="eastAsia"/>
          <w:b w:val="0"/>
          <w:bCs w:val="0"/>
          <w:sz w:val="32"/>
          <w:szCs w:val="32"/>
          <w:lang w:val="en-US" w:eastAsia="zh-CN"/>
        </w:rPr>
        <w:t>　　项目决策类指标包括项目立项、绩效目标</w:t>
      </w:r>
      <w:r>
        <w:rPr>
          <w:rFonts w:hint="eastAsia"/>
          <w:b w:val="0"/>
          <w:bCs w:val="0"/>
          <w:color w:val="auto"/>
          <w:sz w:val="32"/>
          <w:szCs w:val="32"/>
          <w:lang w:val="en-US" w:eastAsia="zh-CN"/>
        </w:rPr>
        <w:t>和资金投入三方面的内容，由6个三级指标构成，权重分值为20分，实际得分20分，得分率为100%。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0"/>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w:t>
      </w:r>
      <w:r>
        <w:rPr>
          <w:rFonts w:hint="eastAsia" w:ascii="仿宋_GB2312" w:hAnsi="仿宋_GB2312" w:eastAsia="仿宋_GB2312" w:cs="仿宋_GB2312"/>
          <w:sz w:val="32"/>
          <w:szCs w:val="32"/>
          <w:highlight w:val="none"/>
          <w:lang w:val="en-US" w:eastAsia="zh-CN"/>
        </w:rPr>
        <w:t>分，实际得分</w:t>
      </w:r>
      <w:r>
        <w:rPr>
          <w:rFonts w:hint="eastAsia" w:ascii="仿宋_GB2312" w:hAnsi="仿宋_GB2312" w:cs="仿宋_GB2312"/>
          <w:sz w:val="32"/>
          <w:szCs w:val="32"/>
          <w:highlight w:val="none"/>
          <w:lang w:val="en-US" w:eastAsia="zh-CN"/>
        </w:rPr>
        <w:t>19.73</w:t>
      </w:r>
      <w:r>
        <w:rPr>
          <w:rFonts w:hint="eastAsia" w:ascii="仿宋_GB2312" w:hAnsi="仿宋_GB2312" w:eastAsia="仿宋_GB2312" w:cs="仿宋_GB2312"/>
          <w:sz w:val="32"/>
          <w:szCs w:val="32"/>
          <w:highlight w:val="none"/>
          <w:lang w:val="en-US" w:eastAsia="zh-CN"/>
        </w:rPr>
        <w:t>分，得分率为98.65%。</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highlight w:val="none"/>
          <w:lang w:val="en-US" w:eastAsia="zh-CN"/>
        </w:rPr>
        <w:t>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w:t>
      </w:r>
      <w:r>
        <w:rPr>
          <w:rFonts w:hint="eastAsia" w:ascii="仿宋_GB2312" w:hAnsi="仿宋_GB2312" w:cs="仿宋_GB2312"/>
          <w:sz w:val="32"/>
          <w:szCs w:val="32"/>
          <w:highlight w:val="none"/>
          <w:lang w:val="en-US" w:eastAsia="zh-CN"/>
        </w:rPr>
        <w:t>16.32</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15.24</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93.38</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5"/>
        <w:numPr>
          <w:ilvl w:val="0"/>
          <w:numId w:val="3"/>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w:t>
      </w:r>
      <w:r>
        <w:rPr>
          <w:rFonts w:hint="eastAsia" w:ascii="仿宋_GB2312" w:hAnsi="仿宋_GB2312" w:eastAsia="仿宋_GB2312" w:cs="仿宋_GB2312"/>
          <w:sz w:val="32"/>
          <w:szCs w:val="32"/>
          <w:highlight w:val="none"/>
          <w:lang w:val="en-US" w:eastAsia="zh-CN"/>
        </w:rPr>
        <w:t>成本四方面的内容，由</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39.38</w:t>
      </w:r>
      <w:r>
        <w:rPr>
          <w:rFonts w:hint="eastAsia" w:ascii="仿宋_GB2312" w:hAnsi="仿宋_GB2312" w:eastAsia="仿宋_GB2312" w:cs="仿宋_GB2312"/>
          <w:sz w:val="32"/>
          <w:szCs w:val="32"/>
          <w:highlight w:val="none"/>
          <w:lang w:val="en-US" w:eastAsia="zh-CN"/>
        </w:rPr>
        <w:t>分，得分率为98.45%。具体产出指标完成情况如下：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color w:val="auto"/>
          <w:sz w:val="32"/>
          <w:szCs w:val="32"/>
        </w:rPr>
        <w:t>指标1：支付“两员”津贴人数 ，指标值：=68人，实际完成值</w:t>
      </w:r>
      <w:r>
        <w:rPr>
          <w:rFonts w:hint="eastAsia"/>
          <w:color w:val="auto"/>
          <w:sz w:val="32"/>
          <w:szCs w:val="32"/>
          <w:lang w:eastAsia="zh-CN"/>
        </w:rPr>
        <w:t>：72人</w:t>
      </w:r>
      <w:r>
        <w:rPr>
          <w:rFonts w:hint="eastAsia"/>
          <w:color w:val="auto"/>
          <w:sz w:val="32"/>
          <w:szCs w:val="32"/>
        </w:rPr>
        <w:t>，指标完成率</w:t>
      </w:r>
      <w:r>
        <w:rPr>
          <w:rFonts w:hint="eastAsia"/>
          <w:color w:val="auto"/>
          <w:sz w:val="32"/>
          <w:szCs w:val="32"/>
          <w:lang w:val="en-US" w:eastAsia="zh-CN"/>
        </w:rPr>
        <w:t>105.88</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偏差原因：根据工作实际安排，人数为72人</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lang w:eastAsia="zh-CN"/>
        </w:rPr>
      </w:pPr>
      <w:r>
        <w:rPr>
          <w:rFonts w:hint="eastAsia"/>
          <w:color w:val="auto"/>
          <w:sz w:val="32"/>
          <w:szCs w:val="32"/>
        </w:rPr>
        <w:t>指标2：支付“两员”津贴次数，指标值：&gt;=4次，实际完成值</w:t>
      </w:r>
      <w:r>
        <w:rPr>
          <w:rFonts w:hint="eastAsia"/>
          <w:color w:val="auto"/>
          <w:sz w:val="32"/>
          <w:szCs w:val="32"/>
          <w:lang w:eastAsia="zh-CN"/>
        </w:rPr>
        <w:t>：</w:t>
      </w:r>
      <w:r>
        <w:rPr>
          <w:rFonts w:hint="eastAsia"/>
          <w:color w:val="auto"/>
          <w:sz w:val="32"/>
          <w:szCs w:val="32"/>
          <w:lang w:val="en-US" w:eastAsia="zh-CN"/>
        </w:rPr>
        <w:t>4次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指标1：</w:t>
      </w:r>
      <w:r>
        <w:rPr>
          <w:rFonts w:hint="eastAsia" w:ascii="仿宋_GB2312" w:hAnsi="仿宋_GB2312" w:eastAsia="仿宋_GB2312" w:cs="仿宋_GB2312"/>
          <w:sz w:val="32"/>
          <w:szCs w:val="32"/>
          <w:highlight w:val="none"/>
        </w:rPr>
        <w:t>“两员”季度考核达标率</w:t>
      </w:r>
      <w:r>
        <w:rPr>
          <w:rFonts w:hint="eastAsia" w:ascii="仿宋_GB2312" w:hAnsi="仿宋_GB2312" w:cs="仿宋_GB2312"/>
          <w:sz w:val="32"/>
          <w:szCs w:val="32"/>
          <w:highlight w:val="none"/>
          <w:lang w:eastAsia="zh-CN"/>
        </w:rPr>
        <w:t>，</w:t>
      </w:r>
      <w:r>
        <w:rPr>
          <w:rFonts w:hint="eastAsia"/>
          <w:color w:val="auto"/>
          <w:sz w:val="32"/>
          <w:szCs w:val="32"/>
        </w:rPr>
        <w:t>指标值：&gt;=95%</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：95.83%，</w:t>
      </w:r>
      <w:r>
        <w:rPr>
          <w:rFonts w:hint="eastAsia"/>
          <w:color w:val="auto"/>
          <w:sz w:val="32"/>
          <w:szCs w:val="32"/>
        </w:rPr>
        <w:t>指标完成率</w:t>
      </w:r>
      <w:r>
        <w:rPr>
          <w:rFonts w:hint="eastAsia"/>
          <w:color w:val="auto"/>
          <w:sz w:val="32"/>
          <w:szCs w:val="32"/>
          <w:lang w:val="en-US" w:eastAsia="zh-CN"/>
        </w:rPr>
        <w:t>100.87%。</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bookmarkStart w:id="14" w:name="_Toc68703841"/>
      <w:r>
        <w:rPr>
          <w:rFonts w:hint="eastAsia"/>
          <w:color w:val="auto"/>
          <w:sz w:val="32"/>
          <w:szCs w:val="32"/>
        </w:rPr>
        <w:t>指标1：“两员”津贴支付及时率</w:t>
      </w:r>
      <w:r>
        <w:rPr>
          <w:rFonts w:hint="eastAsia" w:ascii="仿宋_GB2312" w:hAnsi="仿宋_GB2312" w:cs="仿宋_GB2312"/>
          <w:sz w:val="32"/>
          <w:szCs w:val="32"/>
          <w:highlight w:val="none"/>
          <w:lang w:eastAsia="zh-CN"/>
        </w:rPr>
        <w:t>，</w:t>
      </w:r>
      <w:r>
        <w:rPr>
          <w:rFonts w:hint="eastAsia"/>
          <w:color w:val="auto"/>
          <w:sz w:val="32"/>
          <w:szCs w:val="32"/>
        </w:rPr>
        <w:t>指标值：&gt;=95%</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：95%，</w:t>
      </w:r>
      <w:r>
        <w:rPr>
          <w:rFonts w:hint="eastAsia"/>
          <w:color w:val="auto"/>
          <w:sz w:val="32"/>
          <w:szCs w:val="32"/>
        </w:rPr>
        <w:t>指标完成率</w:t>
      </w:r>
      <w:r>
        <w:rPr>
          <w:rFonts w:hint="eastAsia"/>
          <w:color w:val="auto"/>
          <w:sz w:val="32"/>
          <w:szCs w:val="32"/>
          <w:lang w:val="en-US" w:eastAsia="zh-CN"/>
        </w:rPr>
        <w:t>100%。</w:t>
      </w:r>
      <w:r>
        <w:rPr>
          <w:rFonts w:hint="eastAsia" w:ascii="仿宋_GB2312" w:hAnsi="仿宋_GB2312" w:eastAsia="仿宋_GB2312" w:cs="仿宋_GB2312"/>
          <w:sz w:val="32"/>
          <w:szCs w:val="32"/>
          <w:highlight w:val="none"/>
          <w:lang w:val="en-US" w:eastAsia="zh-CN"/>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color w:val="auto"/>
          <w:sz w:val="32"/>
          <w:szCs w:val="32"/>
        </w:rPr>
        <w:t>指标1：“两员”经费</w:t>
      </w:r>
      <w:r>
        <w:rPr>
          <w:rFonts w:hint="eastAsia" w:ascii="仿宋_GB2312" w:hAnsi="仿宋_GB2312" w:cs="仿宋_GB2312"/>
          <w:sz w:val="32"/>
          <w:szCs w:val="32"/>
          <w:highlight w:val="none"/>
          <w:lang w:eastAsia="zh-CN"/>
        </w:rPr>
        <w:t>，</w:t>
      </w:r>
      <w:r>
        <w:rPr>
          <w:rFonts w:hint="eastAsia"/>
          <w:color w:val="auto"/>
          <w:sz w:val="32"/>
          <w:szCs w:val="32"/>
        </w:rPr>
        <w:t>指标值：&lt;=16.32万元</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：15.24万元，</w:t>
      </w:r>
      <w:r>
        <w:rPr>
          <w:rFonts w:hint="eastAsia"/>
          <w:color w:val="auto"/>
          <w:sz w:val="32"/>
          <w:szCs w:val="32"/>
        </w:rPr>
        <w:t>指标完成率</w:t>
      </w:r>
      <w:r>
        <w:rPr>
          <w:rFonts w:hint="eastAsia"/>
          <w:color w:val="auto"/>
          <w:sz w:val="32"/>
          <w:szCs w:val="32"/>
          <w:lang w:val="en-US" w:eastAsia="zh-CN"/>
        </w:rPr>
        <w:t>93.38%，</w:t>
      </w:r>
      <w:r>
        <w:rPr>
          <w:rFonts w:hint="eastAsia"/>
          <w:color w:val="auto"/>
          <w:sz w:val="32"/>
          <w:szCs w:val="32"/>
        </w:rPr>
        <w:t>偏差原因：根据考核结果发放补贴，部分人员考核不合格</w:t>
      </w:r>
      <w:r>
        <w:rPr>
          <w:rFonts w:hint="eastAsia"/>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before="0" w:after="0" w:line="560" w:lineRule="exact"/>
        <w:textAlignment w:val="auto"/>
        <w:outlineLvl w:val="9"/>
        <w:rPr>
          <w:rFonts w:hint="eastAsia" w:ascii="Times New Roman" w:hAnsi="Times New Roman" w:eastAsia="楷体_GB2312" w:cs="Times New Roman"/>
          <w:b/>
          <w:bCs/>
          <w:kern w:val="2"/>
          <w:sz w:val="32"/>
          <w:szCs w:val="32"/>
          <w:highlight w:val="none"/>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highlight w:val="none"/>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指标1：提升“两员”监督力度</w:t>
      </w:r>
      <w:r>
        <w:rPr>
          <w:rFonts w:hint="eastAsia" w:ascii="仿宋_GB2312" w:hAnsi="仿宋_GB2312" w:cs="仿宋_GB2312"/>
          <w:sz w:val="32"/>
          <w:szCs w:val="32"/>
          <w:highlight w:val="none"/>
          <w:lang w:eastAsia="zh-CN"/>
        </w:rPr>
        <w:t>，</w:t>
      </w:r>
      <w:r>
        <w:rPr>
          <w:rFonts w:hint="eastAsia"/>
          <w:color w:val="auto"/>
          <w:sz w:val="32"/>
          <w:szCs w:val="32"/>
        </w:rPr>
        <w:t>指标值：有效提升</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：有效提升，</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lang w:eastAsia="zh-CN"/>
        </w:rPr>
        <w:t>。</w:t>
      </w:r>
    </w:p>
    <w:p>
      <w:pPr>
        <w:shd w:val="clear"/>
        <w:spacing w:line="600" w:lineRule="exact"/>
        <w:ind w:firstLine="640" w:firstLineChars="200"/>
        <w:outlineLvl w:val="0"/>
        <w:rPr>
          <w:rFonts w:hint="default"/>
          <w:lang w:val="en-US"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：宣贯政策知晓率</w:t>
      </w:r>
      <w:r>
        <w:rPr>
          <w:rFonts w:hint="eastAsia" w:ascii="仿宋_GB2312" w:hAnsi="仿宋_GB2312" w:cs="仿宋_GB2312"/>
          <w:sz w:val="32"/>
          <w:szCs w:val="32"/>
          <w:highlight w:val="none"/>
          <w:lang w:eastAsia="zh-CN"/>
        </w:rPr>
        <w:t>，</w:t>
      </w:r>
      <w:r>
        <w:rPr>
          <w:rFonts w:hint="eastAsia"/>
          <w:color w:val="auto"/>
          <w:sz w:val="32"/>
          <w:szCs w:val="32"/>
        </w:rPr>
        <w:t>指标值：&gt;=</w:t>
      </w:r>
      <w:r>
        <w:rPr>
          <w:rFonts w:hint="eastAsia"/>
          <w:color w:val="auto"/>
          <w:sz w:val="32"/>
          <w:szCs w:val="32"/>
          <w:lang w:val="en-US" w:eastAsia="zh-CN"/>
        </w:rPr>
        <w:t>95%</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95%</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shd w:val="clear"/>
        <w:spacing w:line="600" w:lineRule="exact"/>
        <w:ind w:firstLine="640" w:firstLineChars="200"/>
        <w:outlineLvl w:val="0"/>
        <w:rPr>
          <w:rFonts w:hint="eastAsia" w:eastAsia="仿宋_GB2312"/>
          <w:lang w:val="en-US" w:eastAsia="zh-CN"/>
        </w:rPr>
      </w:pPr>
      <w:r>
        <w:rPr>
          <w:rFonts w:hint="eastAsia"/>
          <w:color w:val="auto"/>
          <w:sz w:val="32"/>
          <w:szCs w:val="32"/>
        </w:rPr>
        <w:t>指标1：监察信息员、居务监督员、纪检监察员满意度</w:t>
      </w:r>
      <w:r>
        <w:rPr>
          <w:rFonts w:hint="eastAsia"/>
          <w:color w:val="auto"/>
          <w:sz w:val="32"/>
          <w:szCs w:val="32"/>
          <w:lang w:eastAsia="zh-CN"/>
        </w:rPr>
        <w:t>，</w:t>
      </w:r>
      <w:r>
        <w:rPr>
          <w:rFonts w:hint="eastAsia"/>
          <w:color w:val="auto"/>
          <w:sz w:val="32"/>
          <w:szCs w:val="32"/>
        </w:rPr>
        <w:t>指标值：&gt;=</w:t>
      </w:r>
      <w:r>
        <w:rPr>
          <w:rFonts w:hint="eastAsia"/>
          <w:color w:val="auto"/>
          <w:sz w:val="32"/>
          <w:szCs w:val="32"/>
          <w:lang w:val="en-US" w:eastAsia="zh-CN"/>
        </w:rPr>
        <w:t>95%</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偏差原因：两员补贴已根据考核结果足额及时发放</w:t>
      </w:r>
      <w:r>
        <w:rPr>
          <w:rFonts w:hint="eastAsia"/>
          <w:color w:val="auto"/>
          <w:sz w:val="32"/>
          <w:szCs w:val="32"/>
          <w:lang w:eastAsia="zh-CN"/>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spacing w:line="560" w:lineRule="exact"/>
        <w:ind w:left="-300" w:leftChars="-100" w:firstLine="640" w:firstLineChars="200"/>
      </w:pPr>
      <w:r>
        <w:rPr>
          <w:rFonts w:hint="eastAsia" w:ascii="仿宋_GB2312" w:hAnsi="仿宋_GB2312" w:eastAsia="仿宋_GB2312" w:cs="仿宋_GB2312"/>
          <w:kern w:val="2"/>
          <w:sz w:val="32"/>
          <w:szCs w:val="32"/>
          <w:lang w:val="en-US" w:eastAsia="zh-CN" w:bidi="ar-SA"/>
        </w:rPr>
        <w:t>监察信</w:t>
      </w:r>
      <w:r>
        <w:rPr>
          <w:rFonts w:hint="eastAsia" w:ascii="仿宋_GB2312" w:hAnsi="仿宋_GB2312" w:eastAsia="仿宋_GB2312" w:cs="仿宋_GB2312"/>
          <w:color w:val="auto"/>
          <w:kern w:val="2"/>
          <w:sz w:val="32"/>
          <w:szCs w:val="32"/>
          <w:lang w:val="en-US" w:eastAsia="zh-CN" w:bidi="ar-SA"/>
        </w:rPr>
        <w:t>息员、村居务监督委员及“三员”开展工作相关设备资料项目年初预算</w:t>
      </w:r>
      <w:r>
        <w:rPr>
          <w:rFonts w:hint="eastAsia" w:ascii="仿宋_GB2312" w:hAnsi="仿宋_GB2312" w:cs="仿宋_GB2312"/>
          <w:color w:val="auto"/>
          <w:kern w:val="2"/>
          <w:sz w:val="32"/>
          <w:szCs w:val="32"/>
          <w:lang w:val="en-US" w:eastAsia="zh-CN" w:bidi="ar-SA"/>
        </w:rPr>
        <w:t>18.32</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16.32</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15.24</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93.38</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100.67</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7.29</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偏差</w:t>
      </w:r>
      <w:r>
        <w:rPr>
          <w:rFonts w:hint="eastAsia" w:ascii="仿宋_GB2312" w:hAnsi="仿宋_GB2312" w:eastAsia="仿宋_GB2312" w:cs="仿宋_GB2312"/>
          <w:color w:val="auto"/>
          <w:kern w:val="2"/>
          <w:sz w:val="32"/>
          <w:szCs w:val="32"/>
          <w:lang w:val="en-US" w:eastAsia="zh-CN" w:bidi="ar-SA"/>
        </w:rPr>
        <w:t>原因根据工作实际安排，</w:t>
      </w:r>
      <w:r>
        <w:rPr>
          <w:rFonts w:hint="eastAsia" w:ascii="仿宋_GB2312" w:hAnsi="仿宋_GB2312" w:cs="仿宋_GB2312"/>
          <w:color w:val="auto"/>
          <w:kern w:val="2"/>
          <w:sz w:val="32"/>
          <w:szCs w:val="32"/>
          <w:lang w:val="en-US" w:eastAsia="zh-CN" w:bidi="ar-SA"/>
        </w:rPr>
        <w:t>发放津贴</w:t>
      </w:r>
      <w:r>
        <w:rPr>
          <w:rFonts w:hint="eastAsia" w:ascii="仿宋_GB2312" w:hAnsi="仿宋_GB2312" w:eastAsia="仿宋_GB2312" w:cs="仿宋_GB2312"/>
          <w:color w:val="auto"/>
          <w:kern w:val="2"/>
          <w:sz w:val="32"/>
          <w:szCs w:val="32"/>
          <w:lang w:val="en-US" w:eastAsia="zh-CN" w:bidi="ar-SA"/>
        </w:rPr>
        <w:t>人数为72人</w:t>
      </w:r>
      <w:r>
        <w:rPr>
          <w:rFonts w:hint="eastAsia" w:ascii="仿宋_GB2312" w:hAnsi="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根据考核结果发</w:t>
      </w:r>
      <w:r>
        <w:rPr>
          <w:rFonts w:hint="eastAsia" w:ascii="仿宋_GB2312" w:hAnsi="仿宋_GB2312" w:eastAsia="仿宋_GB2312" w:cs="仿宋_GB2312"/>
          <w:kern w:val="2"/>
          <w:sz w:val="32"/>
          <w:szCs w:val="32"/>
          <w:lang w:val="en-US" w:eastAsia="zh-CN" w:bidi="ar-SA"/>
        </w:rPr>
        <w:t>放</w:t>
      </w:r>
      <w:r>
        <w:rPr>
          <w:rFonts w:hint="eastAsia" w:ascii="仿宋_GB2312" w:hAnsi="仿宋_GB2312" w:cs="仿宋_GB2312"/>
          <w:kern w:val="2"/>
          <w:sz w:val="32"/>
          <w:szCs w:val="32"/>
          <w:lang w:val="en-US" w:eastAsia="zh-CN" w:bidi="ar-SA"/>
        </w:rPr>
        <w:t>津贴</w:t>
      </w:r>
      <w:r>
        <w:rPr>
          <w:rFonts w:hint="eastAsia" w:ascii="仿宋_GB2312" w:hAnsi="仿宋_GB2312" w:eastAsia="仿宋_GB2312" w:cs="仿宋_GB2312"/>
          <w:kern w:val="2"/>
          <w:sz w:val="32"/>
          <w:szCs w:val="32"/>
          <w:lang w:val="en-US" w:eastAsia="zh-CN" w:bidi="ar-SA"/>
        </w:rPr>
        <w:t>，部分人员考核不合格</w:t>
      </w:r>
      <w:r>
        <w:rPr>
          <w:rFonts w:hint="eastAsia" w:ascii="仿宋_GB2312" w:hAnsi="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改进</w:t>
      </w:r>
      <w:r>
        <w:rPr>
          <w:rFonts w:hint="eastAsia" w:ascii="仿宋_GB2312" w:hAnsi="仿宋_GB2312" w:eastAsia="仿宋_GB2312" w:cs="仿宋_GB2312"/>
          <w:kern w:val="2"/>
          <w:sz w:val="32"/>
          <w:szCs w:val="32"/>
          <w:lang w:val="en-US" w:eastAsia="zh-CN" w:bidi="ar-SA"/>
        </w:rPr>
        <w:t>措施</w:t>
      </w:r>
      <w:r>
        <w:rPr>
          <w:rFonts w:hint="eastAsia" w:ascii="仿宋_GB2312" w:hAnsi="仿宋_GB2312" w:cs="仿宋_GB2312"/>
          <w:kern w:val="2"/>
          <w:sz w:val="32"/>
          <w:szCs w:val="32"/>
          <w:lang w:val="en-US" w:eastAsia="zh-CN" w:bidi="ar-SA"/>
        </w:rPr>
        <w:t>：</w:t>
      </w:r>
      <w:r>
        <w:rPr>
          <w:rFonts w:hint="eastAsia" w:ascii="仿宋_GB2312" w:hAnsi="仿宋_GB2312" w:cs="仿宋_GB2312"/>
          <w:sz w:val="32"/>
          <w:szCs w:val="32"/>
        </w:rPr>
        <w:t>增强项目支出费用预测精准度。</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outlineLvl w:val="9"/>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cs="仿宋_GB2312"/>
          <w:sz w:val="32"/>
          <w:szCs w:val="32"/>
        </w:rPr>
        <w:t>在编制绩效项目支出绩效工作过程中，预算编制工作有待细化，预算编制不够明确和细化，整体绩效预算编制的合理性需要提高，预算执行力度还要进一步加强。</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0"/>
      </w:pPr>
      <w:r>
        <w:rPr>
          <w:rFonts w:hint="eastAsia" w:ascii="仿宋_GB2312" w:hAnsi="仿宋_GB2312" w:eastAsia="仿宋_GB2312" w:cs="仿宋_GB2312"/>
          <w:sz w:val="32"/>
          <w:szCs w:val="32"/>
          <w:highlight w:val="none"/>
          <w:lang w:val="en-US" w:eastAsia="zh-CN"/>
        </w:rPr>
        <w:t>3.</w:t>
      </w:r>
      <w:r>
        <w:rPr>
          <w:rFonts w:hint="eastAsia" w:ascii="仿宋_GB2312" w:hAnsi="仿宋_GB2312" w:cs="仿宋_GB2312"/>
          <w:sz w:val="32"/>
          <w:szCs w:val="32"/>
          <w:highlight w:val="none"/>
        </w:rPr>
        <w:t>相关工作人员经验不足，绩效管理意识不高，对于指标的编制还不够完善</w:t>
      </w:r>
      <w:r>
        <w:rPr>
          <w:rFonts w:hint="eastAsia" w:ascii="仿宋_GB2312" w:hAnsi="仿宋_GB2312" w:cs="仿宋_GB2312"/>
          <w:sz w:val="32"/>
          <w:szCs w:val="32"/>
        </w:rPr>
        <w:t>。缺乏科学、统一、完整的财政绩效评价指标体系，并且绩效管理缺乏约束和制度保障。</w:t>
      </w:r>
    </w:p>
    <w:p>
      <w:pPr>
        <w:pStyle w:val="3"/>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pStyle w:val="3"/>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eastAsia="黑体" w:cs="Times New Roman"/>
          <w:b w:val="0"/>
          <w:bCs/>
          <w:kern w:val="2"/>
          <w:sz w:val="32"/>
          <w:szCs w:val="32"/>
          <w:lang w:val="en-US" w:eastAsia="zh-CN" w:bidi="ar-SA"/>
        </w:rPr>
      </w:pPr>
      <w:bookmarkStart w:id="19" w:name="_Toc68703846"/>
      <w:r>
        <w:rPr>
          <w:rFonts w:hint="eastAsia" w:eastAsia="黑体" w:cs="Times New Roman"/>
          <w:b w:val="0"/>
          <w:bCs/>
          <w:kern w:val="2"/>
          <w:sz w:val="32"/>
          <w:szCs w:val="32"/>
          <w:lang w:val="en-US" w:eastAsia="zh-CN" w:bidi="ar-SA"/>
        </w:rPr>
        <w:t>八、其他需要说明的问题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cs="仿宋_GB2312"/>
          <w:sz w:val="32"/>
          <w:szCs w:val="32"/>
          <w:lang w:eastAsia="zh-CN"/>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Pr>
        <w:pStyle w:val="2"/>
        <w:rPr>
          <w:rFonts w:hint="eastAsia" w:ascii="仿宋_GB2312" w:hAnsi="仿宋_GB2312" w:cs="仿宋_GB2312"/>
          <w:sz w:val="32"/>
          <w:szCs w:val="32"/>
          <w:lang w:eastAsia="zh-CN"/>
        </w:rPr>
      </w:pPr>
    </w:p>
    <w:p>
      <w:pPr>
        <w:pStyle w:val="2"/>
        <w:rPr>
          <w:rFonts w:hint="eastAsia" w:ascii="仿宋_GB2312" w:hAnsi="仿宋_GB2312" w:cs="仿宋_GB2312"/>
          <w:sz w:val="32"/>
          <w:szCs w:val="32"/>
          <w:lang w:eastAsia="zh-CN"/>
        </w:rPr>
      </w:pPr>
    </w:p>
    <w:p>
      <w:pPr>
        <w:pStyle w:val="10"/>
        <w:jc w:val="both"/>
      </w:pPr>
    </w:p>
    <w:tbl>
      <w:tblPr>
        <w:tblStyle w:val="11"/>
        <w:tblW w:w="9560" w:type="dxa"/>
        <w:jc w:val="center"/>
        <w:tblInd w:w="-34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45"/>
        <w:gridCol w:w="646"/>
        <w:gridCol w:w="662"/>
        <w:gridCol w:w="1100"/>
        <w:gridCol w:w="1141"/>
        <w:gridCol w:w="566"/>
        <w:gridCol w:w="948"/>
        <w:gridCol w:w="842"/>
        <w:gridCol w:w="511"/>
        <w:gridCol w:w="471"/>
        <w:gridCol w:w="522"/>
        <w:gridCol w:w="401"/>
        <w:gridCol w:w="435"/>
        <w:gridCol w:w="6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05" w:hRule="atLeast"/>
          <w:jc w:val="center"/>
        </w:trPr>
        <w:tc>
          <w:tcPr>
            <w:tcW w:w="956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9" w:hRule="atLeast"/>
          <w:jc w:val="center"/>
        </w:trPr>
        <w:tc>
          <w:tcPr>
            <w:tcW w:w="956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7" w:hRule="atLeast"/>
          <w:jc w:val="center"/>
        </w:trPr>
        <w:tc>
          <w:tcPr>
            <w:tcW w:w="12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826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监察信息员、村居务监督委员及“三员”开展工作相关设备资料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7" w:hRule="atLeast"/>
          <w:jc w:val="center"/>
        </w:trPr>
        <w:tc>
          <w:tcPr>
            <w:tcW w:w="12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441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中国共产党霍尔果斯市纪律检查委员会</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49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中国共产党霍尔果斯市纪律检查委员会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8" w:hRule="atLeast"/>
          <w:jc w:val="center"/>
        </w:trPr>
        <w:tc>
          <w:tcPr>
            <w:tcW w:w="12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5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4" w:hRule="atLeast"/>
          <w:jc w:val="center"/>
        </w:trPr>
        <w:tc>
          <w:tcPr>
            <w:tcW w:w="12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18.32</w:t>
            </w:r>
          </w:p>
        </w:tc>
        <w:tc>
          <w:tcPr>
            <w:tcW w:w="15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16.32</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15.24</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93.38%</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4" w:hRule="atLeast"/>
          <w:jc w:val="center"/>
        </w:trPr>
        <w:tc>
          <w:tcPr>
            <w:tcW w:w="12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18.32</w:t>
            </w:r>
          </w:p>
        </w:tc>
        <w:tc>
          <w:tcPr>
            <w:tcW w:w="15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16.32</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15.24</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4" w:hRule="atLeast"/>
          <w:jc w:val="center"/>
        </w:trPr>
        <w:tc>
          <w:tcPr>
            <w:tcW w:w="12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5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4" w:hRule="atLeast"/>
          <w:jc w:val="center"/>
        </w:trPr>
        <w:tc>
          <w:tcPr>
            <w:tcW w:w="12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5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7" w:hRule="atLeast"/>
          <w:jc w:val="center"/>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50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85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42" w:hRule="atLeast"/>
          <w:jc w:val="center"/>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0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根据伊州纪办发（2021）11号  关于印发《伊犁州纪委监委“强化基层监督年”工作方案》的通知及《伊犁州村级“三员”管理指导意见）（试行）》。完成支付监察信息员、居务监督员（两员）68人的津贴，按季度发放全年支付4次，用于主要发现村（社区）领导干部违法违纪情况、督促解决群众反映困难情况、领导干部作风问题情况，纪检监察机关根据反映的情况进行研判处理相关领导干部、加强基层领导干部的监督，促进为群众办实事好事的能力。该项目提升“两员”监督力度，提升群众对政策的知晓率。</w:t>
            </w:r>
          </w:p>
        </w:tc>
        <w:tc>
          <w:tcPr>
            <w:tcW w:w="385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支付监察信息员、居务监督员（两员）68人的津贴，按季度发放全年支付4次，用于主要发现村（社区）领导干部违法违纪情况、督促解决群众反映困难情况、领导干部作风问题情况，纪检监察机关根据反映的情况进行研判处理相关领导干部、加强基层领导干部的监督，促进为群众办实事好事的能力。该项目提升“两员”监督力度，提升群众对政策的知晓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6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80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8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9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9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1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3" w:hRule="atLeast"/>
          <w:jc w:val="center"/>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80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3" w:hRule="atLeast"/>
          <w:jc w:val="center"/>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80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支付“两员”津贴人数</w:t>
            </w: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=68人</w:t>
            </w: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72人</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根据工作实际安排，人数为72人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7" w:hRule="atLeast"/>
          <w:jc w:val="center"/>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80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支付“两员”津贴次数</w:t>
            </w: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&gt;=4次</w:t>
            </w: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4次</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7" w:hRule="atLeast"/>
          <w:jc w:val="center"/>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80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“两员”季度考核达标率</w:t>
            </w: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95.83%</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7" w:hRule="atLeast"/>
          <w:jc w:val="center"/>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80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“两员”津贴支付及时率</w:t>
            </w: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59" w:hRule="atLeast"/>
          <w:jc w:val="center"/>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80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“两员”经费</w:t>
            </w: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&lt;=16.32万元</w:t>
            </w: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15.24万元</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18.68</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根据考核结果发放补贴，部分人员考核不合格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3" w:hRule="atLeast"/>
          <w:jc w:val="center"/>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社会成本指标</w:t>
            </w:r>
          </w:p>
        </w:tc>
        <w:tc>
          <w:tcPr>
            <w:tcW w:w="280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3" w:hRule="atLeast"/>
          <w:jc w:val="center"/>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280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3" w:hRule="atLeast"/>
          <w:jc w:val="center"/>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80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3" w:hRule="atLeast"/>
          <w:jc w:val="center"/>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80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提升“两员”监督力度</w:t>
            </w: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3" w:hRule="atLeast"/>
          <w:jc w:val="center"/>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80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宣贯政策知晓率</w:t>
            </w: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3" w:hRule="atLeast"/>
          <w:jc w:val="center"/>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80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59" w:hRule="atLeast"/>
          <w:jc w:val="center"/>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80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监察信息员、居务监督员、纪检监察员满意度</w:t>
            </w: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两员补贴已根据考核结果足额及时发放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6" w:hRule="atLeast"/>
          <w:jc w:val="center"/>
        </w:trPr>
        <w:tc>
          <w:tcPr>
            <w:tcW w:w="655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98.02分</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0" w:name="_Toc26499_WPSOffice_Level2"/>
      <w:bookmarkStart w:id="21" w:name="_Toc30064_WPSOffice_Level1"/>
      <w:r>
        <w:rPr>
          <w:rFonts w:hint="eastAsia"/>
          <w:b/>
          <w:bCs/>
          <w:sz w:val="28"/>
          <w:szCs w:val="40"/>
          <w:highlight w:val="none"/>
          <w:lang w:val="en-US" w:eastAsia="zh-CN"/>
        </w:rPr>
        <w:t>监察信息员、村居务监督委员及“三员”开展工作相关设备资料</w:t>
      </w:r>
      <w:r>
        <w:rPr>
          <w:rFonts w:hint="eastAsia"/>
          <w:b/>
          <w:bCs/>
          <w:sz w:val="28"/>
          <w:szCs w:val="40"/>
          <w:highlight w:val="none"/>
        </w:rPr>
        <w:t>绩</w:t>
      </w:r>
      <w:r>
        <w:rPr>
          <w:rFonts w:hint="eastAsia"/>
          <w:b/>
          <w:bCs/>
          <w:sz w:val="28"/>
          <w:szCs w:val="40"/>
        </w:rPr>
        <w:t>效评价指标体系及综合评分表</w:t>
      </w:r>
      <w:bookmarkEnd w:id="20"/>
      <w:bookmarkEnd w:id="21"/>
    </w:p>
    <w:tbl>
      <w:tblPr>
        <w:tblStyle w:val="11"/>
        <w:tblpPr w:leftFromText="180" w:rightFromText="180" w:vertAnchor="text" w:horzAnchor="page" w:tblpXSpec="center" w:tblpY="915"/>
        <w:tblOverlap w:val="never"/>
        <w:tblW w:w="15600" w:type="dxa"/>
        <w:jc w:val="center"/>
        <w:tblInd w:w="-1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69"/>
        <w:gridCol w:w="1185"/>
        <w:gridCol w:w="1414"/>
        <w:gridCol w:w="3531"/>
        <w:gridCol w:w="7184"/>
        <w:gridCol w:w="758"/>
        <w:gridCol w:w="7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84" w:hRule="atLeast"/>
          <w:jc w:val="center"/>
        </w:trPr>
        <w:tc>
          <w:tcPr>
            <w:tcW w:w="14083"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2"/>
                <w:szCs w:val="32"/>
                <w:u w:val="none"/>
                <w:lang w:val="en-US" w:eastAsia="zh-CN" w:bidi="ar"/>
              </w:rPr>
              <w:t>监察信息员、村居务监督委员及“三员”开展工作相关设备资料项目支出绩效评价指标体系</w:t>
            </w:r>
          </w:p>
        </w:tc>
        <w:tc>
          <w:tcPr>
            <w:tcW w:w="758" w:type="dxa"/>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759" w:type="dxa"/>
            <w:tcBorders>
              <w:top w:val="nil"/>
              <w:left w:val="nil"/>
              <w:bottom w:val="nil"/>
              <w:right w:val="nil"/>
            </w:tcBorders>
            <w:shd w:val="clear" w:color="auto" w:fill="auto"/>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3" w:hRule="atLeast"/>
          <w:jc w:val="center"/>
        </w:trPr>
        <w:tc>
          <w:tcPr>
            <w:tcW w:w="76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一级指标</w:t>
            </w:r>
          </w:p>
        </w:tc>
        <w:tc>
          <w:tcPr>
            <w:tcW w:w="118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二级指标</w:t>
            </w:r>
          </w:p>
        </w:tc>
        <w:tc>
          <w:tcPr>
            <w:tcW w:w="141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三级指标</w:t>
            </w:r>
          </w:p>
        </w:tc>
        <w:tc>
          <w:tcPr>
            <w:tcW w:w="353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指标解释</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指标说明</w:t>
            </w:r>
          </w:p>
        </w:tc>
        <w:tc>
          <w:tcPr>
            <w:tcW w:w="75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分值</w:t>
            </w:r>
          </w:p>
        </w:tc>
        <w:tc>
          <w:tcPr>
            <w:tcW w:w="75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决策　（20）</w:t>
            </w:r>
          </w:p>
        </w:tc>
        <w:tc>
          <w:tcPr>
            <w:tcW w:w="11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项目立项(6)</w:t>
            </w:r>
          </w:p>
        </w:tc>
        <w:tc>
          <w:tcPr>
            <w:tcW w:w="141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立项依据充分性</w:t>
            </w:r>
          </w:p>
        </w:tc>
        <w:tc>
          <w:tcPr>
            <w:tcW w:w="35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项目立项是否符合法律法规、相关政策、发展规划以及部门职责，用以反映和考核项目立项依据情况。</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58"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c>
          <w:tcPr>
            <w:tcW w:w="75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①项目立项是否符合国家法律法规、国民经济发展规划和相关政策；</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②项目立项是否符合行业发展规划和政策要求；</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③项目立项是否与部门职责范围相符，属于部门履职所需；</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3"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④项目是否属于公共财政支持范围，是否符合中央、地方事权支出责任划分原则；</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⑤项目是否与相关部门同类项目或部门内部相关项目重复。</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立项程序规范性</w:t>
            </w:r>
          </w:p>
        </w:tc>
        <w:tc>
          <w:tcPr>
            <w:tcW w:w="35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项目申请、设立过程是否符合相关要求，用以反映和考核项目立项的规范情况。</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58"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75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①项目是否按照规定的程序申请设立；</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②审批文件、材料是否符合相关要求；</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3"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③事前是否已经过必要的可行性研究、专家论证、风险评估、绩效评估、集体决策。</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绩效目标(3)</w:t>
            </w:r>
          </w:p>
        </w:tc>
        <w:tc>
          <w:tcPr>
            <w:tcW w:w="141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绩效目标合理性</w:t>
            </w:r>
          </w:p>
        </w:tc>
        <w:tc>
          <w:tcPr>
            <w:tcW w:w="35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项目所设定的绩效目标是否依据充分，是否符合客观实际，用以反映和考核项目绩效目标与项目实施的相符情况。</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58"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c>
          <w:tcPr>
            <w:tcW w:w="75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（如未设定预算绩效目标，也可考核其他工作任务目标）</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①项目是否有绩效目标；</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②项目绩效目标与实际工作内容是否具有相关性；</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③项目预期产出效益和效果是否符合正常的业绩水平；</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④是否与预算确定的项目投资额或资金量相匹配。</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绩效目标（3）</w:t>
            </w:r>
          </w:p>
        </w:tc>
        <w:tc>
          <w:tcPr>
            <w:tcW w:w="141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绩效指标明确性</w:t>
            </w:r>
          </w:p>
        </w:tc>
        <w:tc>
          <w:tcPr>
            <w:tcW w:w="35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依据绩效目标设定的绩效指标是否清晰、细化、可衡量等，用以反映和考核项目绩效目标的明细化情况。</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58"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c>
          <w:tcPr>
            <w:tcW w:w="75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①是否将项目绩效目标细化分解为具体的绩效指标；</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②是否通过清晰、可衡量的指标值予以体现；</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③是否与项目目标任务数或计划数相对应。</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资金投入（8）</w:t>
            </w:r>
          </w:p>
        </w:tc>
        <w:tc>
          <w:tcPr>
            <w:tcW w:w="141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预算编制科学性</w:t>
            </w:r>
          </w:p>
        </w:tc>
        <w:tc>
          <w:tcPr>
            <w:tcW w:w="35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项目预算编制是否经过科学论证、有明确标准，资金额度与年度目标是否相适应，用以反映和考核项目预算编制的科学性、合理性情况。</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58"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c>
          <w:tcPr>
            <w:tcW w:w="75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①预算编制是否经过科学论证；</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②预算内容与项目内容是否匹配；</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③预算额度测算依据是否充分，是否按照标准编制；</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④预算确定的项目投资额或资金量是否与工作任务相匹配。</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资金分配合理性</w:t>
            </w:r>
          </w:p>
        </w:tc>
        <w:tc>
          <w:tcPr>
            <w:tcW w:w="35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项目预算资金分配是否有测算依据，与补助单位或地方实际是否相适应，用以反映和考核项目预算资金分配的科学性、合理性情况。</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58"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c>
          <w:tcPr>
            <w:tcW w:w="75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①预算资金分配依据是否充分；</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②资金分配额度是否合理，与项目单位或地方实际是否相适应。</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过程（20）</w:t>
            </w:r>
          </w:p>
        </w:tc>
        <w:tc>
          <w:tcPr>
            <w:tcW w:w="11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资金管理(8)</w:t>
            </w:r>
          </w:p>
        </w:tc>
        <w:tc>
          <w:tcPr>
            <w:tcW w:w="141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资金到位率</w:t>
            </w:r>
          </w:p>
        </w:tc>
        <w:tc>
          <w:tcPr>
            <w:tcW w:w="35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实际到位资金与预算资金的比率，用以反映和考核资金落实情况对项目实施的总体保障程度。</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资金到位率=（实际到位资金/预算资金）×100%。</w:t>
            </w:r>
          </w:p>
        </w:tc>
        <w:tc>
          <w:tcPr>
            <w:tcW w:w="758"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c>
          <w:tcPr>
            <w:tcW w:w="75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实际到位资金：一定时期（本年度或项目期）内落实到具体项目的资金。</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预算资金：一定时期（本年度或项目期）内预算安排到具体项目的资金。</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预算执行率</w:t>
            </w:r>
          </w:p>
        </w:tc>
        <w:tc>
          <w:tcPr>
            <w:tcW w:w="35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项目预算资金是否按照计划执行，用以反映或考核项目预算执行情况。</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预算执行率=（实际支出资金/实际到位资金）×100%。</w:t>
            </w:r>
          </w:p>
        </w:tc>
        <w:tc>
          <w:tcPr>
            <w:tcW w:w="758"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c>
          <w:tcPr>
            <w:tcW w:w="75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实际支出资金：一定时期（本年度或项目期）内项目实际拨付的资金。</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资金管理(4)</w:t>
            </w:r>
          </w:p>
        </w:tc>
        <w:tc>
          <w:tcPr>
            <w:tcW w:w="141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资金使用合规性</w:t>
            </w:r>
          </w:p>
        </w:tc>
        <w:tc>
          <w:tcPr>
            <w:tcW w:w="35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项目资金使用是否符合相关的财务管理制度规定，用以反映和考核项目资金的规范运行情况。</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58"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c>
          <w:tcPr>
            <w:tcW w:w="75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①是否符合国家财经法规和财务管理制度以及有关专项资金管理办法的规定；</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②资金的拨付是否有完整的审批程序和手续；</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③是否符合项目预算批复或合同规定的用途；</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④是否存在截留、挤占、挪用、虚列支出等情况。</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组织实施（8）</w:t>
            </w:r>
          </w:p>
        </w:tc>
        <w:tc>
          <w:tcPr>
            <w:tcW w:w="141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管理制度健全性</w:t>
            </w:r>
          </w:p>
        </w:tc>
        <w:tc>
          <w:tcPr>
            <w:tcW w:w="35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项目实施单位的财务和业务管理制度是否健全，用以反映和考核财务和业务管理制度对项目顺利实施的保障情况。</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58"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c>
          <w:tcPr>
            <w:tcW w:w="75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①是否已制定或具有相应的财务和业务管理制度；</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②财务和业务管理制度是否合法、合规、完整。</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制度执行有效性</w:t>
            </w:r>
          </w:p>
        </w:tc>
        <w:tc>
          <w:tcPr>
            <w:tcW w:w="35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项目实施是否符合相关管理规定，用以反映和考核相关管理制度的有效执行情况。</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58"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c>
          <w:tcPr>
            <w:tcW w:w="75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①是否遵守相关法律法规和相关管理规定；</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②项目调整及支出调整手续是否完备；</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③项目合同书、验收报告、技术鉴定等资料是否齐全并及时归档；</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④项目实施的人员条件、场地设备、信息支撑等是否落实到位。</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产出（40）</w:t>
            </w:r>
          </w:p>
        </w:tc>
        <w:tc>
          <w:tcPr>
            <w:tcW w:w="11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产出数量(10)</w:t>
            </w:r>
          </w:p>
        </w:tc>
        <w:tc>
          <w:tcPr>
            <w:tcW w:w="141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实际完成率</w:t>
            </w:r>
          </w:p>
        </w:tc>
        <w:tc>
          <w:tcPr>
            <w:tcW w:w="35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项目实施的实际产出数与计划产出数的比率，用以反映和考核项目产出数量目标的实现程度。</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实际完成率=（实际产出数/计划产出数）×100%。</w:t>
            </w:r>
          </w:p>
        </w:tc>
        <w:tc>
          <w:tcPr>
            <w:tcW w:w="758"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c>
          <w:tcPr>
            <w:tcW w:w="75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3"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实际产出数：一定时期（本年度或项目期）内项目实际产出的产品或提供的服务数量。</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3"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计划产出数：项目绩效目标确定的在一定时期（本年度或项目期）内计划产出的产品或提供的服务数量。</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产出质量(10)</w:t>
            </w:r>
          </w:p>
        </w:tc>
        <w:tc>
          <w:tcPr>
            <w:tcW w:w="141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质量达标率</w:t>
            </w:r>
          </w:p>
        </w:tc>
        <w:tc>
          <w:tcPr>
            <w:tcW w:w="35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项目完成的质量达标产出数与实际产出数的比率，用以反映和考核项目产出质量目标的实现程度。</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质量达标率=（质量达标产出数/实际产出数）×100%。</w:t>
            </w:r>
          </w:p>
        </w:tc>
        <w:tc>
          <w:tcPr>
            <w:tcW w:w="758"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c>
          <w:tcPr>
            <w:tcW w:w="75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87"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产出时效(10)</w:t>
            </w:r>
          </w:p>
        </w:tc>
        <w:tc>
          <w:tcPr>
            <w:tcW w:w="141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完成及时性</w:t>
            </w:r>
          </w:p>
        </w:tc>
        <w:tc>
          <w:tcPr>
            <w:tcW w:w="35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项目实际完成时间与计划完成时间的比较，用以反映和考核项目产出时效目标的实现程度。</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实际完成时间：项目实施单位完成该项目实际所耗用的时间。</w:t>
            </w:r>
          </w:p>
        </w:tc>
        <w:tc>
          <w:tcPr>
            <w:tcW w:w="758"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c>
          <w:tcPr>
            <w:tcW w:w="75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70"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计划完成时间：按照项目实施计划或相关规定完成该项目所需的时间。</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产出成本(10)</w:t>
            </w:r>
          </w:p>
        </w:tc>
        <w:tc>
          <w:tcPr>
            <w:tcW w:w="141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成本节约率</w:t>
            </w:r>
          </w:p>
        </w:tc>
        <w:tc>
          <w:tcPr>
            <w:tcW w:w="35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完成项目计划工作目标的实际节约成本与计划成本的比率，用以反映和考核项目的成本节约程度。</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成本节约率=[（计划成本-实际成本）/计划成本]×100%。</w:t>
            </w:r>
          </w:p>
        </w:tc>
        <w:tc>
          <w:tcPr>
            <w:tcW w:w="758"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c>
          <w:tcPr>
            <w:tcW w:w="75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9.38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3"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实际成本：项目实施单位如期、保质、保量完成既定工作目标实际所耗费的支出。</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3"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计划成本：项目实施单位为完成工作目标计划安排的支出，一般以项目预算为参考。</w:t>
            </w:r>
          </w:p>
        </w:tc>
        <w:tc>
          <w:tcPr>
            <w:tcW w:w="758"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3" w:hRule="atLeast"/>
          <w:jc w:val="center"/>
        </w:trPr>
        <w:tc>
          <w:tcPr>
            <w:tcW w:w="76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效益（20）</w:t>
            </w:r>
          </w:p>
        </w:tc>
        <w:tc>
          <w:tcPr>
            <w:tcW w:w="11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项目效益（20）</w:t>
            </w:r>
          </w:p>
        </w:tc>
        <w:tc>
          <w:tcPr>
            <w:tcW w:w="141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实施效益</w:t>
            </w:r>
          </w:p>
        </w:tc>
        <w:tc>
          <w:tcPr>
            <w:tcW w:w="353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项目实施所产生的效益。</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项目实施所产生的社会效益、经济效益、生态效益、可持续影响等。可根据项目实际情况有选择地设置和细化。</w:t>
            </w:r>
          </w:p>
        </w:tc>
        <w:tc>
          <w:tcPr>
            <w:tcW w:w="75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c>
          <w:tcPr>
            <w:tcW w:w="759"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3" w:hRule="atLeast"/>
          <w:jc w:val="center"/>
        </w:trPr>
        <w:tc>
          <w:tcPr>
            <w:tcW w:w="7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w:t>
            </w:r>
          </w:p>
        </w:tc>
        <w:tc>
          <w:tcPr>
            <w:tcW w:w="353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社会公众或服务对象对项目实施效果的满意程度。</w:t>
            </w:r>
          </w:p>
        </w:tc>
        <w:tc>
          <w:tcPr>
            <w:tcW w:w="71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社会公众或服务对象是指因该项目实施而受到影响的部门（单位）、群体或个人。一般采取社会调查的方式。</w:t>
            </w:r>
          </w:p>
        </w:tc>
        <w:tc>
          <w:tcPr>
            <w:tcW w:w="75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c>
          <w:tcPr>
            <w:tcW w:w="759"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7" w:hRule="atLeast"/>
          <w:jc w:val="center"/>
        </w:trPr>
        <w:tc>
          <w:tcPr>
            <w:tcW w:w="14083" w:type="dxa"/>
            <w:gridSpan w:val="5"/>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总分</w:t>
            </w:r>
          </w:p>
        </w:tc>
        <w:tc>
          <w:tcPr>
            <w:tcW w:w="75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 xml:space="preserve">100.00 </w:t>
            </w:r>
          </w:p>
        </w:tc>
        <w:tc>
          <w:tcPr>
            <w:tcW w:w="759"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 xml:space="preserve">99.11 </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26A1BA8"/>
    <w:rsid w:val="036A14D2"/>
    <w:rsid w:val="04090F93"/>
    <w:rsid w:val="04685A11"/>
    <w:rsid w:val="05253FFE"/>
    <w:rsid w:val="054E5FB6"/>
    <w:rsid w:val="057A7CBF"/>
    <w:rsid w:val="099A5076"/>
    <w:rsid w:val="0BCD769B"/>
    <w:rsid w:val="0D9A01E3"/>
    <w:rsid w:val="0F2A6BF7"/>
    <w:rsid w:val="109627EE"/>
    <w:rsid w:val="10A11E8C"/>
    <w:rsid w:val="10CF22E3"/>
    <w:rsid w:val="16096F62"/>
    <w:rsid w:val="17136327"/>
    <w:rsid w:val="181871E2"/>
    <w:rsid w:val="19166846"/>
    <w:rsid w:val="19B21D0C"/>
    <w:rsid w:val="20E92B23"/>
    <w:rsid w:val="22AC2218"/>
    <w:rsid w:val="23460917"/>
    <w:rsid w:val="25C70C7D"/>
    <w:rsid w:val="2729052F"/>
    <w:rsid w:val="28703DC5"/>
    <w:rsid w:val="28C14634"/>
    <w:rsid w:val="29157376"/>
    <w:rsid w:val="2C6F0B05"/>
    <w:rsid w:val="2EC724D4"/>
    <w:rsid w:val="2EE30257"/>
    <w:rsid w:val="34DA27CE"/>
    <w:rsid w:val="36411DC5"/>
    <w:rsid w:val="36B72533"/>
    <w:rsid w:val="37D85A10"/>
    <w:rsid w:val="3C5C20CA"/>
    <w:rsid w:val="4057649F"/>
    <w:rsid w:val="40901A8E"/>
    <w:rsid w:val="44226902"/>
    <w:rsid w:val="450B6AE4"/>
    <w:rsid w:val="494058AF"/>
    <w:rsid w:val="4DE764AD"/>
    <w:rsid w:val="4EC85D2A"/>
    <w:rsid w:val="53AA4911"/>
    <w:rsid w:val="54873A1A"/>
    <w:rsid w:val="56134F6F"/>
    <w:rsid w:val="56796849"/>
    <w:rsid w:val="568F383B"/>
    <w:rsid w:val="5C7E7A5D"/>
    <w:rsid w:val="5D555EEF"/>
    <w:rsid w:val="5DA95371"/>
    <w:rsid w:val="5E9A4FE6"/>
    <w:rsid w:val="60EE58AB"/>
    <w:rsid w:val="61157F7D"/>
    <w:rsid w:val="65772274"/>
    <w:rsid w:val="65AB1BC5"/>
    <w:rsid w:val="682723F3"/>
    <w:rsid w:val="686F7714"/>
    <w:rsid w:val="6A862BA8"/>
    <w:rsid w:val="6B06022D"/>
    <w:rsid w:val="6DFC1C65"/>
    <w:rsid w:val="6E016605"/>
    <w:rsid w:val="731F5868"/>
    <w:rsid w:val="75FA041F"/>
    <w:rsid w:val="760F49BD"/>
    <w:rsid w:val="76E870A0"/>
    <w:rsid w:val="78133E26"/>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footer"/>
    <w:basedOn w:val="1"/>
    <w:link w:val="19"/>
    <w:semiHidden/>
    <w:unhideWhenUsed/>
    <w:qFormat/>
    <w:uiPriority w:val="99"/>
    <w:pPr>
      <w:tabs>
        <w:tab w:val="center" w:pos="4153"/>
        <w:tab w:val="right" w:pos="8306"/>
      </w:tabs>
      <w:snapToGrid w:val="0"/>
      <w:jc w:val="left"/>
    </w:pPr>
    <w:rPr>
      <w:sz w:val="18"/>
      <w:szCs w:val="18"/>
    </w:rPr>
  </w:style>
  <w:style w:type="paragraph" w:styleId="7">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7"/>
    <w:semiHidden/>
    <w:qFormat/>
    <w:uiPriority w:val="99"/>
    <w:rPr>
      <w:rFonts w:ascii="Times New Roman" w:hAnsi="Times New Roman" w:eastAsia="仿宋_GB2312" w:cs="Times New Roman"/>
      <w:sz w:val="18"/>
      <w:szCs w:val="18"/>
    </w:rPr>
  </w:style>
  <w:style w:type="character" w:customStyle="1" w:styleId="19">
    <w:name w:val="页脚 Char"/>
    <w:basedOn w:val="12"/>
    <w:link w:val="6"/>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9</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2026-07-02T08:20:24Z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