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中国—哈萨克斯坦霍尔果斯国际边境</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合作中心中方区域监管办法</w:t>
      </w:r>
    </w:p>
    <w:bookmarkEnd w:id="0"/>
    <w:p>
      <w:pPr>
        <w:spacing w:line="560" w:lineRule="exact"/>
        <w:ind w:firstLine="632" w:firstLineChars="200"/>
      </w:pPr>
    </w:p>
    <w:p>
      <w:pPr>
        <w:spacing w:line="560" w:lineRule="exact"/>
        <w:jc w:val="center"/>
        <w:rPr>
          <w:rFonts w:ascii="方正黑体_GBK" w:eastAsia="方正黑体_GBK"/>
        </w:rPr>
      </w:pPr>
      <w:r>
        <w:rPr>
          <w:rFonts w:hint="eastAsia" w:ascii="方正黑体_GBK" w:eastAsia="方正黑体_GBK"/>
        </w:rPr>
        <w:t>第一章  总则</w:t>
      </w:r>
    </w:p>
    <w:p>
      <w:pPr>
        <w:spacing w:line="560" w:lineRule="exact"/>
        <w:ind w:firstLine="632" w:firstLineChars="200"/>
      </w:pPr>
      <w:r>
        <w:rPr>
          <w:rFonts w:hint="eastAsia"/>
          <w:b/>
          <w:bCs/>
        </w:rPr>
        <w:t>第一条</w:t>
      </w:r>
      <w:r>
        <w:rPr>
          <w:rFonts w:hint="eastAsia"/>
          <w:b/>
        </w:rPr>
        <w:t xml:space="preserve"> </w:t>
      </w:r>
      <w:r>
        <w:rPr>
          <w:rFonts w:hint="eastAsia"/>
        </w:rPr>
        <w:t>为规范海关对中国—哈萨克斯坦霍尔果斯国际边境合作中心（以下简称“合作中心”）中方区域的监督管理，根据《中华人民共和国政府和哈萨克斯坦共和国政府关于霍尔果斯国际边境合作中心活动管理的协定》《中华人民共和国海关法》和有关法律、行政法规，制定本办法。</w:t>
      </w:r>
    </w:p>
    <w:p>
      <w:pPr>
        <w:pStyle w:val="107"/>
        <w:spacing w:line="560" w:lineRule="exact"/>
        <w:ind w:firstLine="632" w:firstLineChars="200"/>
      </w:pPr>
      <w:r>
        <w:rPr>
          <w:rFonts w:hint="eastAsia"/>
          <w:b/>
          <w:bCs/>
        </w:rPr>
        <w:t>第二条</w:t>
      </w:r>
      <w:r>
        <w:rPr>
          <w:rFonts w:hint="eastAsia"/>
          <w:b/>
        </w:rPr>
        <w:t xml:space="preserve"> </w:t>
      </w:r>
      <w:r>
        <w:rPr>
          <w:rFonts w:hint="eastAsia"/>
        </w:rPr>
        <w:t>本办法适用于海关对中华人民共和国境内其他地区（含海关特殊监管区域</w:t>
      </w:r>
      <w:r>
        <w:t>、保税监管场所</w:t>
      </w:r>
      <w:r>
        <w:rPr>
          <w:rFonts w:hint="eastAsia"/>
        </w:rPr>
        <w:t>，以下简称“境内地区”）进出合作中心中方区域（以下简称</w:t>
      </w:r>
      <w:r>
        <w:rPr>
          <w:rFonts w:hint="eastAsia" w:ascii="方正仿宋_GBK"/>
        </w:rPr>
        <w:t>“</w:t>
      </w:r>
      <w:r>
        <w:rPr>
          <w:rFonts w:hint="eastAsia"/>
        </w:rPr>
        <w:t>中方区域</w:t>
      </w:r>
      <w:r>
        <w:rPr>
          <w:rFonts w:hint="eastAsia" w:ascii="方正仿宋_GBK"/>
        </w:rPr>
        <w:t>”</w:t>
      </w:r>
      <w:r>
        <w:rPr>
          <w:rFonts w:hint="eastAsia"/>
        </w:rPr>
        <w:t>）的人员及随身携带物品、货物、运输工具的监督管理工作。</w:t>
      </w:r>
    </w:p>
    <w:p>
      <w:pPr>
        <w:spacing w:line="560" w:lineRule="exact"/>
        <w:ind w:firstLine="632" w:firstLineChars="200"/>
      </w:pPr>
      <w:r>
        <w:rPr>
          <w:rFonts w:hint="eastAsia"/>
          <w:b/>
          <w:bCs/>
        </w:rPr>
        <w:t>第三条</w:t>
      </w:r>
      <w:r>
        <w:rPr>
          <w:rFonts w:hint="eastAsia"/>
          <w:b/>
        </w:rPr>
        <w:t xml:space="preserve"> </w:t>
      </w:r>
      <w:r>
        <w:t>海关对境内地区进出中方区域的人员及随身携带物品、货物、运输工具实行监管，按照进出境管理。</w:t>
      </w:r>
    </w:p>
    <w:p>
      <w:pPr>
        <w:spacing w:line="560" w:lineRule="exact"/>
        <w:ind w:firstLine="632" w:firstLineChars="200"/>
      </w:pPr>
      <w:r>
        <w:rPr>
          <w:rFonts w:hint="eastAsia"/>
          <w:b/>
          <w:bCs/>
        </w:rPr>
        <w:t>第四条</w:t>
      </w:r>
      <w:r>
        <w:rPr>
          <w:rFonts w:hint="eastAsia"/>
          <w:b/>
        </w:rPr>
        <w:t xml:space="preserve"> </w:t>
      </w:r>
      <w:r>
        <w:t>中方区域与境内地区之间，应当设置符合海关监管要求的围网、卡口、视频监控系统等设施。</w:t>
      </w:r>
    </w:p>
    <w:p>
      <w:pPr>
        <w:spacing w:line="560" w:lineRule="exact"/>
        <w:ind w:firstLine="632" w:firstLineChars="200"/>
      </w:pPr>
      <w:r>
        <w:rPr>
          <w:rFonts w:hint="eastAsia"/>
          <w:b/>
          <w:bCs/>
        </w:rPr>
        <w:t>第五条</w:t>
      </w:r>
      <w:r>
        <w:rPr>
          <w:rFonts w:hint="eastAsia"/>
          <w:b/>
        </w:rPr>
        <w:t xml:space="preserve"> </w:t>
      </w:r>
      <w:r>
        <w:t>海关在中方区域内实施传染病监测，动植物疫病疫情监测，食品安全及商品质量安全的风险监测和风险评估工作，开展病媒生物监测工作，并采取相应的预防控制措施；建立和完善公共卫生风险和重大动植物疫病疫情的信息收集、分析、报告制度。</w:t>
      </w:r>
    </w:p>
    <w:p>
      <w:pPr>
        <w:spacing w:line="560" w:lineRule="exact"/>
        <w:ind w:firstLine="632" w:firstLineChars="200"/>
      </w:pPr>
      <w:r>
        <w:rPr>
          <w:rFonts w:hint="eastAsia"/>
          <w:b/>
          <w:bCs/>
        </w:rPr>
        <w:t>第六条</w:t>
      </w:r>
      <w:r>
        <w:rPr>
          <w:rFonts w:hint="eastAsia"/>
          <w:b/>
        </w:rPr>
        <w:t xml:space="preserve"> </w:t>
      </w:r>
      <w:r>
        <w:t>发生突发公共卫生事件、重大动植物疫病疫情时，海关应当按照属地原则采取相应处置措施。</w:t>
      </w:r>
    </w:p>
    <w:p>
      <w:pPr>
        <w:pStyle w:val="21"/>
        <w:spacing w:line="560" w:lineRule="exact"/>
        <w:ind w:firstLine="632" w:firstLineChars="200"/>
      </w:pPr>
      <w:r>
        <w:rPr>
          <w:rFonts w:hint="eastAsia"/>
          <w:b/>
          <w:bCs/>
        </w:rPr>
        <w:t>第七条</w:t>
      </w:r>
      <w:r>
        <w:rPr>
          <w:rFonts w:hint="eastAsia"/>
          <w:b/>
        </w:rPr>
        <w:t xml:space="preserve"> </w:t>
      </w:r>
      <w:r>
        <w:t>中方区域管理机构应实施信息化管理，建立溯源体系，实现进出区人员及随身携带物品、货物、运输工具相关电子信息的传送、交换，满足海关监管要求。</w:t>
      </w:r>
    </w:p>
    <w:p>
      <w:pPr>
        <w:pStyle w:val="21"/>
        <w:spacing w:line="560" w:lineRule="exact"/>
        <w:ind w:firstLine="632" w:firstLineChars="200"/>
      </w:pPr>
      <w:r>
        <w:t>中方区域管理机构应对中方区域内企业（含商铺）建立覆盖其所经营商品进、出、转、存、销环节的管理体系。</w:t>
      </w:r>
    </w:p>
    <w:p>
      <w:pPr>
        <w:pStyle w:val="68"/>
        <w:spacing w:line="560" w:lineRule="exact"/>
        <w:ind w:firstLine="632" w:firstLineChars="200"/>
      </w:pPr>
      <w:r>
        <w:rPr>
          <w:rFonts w:hint="eastAsia"/>
          <w:b/>
          <w:bCs/>
        </w:rPr>
        <w:t>第八条</w:t>
      </w:r>
      <w:r>
        <w:rPr>
          <w:rFonts w:hint="eastAsia"/>
          <w:b/>
        </w:rPr>
        <w:t xml:space="preserve"> </w:t>
      </w:r>
      <w:r>
        <w:t>国家对进出境货物、物品有禁止性或者限制性规定的，海关按照有关规定办理。</w:t>
      </w:r>
    </w:p>
    <w:p>
      <w:pPr>
        <w:pStyle w:val="69"/>
        <w:spacing w:line="560" w:lineRule="exact"/>
        <w:ind w:firstLine="675"/>
        <w:rPr>
          <w:rFonts w:ascii="方正仿宋_GBK" w:eastAsia="方正仿宋_GBK"/>
          <w:bCs/>
          <w:sz w:val="32"/>
          <w:szCs w:val="32"/>
        </w:rPr>
      </w:pPr>
      <w:r>
        <w:rPr>
          <w:rFonts w:hint="eastAsia" w:ascii="方正仿宋_GBK" w:eastAsia="方正仿宋_GBK"/>
          <w:bCs/>
          <w:sz w:val="32"/>
          <w:szCs w:val="32"/>
        </w:rPr>
        <w:t xml:space="preserve"> 双方禁止对方国家法律禁止进口的货物（商品）进入中心区域。</w:t>
      </w:r>
    </w:p>
    <w:p>
      <w:pPr>
        <w:spacing w:line="560" w:lineRule="exact"/>
        <w:jc w:val="center"/>
        <w:rPr>
          <w:rFonts w:ascii="方正黑体_GBK" w:eastAsia="方正黑体_GBK"/>
        </w:rPr>
      </w:pPr>
      <w:r>
        <w:rPr>
          <w:rFonts w:hint="eastAsia" w:ascii="方正黑体_GBK" w:eastAsia="方正黑体_GBK"/>
        </w:rPr>
        <w:t>第二章  运输工具的监管</w:t>
      </w:r>
    </w:p>
    <w:p>
      <w:pPr>
        <w:spacing w:line="560" w:lineRule="exact"/>
        <w:ind w:firstLine="632" w:firstLineChars="200"/>
      </w:pPr>
      <w:r>
        <w:rPr>
          <w:rFonts w:hint="eastAsia"/>
          <w:b/>
          <w:bCs/>
        </w:rPr>
        <w:t>第九条</w:t>
      </w:r>
      <w:r>
        <w:rPr>
          <w:rFonts w:hint="eastAsia"/>
          <w:b/>
          <w:szCs w:val="24"/>
        </w:rPr>
        <w:t xml:space="preserve"> </w:t>
      </w:r>
      <w:r>
        <w:t xml:space="preserve">由境内地区进出中方区域的运输工具，应当按照海关规定办理进出境运输工具备案手续。 </w:t>
      </w:r>
    </w:p>
    <w:p>
      <w:pPr>
        <w:pStyle w:val="64"/>
        <w:spacing w:line="560" w:lineRule="exact"/>
        <w:ind w:firstLine="632" w:firstLineChars="200"/>
      </w:pPr>
      <w:r>
        <w:rPr>
          <w:rFonts w:hint="eastAsia"/>
          <w:b/>
          <w:bCs/>
        </w:rPr>
        <w:t>第十条</w:t>
      </w:r>
      <w:r>
        <w:rPr>
          <w:rFonts w:hint="eastAsia"/>
          <w:b/>
          <w:szCs w:val="24"/>
        </w:rPr>
        <w:t xml:space="preserve"> </w:t>
      </w:r>
      <w:r>
        <w:t>运输工具由境内地区进出中方区域时，运输工具负责人应当向海关对应办理运输工具出境、入境申报手续并接受海关检疫、检查。对应当实施检疫处理的运输工具及集装箱，检疫处理合格后方可放行。</w:t>
      </w:r>
    </w:p>
    <w:p>
      <w:pPr>
        <w:spacing w:line="560" w:lineRule="exact"/>
        <w:ind w:firstLine="632" w:firstLineChars="200"/>
      </w:pPr>
      <w:r>
        <w:rPr>
          <w:rFonts w:hint="eastAsia"/>
          <w:b/>
          <w:bCs/>
        </w:rPr>
        <w:t>第十一条</w:t>
      </w:r>
      <w:r>
        <w:rPr>
          <w:rFonts w:hint="eastAsia"/>
          <w:b/>
        </w:rPr>
        <w:t xml:space="preserve"> </w:t>
      </w:r>
      <w:r>
        <w:t>境内地区进出中方区域运输工具的备用物料应当以自用合理数量为限，超出自用合理数量范围的，应当按照进出口货物的有关规定办理海关手续。</w:t>
      </w:r>
    </w:p>
    <w:p>
      <w:pPr>
        <w:spacing w:line="560" w:lineRule="exact"/>
        <w:jc w:val="center"/>
        <w:rPr>
          <w:rFonts w:ascii="方正黑体_GBK" w:eastAsia="方正黑体_GBK"/>
        </w:rPr>
      </w:pPr>
      <w:r>
        <w:rPr>
          <w:rFonts w:hint="eastAsia" w:ascii="方正黑体_GBK" w:eastAsia="方正黑体_GBK"/>
        </w:rPr>
        <w:t>第三章  货物的监管</w:t>
      </w:r>
    </w:p>
    <w:p>
      <w:pPr>
        <w:spacing w:line="560" w:lineRule="exact"/>
        <w:ind w:firstLine="632" w:firstLineChars="200"/>
      </w:pPr>
      <w:r>
        <w:rPr>
          <w:rFonts w:hint="eastAsia"/>
          <w:b/>
          <w:bCs/>
        </w:rPr>
        <w:t>第十二条</w:t>
      </w:r>
      <w:r>
        <w:rPr>
          <w:rFonts w:hint="eastAsia"/>
          <w:b/>
        </w:rPr>
        <w:t xml:space="preserve"> </w:t>
      </w:r>
      <w:r>
        <w:t>境内地区进出中方区域的货物，应当按照进出口货物有关规定办理海关手续并接受海关监管。</w:t>
      </w:r>
    </w:p>
    <w:p>
      <w:pPr>
        <w:spacing w:line="560" w:lineRule="exact"/>
        <w:ind w:firstLine="632" w:firstLineChars="200"/>
      </w:pPr>
      <w:r>
        <w:rPr>
          <w:rFonts w:hint="eastAsia"/>
          <w:b/>
          <w:bCs/>
        </w:rPr>
        <w:t>第十三条</w:t>
      </w:r>
      <w:r>
        <w:rPr>
          <w:rFonts w:hint="eastAsia"/>
          <w:b/>
        </w:rPr>
        <w:t xml:space="preserve"> </w:t>
      </w:r>
      <w:r>
        <w:t>境内地区进出中方区域的货物，海关按照国家有关进出口贸易管制的规定实施监管。</w:t>
      </w:r>
    </w:p>
    <w:p>
      <w:pPr>
        <w:spacing w:line="560" w:lineRule="exact"/>
        <w:ind w:firstLine="632" w:firstLineChars="200"/>
      </w:pPr>
      <w:r>
        <w:rPr>
          <w:rFonts w:hint="eastAsia"/>
          <w:b/>
          <w:bCs/>
        </w:rPr>
        <w:t>第十四条</w:t>
      </w:r>
      <w:r>
        <w:rPr>
          <w:rFonts w:hint="eastAsia"/>
          <w:b/>
        </w:rPr>
        <w:t xml:space="preserve"> </w:t>
      </w:r>
      <w:r>
        <w:rPr>
          <w:rFonts w:hint="eastAsia"/>
          <w:szCs w:val="32"/>
        </w:rPr>
        <w:t>海关特殊监管区域、保税监管场所与中方区域之间进出的货物，海关按照海关特殊监管区域、保税监管场所与境外之间进出货物的有关规定实施监管。</w:t>
      </w:r>
    </w:p>
    <w:p>
      <w:pPr>
        <w:spacing w:line="560" w:lineRule="exact"/>
        <w:ind w:firstLine="632" w:firstLineChars="200"/>
        <w:rPr>
          <w:szCs w:val="32"/>
        </w:rPr>
      </w:pPr>
      <w:r>
        <w:rPr>
          <w:rFonts w:hint="eastAsia"/>
          <w:b/>
          <w:bCs/>
        </w:rPr>
        <w:t>第十五条</w:t>
      </w:r>
      <w:r>
        <w:rPr>
          <w:rFonts w:hint="eastAsia"/>
          <w:b/>
        </w:rPr>
        <w:t xml:space="preserve"> </w:t>
      </w:r>
      <w:r>
        <w:rPr>
          <w:rFonts w:hint="eastAsia"/>
          <w:szCs w:val="32"/>
        </w:rPr>
        <w:t>中方区域内应当建设符合海关要求的检疫处理场所，并接受海关必要的监督管理。</w:t>
      </w:r>
    </w:p>
    <w:p>
      <w:pPr>
        <w:spacing w:line="560" w:lineRule="exact"/>
        <w:ind w:firstLine="632" w:firstLineChars="200"/>
      </w:pPr>
      <w:r>
        <w:rPr>
          <w:rFonts w:hint="eastAsia"/>
          <w:szCs w:val="32"/>
        </w:rPr>
        <w:t>中方区域内的进出境动植物检疫除害处理单位应当依法向海关申请许可。未经许可的，不得从事进出境动植物检疫除害处理业务。</w:t>
      </w:r>
    </w:p>
    <w:p>
      <w:pPr>
        <w:spacing w:line="560" w:lineRule="exact"/>
        <w:ind w:firstLine="632" w:firstLineChars="200"/>
        <w:jc w:val="center"/>
        <w:rPr>
          <w:rFonts w:ascii="方正黑体_GBK" w:eastAsia="方正黑体_GBK"/>
        </w:rPr>
      </w:pPr>
      <w:r>
        <w:rPr>
          <w:rFonts w:hint="eastAsia" w:ascii="方正黑体_GBK" w:eastAsia="方正黑体_GBK"/>
        </w:rPr>
        <w:t>第四章  人员及其携带物品的监管</w:t>
      </w:r>
    </w:p>
    <w:p>
      <w:pPr>
        <w:pStyle w:val="61"/>
        <w:spacing w:line="560" w:lineRule="exact"/>
        <w:ind w:firstLine="632" w:firstLineChars="200"/>
      </w:pPr>
      <w:r>
        <w:rPr>
          <w:rFonts w:hint="eastAsia"/>
          <w:b/>
          <w:bCs/>
        </w:rPr>
        <w:t>第十六条</w:t>
      </w:r>
      <w:r>
        <w:rPr>
          <w:rFonts w:hint="eastAsia"/>
          <w:b/>
        </w:rPr>
        <w:t xml:space="preserve"> </w:t>
      </w:r>
      <w:r>
        <w:t>海关依法对境内地区进出中方区域的人员实施卫生检疫。</w:t>
      </w:r>
    </w:p>
    <w:p>
      <w:pPr>
        <w:pStyle w:val="43"/>
        <w:spacing w:line="560" w:lineRule="exact"/>
        <w:ind w:firstLine="632" w:firstLineChars="200"/>
      </w:pPr>
      <w:r>
        <w:rPr>
          <w:rFonts w:hint="eastAsia"/>
          <w:b/>
          <w:bCs/>
        </w:rPr>
        <w:t>第十七条</w:t>
      </w:r>
      <w:r>
        <w:rPr>
          <w:rFonts w:hint="eastAsia"/>
          <w:b/>
        </w:rPr>
        <w:t xml:space="preserve"> </w:t>
      </w:r>
      <w:r>
        <w:t>旅客及合作中心工作人员由境内地区进出中方区域，携带物品应当按照海关对进出境旅客携带物品的管理规定，如实向海关申报，并接受海关检查；所携带的物品应以自用、合理数量为限。</w:t>
      </w:r>
    </w:p>
    <w:p>
      <w:pPr>
        <w:pStyle w:val="43"/>
        <w:spacing w:line="560" w:lineRule="exact"/>
        <w:ind w:firstLine="632" w:firstLineChars="200"/>
      </w:pPr>
      <w:r>
        <w:t>对超出自用、合理数量的物品，海关予以退运，或按照货物办理手续。</w:t>
      </w:r>
    </w:p>
    <w:p>
      <w:pPr>
        <w:spacing w:line="560" w:lineRule="exact"/>
        <w:ind w:firstLine="632" w:firstLineChars="200"/>
        <w:rPr>
          <w:szCs w:val="32"/>
        </w:rPr>
      </w:pPr>
      <w:r>
        <w:rPr>
          <w:rFonts w:hint="eastAsia"/>
          <w:szCs w:val="32"/>
        </w:rPr>
        <w:t>我国法律法规禁止携带的动植物及其产品和其他检疫物不得通过中心中方区域入出口带出中心</w:t>
      </w:r>
      <w:r>
        <w:rPr>
          <w:szCs w:val="32"/>
        </w:rPr>
        <w:t>。</w:t>
      </w:r>
    </w:p>
    <w:p>
      <w:pPr>
        <w:pStyle w:val="57"/>
        <w:spacing w:line="560" w:lineRule="exact"/>
        <w:ind w:firstLine="632" w:firstLineChars="200"/>
      </w:pPr>
      <w:r>
        <w:rPr>
          <w:rFonts w:hint="eastAsia"/>
          <w:b/>
          <w:bCs/>
        </w:rPr>
        <w:t>第十八条</w:t>
      </w:r>
      <w:r>
        <w:rPr>
          <w:rFonts w:hint="eastAsia"/>
          <w:b/>
        </w:rPr>
        <w:t xml:space="preserve"> </w:t>
      </w:r>
      <w:r>
        <w:t>旅客携带物品由中方区域进入境内地区，在按照海关现行有关规定进行管理的基础上，每人每日可以享受一次免税优惠待遇，免税限额应在人民币8000元以内。对超出上述免税限额但仍在合理数量以内的物品，海关对超出部分按照规定征税，其中对不可分割的单件物品，全额征税。</w:t>
      </w:r>
    </w:p>
    <w:p>
      <w:pPr>
        <w:pStyle w:val="57"/>
        <w:spacing w:line="560" w:lineRule="exact"/>
        <w:ind w:firstLine="632" w:firstLineChars="200"/>
      </w:pPr>
      <w:r>
        <w:rPr>
          <w:rFonts w:hint="eastAsia"/>
          <w:b/>
          <w:bCs/>
        </w:rPr>
        <w:t>第十九条</w:t>
      </w:r>
      <w:r>
        <w:rPr>
          <w:rFonts w:hint="eastAsia"/>
          <w:b/>
        </w:rPr>
        <w:t xml:space="preserve"> </w:t>
      </w:r>
      <w:r>
        <w:t>进出区旅客不得以牟利为目的为他人购买免税品或将所购免税品在国内市场再次销售。</w:t>
      </w:r>
    </w:p>
    <w:p>
      <w:pPr>
        <w:spacing w:line="560" w:lineRule="exact"/>
        <w:ind w:firstLine="632" w:firstLineChars="200"/>
      </w:pPr>
      <w:r>
        <w:rPr>
          <w:rFonts w:hint="eastAsia"/>
          <w:b/>
          <w:bCs/>
        </w:rPr>
        <w:t>第</w:t>
      </w:r>
      <w:r>
        <w:rPr>
          <w:b/>
          <w:bCs/>
        </w:rPr>
        <w:t>二十</w:t>
      </w:r>
      <w:r>
        <w:rPr>
          <w:rFonts w:hint="eastAsia"/>
          <w:b/>
          <w:bCs/>
        </w:rPr>
        <w:t>条</w:t>
      </w:r>
      <w:r>
        <w:rPr>
          <w:rFonts w:hint="eastAsia"/>
          <w:b/>
        </w:rPr>
        <w:t xml:space="preserve"> </w:t>
      </w:r>
      <w:r>
        <w:t>合作中心工作人员携带合作中心内所购物品由中方区域进入境内地区，不予免税。</w:t>
      </w:r>
    </w:p>
    <w:p>
      <w:pPr>
        <w:pStyle w:val="52"/>
        <w:spacing w:line="560" w:lineRule="exact"/>
        <w:ind w:firstLine="632" w:firstLineChars="200"/>
      </w:pPr>
      <w:r>
        <w:rPr>
          <w:rFonts w:hint="eastAsia"/>
          <w:b/>
          <w:bCs/>
        </w:rPr>
        <w:t>第二十</w:t>
      </w:r>
      <w:r>
        <w:rPr>
          <w:b/>
          <w:bCs/>
        </w:rPr>
        <w:t>一</w:t>
      </w:r>
      <w:r>
        <w:rPr>
          <w:rFonts w:hint="eastAsia"/>
          <w:b/>
          <w:bCs/>
        </w:rPr>
        <w:t>条</w:t>
      </w:r>
      <w:r>
        <w:rPr>
          <w:rFonts w:hint="eastAsia"/>
          <w:b/>
        </w:rPr>
        <w:t xml:space="preserve"> </w:t>
      </w:r>
      <w:r>
        <w:t>运输工具工作人员携带的物品</w:t>
      </w:r>
      <w:r>
        <w:rPr>
          <w:rFonts w:hint="eastAsia"/>
        </w:rPr>
        <w:t>应当以服务期间必需和自用合理数量为限</w:t>
      </w:r>
      <w:r>
        <w:t>，超出</w:t>
      </w:r>
      <w:r>
        <w:rPr>
          <w:rFonts w:hint="eastAsia"/>
        </w:rPr>
        <w:t>服务期间必需和自用合理数量</w:t>
      </w:r>
      <w:r>
        <w:t>范围的</w:t>
      </w:r>
      <w:r>
        <w:rPr>
          <w:rFonts w:hint="eastAsia"/>
        </w:rPr>
        <w:t>按照进出口货物的有关规定办理海关手续</w:t>
      </w:r>
      <w:r>
        <w:t>。</w:t>
      </w:r>
    </w:p>
    <w:p>
      <w:pPr>
        <w:spacing w:line="560" w:lineRule="exact"/>
        <w:jc w:val="center"/>
        <w:rPr>
          <w:rFonts w:ascii="方正黑体_GBK" w:eastAsia="方正黑体_GBK"/>
        </w:rPr>
      </w:pPr>
      <w:r>
        <w:rPr>
          <w:rFonts w:hint="eastAsia" w:ascii="方正黑体_GBK" w:eastAsia="方正黑体_GBK"/>
        </w:rPr>
        <w:t>第五章 其他</w:t>
      </w:r>
    </w:p>
    <w:p>
      <w:pPr>
        <w:pStyle w:val="31"/>
        <w:spacing w:line="560" w:lineRule="exact"/>
        <w:ind w:firstLine="632" w:firstLineChars="200"/>
      </w:pPr>
      <w:r>
        <w:rPr>
          <w:rFonts w:hint="eastAsia"/>
          <w:b/>
          <w:bCs/>
        </w:rPr>
        <w:t>第二十</w:t>
      </w:r>
      <w:r>
        <w:rPr>
          <w:b/>
          <w:bCs/>
        </w:rPr>
        <w:t>二</w:t>
      </w:r>
      <w:r>
        <w:rPr>
          <w:rFonts w:hint="eastAsia"/>
          <w:b/>
          <w:bCs/>
        </w:rPr>
        <w:t>条</w:t>
      </w:r>
      <w:r>
        <w:rPr>
          <w:rFonts w:hint="eastAsia"/>
          <w:b/>
        </w:rPr>
        <w:t xml:space="preserve"> </w:t>
      </w:r>
      <w:r>
        <w:t>境内地区进入中方区域的基础设施建设物资和区内设施自用设备，按规定向海关办理出口手续并接受海关监管。</w:t>
      </w:r>
    </w:p>
    <w:p>
      <w:pPr>
        <w:pStyle w:val="55"/>
        <w:spacing w:line="560" w:lineRule="exact"/>
        <w:ind w:firstLine="632" w:firstLineChars="200"/>
      </w:pPr>
      <w:r>
        <w:t>在先封闭后进行基础设施建设的前提下，对由境内地区进入中心的基础设施（公共基础设施除外）建设物资和区内设施自用设备，视同出口，实行退税。</w:t>
      </w:r>
    </w:p>
    <w:p>
      <w:pPr>
        <w:pStyle w:val="31"/>
        <w:spacing w:line="560" w:lineRule="exact"/>
        <w:ind w:firstLine="632" w:firstLineChars="200"/>
      </w:pPr>
      <w:r>
        <w:t>对由哈方进入中心中方区域的基础设施（公共基础设施除外）建设物资和区内设施自用设备免征关税及进口环节增值税。由中心进入境内地区的货物按一般贸易税收管理规定办理。</w:t>
      </w:r>
    </w:p>
    <w:p>
      <w:pPr>
        <w:pStyle w:val="35"/>
        <w:spacing w:line="560" w:lineRule="exact"/>
        <w:ind w:firstLine="632" w:firstLineChars="200"/>
      </w:pPr>
      <w:r>
        <w:rPr>
          <w:rFonts w:hint="eastAsia"/>
          <w:b/>
          <w:bCs/>
        </w:rPr>
        <w:t>第二十</w:t>
      </w:r>
      <w:r>
        <w:rPr>
          <w:b/>
          <w:bCs/>
        </w:rPr>
        <w:t>三</w:t>
      </w:r>
      <w:r>
        <w:rPr>
          <w:rFonts w:hint="eastAsia"/>
          <w:b/>
          <w:bCs/>
        </w:rPr>
        <w:t>条</w:t>
      </w:r>
      <w:r>
        <w:rPr>
          <w:rFonts w:hint="eastAsia"/>
          <w:b/>
        </w:rPr>
        <w:t xml:space="preserve"> </w:t>
      </w:r>
      <w:r>
        <w:t>从境内地区进入中方区域的展览品免予检验，但用于展销的除外。</w:t>
      </w:r>
    </w:p>
    <w:p>
      <w:pPr>
        <w:pStyle w:val="35"/>
        <w:spacing w:line="560" w:lineRule="exact"/>
        <w:ind w:firstLine="632" w:firstLineChars="200"/>
      </w:pPr>
      <w:r>
        <w:t>从境内地区进入中方区域的下列设备物资，由企业申请，经海关风险评估并实施备案后，可以免予实施检验：</w:t>
      </w:r>
    </w:p>
    <w:p>
      <w:pPr>
        <w:pStyle w:val="35"/>
        <w:spacing w:line="560" w:lineRule="exact"/>
        <w:ind w:firstLine="632" w:firstLineChars="200"/>
      </w:pPr>
      <w:r>
        <w:t>（一）中方区域内企业的基础性建设物资和区内设施自用设备，但公共基础设施除外。</w:t>
      </w:r>
    </w:p>
    <w:p>
      <w:pPr>
        <w:pStyle w:val="35"/>
        <w:spacing w:line="560" w:lineRule="exact"/>
        <w:ind w:firstLine="632" w:firstLineChars="200"/>
      </w:pPr>
      <w:r>
        <w:t>（二）中方区域内企业的施工机械、自用办公用品、自用生活物资，但食品、农产品除外。</w:t>
      </w:r>
    </w:p>
    <w:p>
      <w:pPr>
        <w:spacing w:line="560" w:lineRule="exact"/>
        <w:ind w:firstLine="632" w:firstLineChars="200"/>
      </w:pPr>
      <w:r>
        <w:t>（三）从境内地区进入中方区域又返回境内地区的货物，</w:t>
      </w:r>
      <w:r>
        <w:rPr>
          <w:rFonts w:hint="eastAsia"/>
          <w:szCs w:val="32"/>
        </w:rPr>
        <w:t>但在中心中方区域内经生产加工的除外</w:t>
      </w:r>
      <w:r>
        <w:t>。</w:t>
      </w:r>
    </w:p>
    <w:p>
      <w:pPr>
        <w:spacing w:line="560" w:lineRule="exact"/>
        <w:ind w:firstLine="632" w:firstLineChars="200"/>
      </w:pPr>
      <w:r>
        <w:rPr>
          <w:rFonts w:hint="eastAsia"/>
          <w:b/>
          <w:bCs/>
        </w:rPr>
        <w:t>第二十</w:t>
      </w:r>
      <w:r>
        <w:rPr>
          <w:b/>
          <w:bCs/>
        </w:rPr>
        <w:t>四</w:t>
      </w:r>
      <w:r>
        <w:rPr>
          <w:rFonts w:hint="eastAsia"/>
          <w:b/>
          <w:bCs/>
        </w:rPr>
        <w:t>条</w:t>
      </w:r>
      <w:r>
        <w:rPr>
          <w:rFonts w:hint="eastAsia"/>
          <w:b/>
        </w:rPr>
        <w:t xml:space="preserve"> </w:t>
      </w:r>
      <w:r>
        <w:t>中心中方区域内食品经营、餐饮服务、公共场所及饮用水供应单位，应办理口岸卫生许可证，并接受卫生监督管理。</w:t>
      </w:r>
    </w:p>
    <w:p>
      <w:pPr>
        <w:pStyle w:val="58"/>
        <w:spacing w:line="560" w:lineRule="exact"/>
        <w:ind w:firstLine="632" w:firstLineChars="200"/>
      </w:pPr>
      <w:r>
        <w:rPr>
          <w:rFonts w:hint="eastAsia"/>
          <w:b/>
          <w:bCs/>
        </w:rPr>
        <w:t>第二十</w:t>
      </w:r>
      <w:r>
        <w:rPr>
          <w:b/>
          <w:bCs/>
        </w:rPr>
        <w:t>五</w:t>
      </w:r>
      <w:r>
        <w:rPr>
          <w:rFonts w:hint="eastAsia"/>
          <w:b/>
          <w:bCs/>
        </w:rPr>
        <w:t>条</w:t>
      </w:r>
      <w:r>
        <w:rPr>
          <w:rFonts w:hint="eastAsia"/>
          <w:b/>
        </w:rPr>
        <w:t xml:space="preserve"> </w:t>
      </w:r>
      <w:r>
        <w:t>经境内地区进入中方区域的伴侣动物（仅限犬或者猫，以下称</w:t>
      </w:r>
      <w:r>
        <w:rPr>
          <w:rFonts w:hint="eastAsia"/>
        </w:rPr>
        <w:t>“</w:t>
      </w:r>
      <w:r>
        <w:t>宠物</w:t>
      </w:r>
      <w:r>
        <w:rPr>
          <w:rFonts w:hint="eastAsia"/>
        </w:rPr>
        <w:t>”</w:t>
      </w:r>
      <w:r>
        <w:t>），每人每次限带1只，并且须持家庭所在地县级以上兽医卫生防疫部门出具的有效动物健康证书及狂犬病疫苗接种证书，宠物应当具有芯片或者其他有效身份证明，经海关现场检疫合格的，予以放行。</w:t>
      </w:r>
    </w:p>
    <w:p>
      <w:pPr>
        <w:pStyle w:val="58"/>
        <w:spacing w:line="560" w:lineRule="exact"/>
        <w:ind w:firstLine="632" w:firstLineChars="200"/>
      </w:pPr>
      <w:r>
        <w:t>宠物自合作中心进入境内地区时，应验核其入区手续，确认为前次携带的宠物后，予以放行。</w:t>
      </w:r>
    </w:p>
    <w:p>
      <w:pPr>
        <w:spacing w:line="560" w:lineRule="exact"/>
        <w:ind w:firstLine="632" w:firstLineChars="200"/>
      </w:pPr>
      <w:r>
        <w:t> </w:t>
      </w:r>
      <w:r>
        <w:rPr>
          <w:rFonts w:hint="eastAsia"/>
          <w:b/>
          <w:bCs/>
        </w:rPr>
        <w:t>第二十</w:t>
      </w:r>
      <w:r>
        <w:rPr>
          <w:b/>
          <w:bCs/>
        </w:rPr>
        <w:t>六</w:t>
      </w:r>
      <w:r>
        <w:rPr>
          <w:rFonts w:hint="eastAsia"/>
          <w:b/>
          <w:bCs/>
        </w:rPr>
        <w:t>条</w:t>
      </w:r>
      <w:r>
        <w:rPr>
          <w:rFonts w:hint="eastAsia"/>
          <w:b/>
        </w:rPr>
        <w:t xml:space="preserve"> </w:t>
      </w:r>
      <w:r>
        <w:t>中方区域内企业申报入区后需从区内退回中方境内的国内货物，应按规定向海关办理退运等手续。</w:t>
      </w:r>
    </w:p>
    <w:p>
      <w:pPr>
        <w:spacing w:line="560" w:lineRule="exact"/>
        <w:ind w:firstLine="632" w:firstLineChars="200"/>
      </w:pPr>
      <w:r>
        <w:rPr>
          <w:rFonts w:hint="eastAsia"/>
          <w:b/>
          <w:bCs/>
        </w:rPr>
        <w:t>第二十</w:t>
      </w:r>
      <w:r>
        <w:rPr>
          <w:b/>
          <w:bCs/>
        </w:rPr>
        <w:t>七</w:t>
      </w:r>
      <w:r>
        <w:rPr>
          <w:rFonts w:hint="eastAsia"/>
          <w:b/>
          <w:bCs/>
        </w:rPr>
        <w:t xml:space="preserve">条 </w:t>
      </w:r>
      <w:r>
        <w:rPr>
          <w:color w:val="000000"/>
        </w:rPr>
        <w:t>地</w:t>
      </w:r>
      <w:r>
        <w:t>方其他执法机构在中方区域查扣的货物、物品需运回境内地区的，由该执法机构提供证明材料，可以办理出区手续，并按规定向海关申报纳税。</w:t>
      </w:r>
    </w:p>
    <w:p>
      <w:pPr>
        <w:pStyle w:val="71"/>
        <w:spacing w:line="560" w:lineRule="exact"/>
        <w:ind w:firstLine="632" w:firstLineChars="200"/>
      </w:pPr>
      <w:r>
        <w:t>对于中方区域内的机关事业单位、社会组织、企业的办公设备、生活用品或自用物资、物品需运回境内地区的，由中方区域管理机构出具相关证明材料，可以办理出区手续，并按规定向海关申报纳税。</w:t>
      </w:r>
    </w:p>
    <w:p>
      <w:pPr>
        <w:spacing w:line="560" w:lineRule="exact"/>
        <w:ind w:firstLine="632" w:firstLineChars="200"/>
      </w:pPr>
      <w:r>
        <w:rPr>
          <w:rFonts w:hint="eastAsia"/>
          <w:b/>
          <w:bCs/>
        </w:rPr>
        <w:t>第</w:t>
      </w:r>
      <w:r>
        <w:rPr>
          <w:b/>
          <w:bCs/>
        </w:rPr>
        <w:t>二十八</w:t>
      </w:r>
      <w:r>
        <w:rPr>
          <w:rFonts w:hint="eastAsia"/>
          <w:b/>
          <w:bCs/>
        </w:rPr>
        <w:t xml:space="preserve">条 </w:t>
      </w:r>
      <w:r>
        <w:t>中方区域产生的建筑、生活垃圾需经中方区域进入境内地区的，所有人、承运人或者其代理人凭中方区域管理机构出具的证明，由具备检疫处理资格的单位在中方区域内实施检疫处理后，由承运人负责将建筑、生活垃圾分类运输，接受海关监管。</w:t>
      </w:r>
    </w:p>
    <w:p>
      <w:pPr>
        <w:spacing w:line="560" w:lineRule="exact"/>
        <w:ind w:firstLine="632" w:firstLineChars="200"/>
      </w:pPr>
      <w:r>
        <w:t>合作中心哈方区域的垃圾不得进入中方区域。</w:t>
      </w:r>
    </w:p>
    <w:p>
      <w:pPr>
        <w:spacing w:line="560" w:lineRule="exact"/>
        <w:jc w:val="center"/>
        <w:rPr>
          <w:rFonts w:ascii="方正黑体_GBK" w:eastAsia="方正黑体_GBK"/>
        </w:rPr>
      </w:pPr>
      <w:r>
        <w:rPr>
          <w:rFonts w:hint="eastAsia" w:ascii="方正黑体_GBK" w:eastAsia="方正黑体_GBK"/>
        </w:rPr>
        <w:t>第六章  附则</w:t>
      </w:r>
    </w:p>
    <w:p>
      <w:pPr>
        <w:pStyle w:val="60"/>
        <w:spacing w:line="560" w:lineRule="exact"/>
        <w:ind w:firstLine="632" w:firstLineChars="200"/>
      </w:pPr>
      <w:r>
        <w:rPr>
          <w:rFonts w:hint="eastAsia"/>
          <w:b/>
          <w:bCs/>
        </w:rPr>
        <w:t>第</w:t>
      </w:r>
      <w:r>
        <w:rPr>
          <w:b/>
          <w:bCs/>
        </w:rPr>
        <w:t>二十九</w:t>
      </w:r>
      <w:r>
        <w:rPr>
          <w:rFonts w:hint="eastAsia"/>
          <w:b/>
          <w:bCs/>
        </w:rPr>
        <w:t xml:space="preserve">条 </w:t>
      </w:r>
      <w:r>
        <w:rPr>
          <w:rFonts w:hint="eastAsia"/>
        </w:rPr>
        <w:t>本办法下列用语的含义：</w:t>
      </w:r>
    </w:p>
    <w:p>
      <w:pPr>
        <w:pStyle w:val="60"/>
        <w:spacing w:line="560" w:lineRule="exact"/>
        <w:ind w:firstLine="632" w:firstLineChars="200"/>
      </w:pPr>
      <w:r>
        <w:rPr>
          <w:rFonts w:hint="eastAsia"/>
        </w:rPr>
        <w:t>“旅客”指持中国护照、中国入出境通行证、中国旅行证、港澳居民来往内地通行证、港澳同胞回乡证、台湾居民来往大陆通行证的中国籍、外国籍、无国籍人员。</w:t>
      </w:r>
    </w:p>
    <w:p>
      <w:pPr>
        <w:pStyle w:val="60"/>
        <w:spacing w:line="560" w:lineRule="exact"/>
        <w:ind w:firstLine="632" w:firstLineChars="200"/>
      </w:pPr>
      <w:r>
        <w:rPr>
          <w:rFonts w:hint="eastAsia"/>
        </w:rPr>
        <w:t>“合作中心工作人员”指持工作证、进出合作中心专用通行证件或由地方政府提供的合作中心内商业、金融单位从业人员、工勤人员，政府管理部门人员等。</w:t>
      </w:r>
    </w:p>
    <w:p>
      <w:pPr>
        <w:spacing w:line="560" w:lineRule="exact"/>
        <w:ind w:firstLine="632" w:firstLineChars="200"/>
      </w:pPr>
      <w:r>
        <w:rPr>
          <w:b/>
          <w:bCs/>
          <w:szCs w:val="32"/>
        </w:rPr>
        <w:t>第三十条</w:t>
      </w:r>
      <w:r>
        <w:rPr>
          <w:rFonts w:hint="eastAsia"/>
          <w:b/>
        </w:rPr>
        <w:t xml:space="preserve"> </w:t>
      </w:r>
      <w:r>
        <w:t>境内地区进出中方区域的货物中，运抵国（地区）或启运国（地区）为中国关境之外的其他国家（地区）的，列入海关进出口货物贸易统计，其他货物根据海关管理需要列入海关单项统计，但法律、行政法规和海关总署另有规定的除外。</w:t>
      </w:r>
    </w:p>
    <w:p>
      <w:pPr>
        <w:spacing w:line="560" w:lineRule="exact"/>
        <w:ind w:firstLine="632" w:firstLineChars="200"/>
      </w:pPr>
      <w:r>
        <w:rPr>
          <w:rFonts w:hint="eastAsia"/>
          <w:b/>
          <w:bCs/>
        </w:rPr>
        <w:t>第</w:t>
      </w:r>
      <w:r>
        <w:rPr>
          <w:b/>
          <w:bCs/>
        </w:rPr>
        <w:t>三十一</w:t>
      </w:r>
      <w:r>
        <w:rPr>
          <w:rFonts w:hint="eastAsia"/>
          <w:b/>
          <w:bCs/>
        </w:rPr>
        <w:t>条</w:t>
      </w:r>
      <w:r>
        <w:rPr>
          <w:rFonts w:hint="eastAsia"/>
          <w:b/>
        </w:rPr>
        <w:t xml:space="preserve"> </w:t>
      </w:r>
      <w:r>
        <w:t>违反本办法规定，依法应当给予行政处罚的，由海关依法予以处理；构成犯罪的，依法追究刑事责任。</w:t>
      </w:r>
    </w:p>
    <w:p>
      <w:pPr>
        <w:spacing w:line="560" w:lineRule="exact"/>
        <w:ind w:firstLine="632" w:firstLineChars="200"/>
      </w:pPr>
      <w:r>
        <w:rPr>
          <w:rFonts w:hint="eastAsia"/>
          <w:b/>
          <w:bCs/>
        </w:rPr>
        <w:t>第三十</w:t>
      </w:r>
      <w:r>
        <w:rPr>
          <w:b/>
          <w:bCs/>
        </w:rPr>
        <w:t>二</w:t>
      </w:r>
      <w:r>
        <w:rPr>
          <w:rFonts w:hint="eastAsia"/>
          <w:b/>
          <w:bCs/>
        </w:rPr>
        <w:t>条</w:t>
      </w:r>
      <w:r>
        <w:rPr>
          <w:rFonts w:hint="eastAsia"/>
          <w:b/>
        </w:rPr>
        <w:t xml:space="preserve"> </w:t>
      </w:r>
      <w:r>
        <w:t>本办法由乌鲁木齐海关负责解释。</w:t>
      </w:r>
    </w:p>
    <w:p>
      <w:pPr>
        <w:spacing w:line="560" w:lineRule="exact"/>
        <w:ind w:firstLine="632" w:firstLineChars="200"/>
      </w:pPr>
      <w:r>
        <w:rPr>
          <w:rFonts w:hint="eastAsia"/>
          <w:b/>
          <w:bCs/>
        </w:rPr>
        <w:t>第三十</w:t>
      </w:r>
      <w:r>
        <w:rPr>
          <w:b/>
          <w:bCs/>
        </w:rPr>
        <w:t>三</w:t>
      </w:r>
      <w:r>
        <w:rPr>
          <w:rFonts w:hint="eastAsia"/>
          <w:b/>
          <w:bCs/>
        </w:rPr>
        <w:t>条</w:t>
      </w:r>
      <w:r>
        <w:rPr>
          <w:rFonts w:hint="eastAsia"/>
          <w:b/>
        </w:rPr>
        <w:t xml:space="preserve"> </w:t>
      </w:r>
      <w:r>
        <w:t>本办法自</w:t>
      </w:r>
      <w:r>
        <w:rPr>
          <w:rFonts w:hint="eastAsia"/>
        </w:rPr>
        <w:t>2023年9</w:t>
      </w:r>
      <w:r>
        <w:t>月</w:t>
      </w:r>
      <w:r>
        <w:rPr>
          <w:rFonts w:hint="eastAsia"/>
        </w:rPr>
        <w:t>1</w:t>
      </w:r>
      <w:r>
        <w:t>日起实施。《中华人民共和国乌鲁木齐海关对中哈霍尔果斯国际边境合作中心中方区域的监管办法》（乌鲁木齐海关公告2013年第1号）同时废止。</w:t>
      </w:r>
    </w:p>
    <w:sectPr>
      <w:footerReference r:id="rId4" w:type="first"/>
      <w:footerReference r:id="rId3" w:type="default"/>
      <w:pgSz w:w="11907" w:h="16840"/>
      <w:pgMar w:top="2098" w:right="1474" w:bottom="1985" w:left="1588" w:header="1814" w:footer="1474" w:gutter="0"/>
      <w:pgNumType w:start="1"/>
      <w:cols w:space="720" w:num="1"/>
      <w:titlePg/>
      <w:docGrid w:type="linesAndChars" w:linePitch="580"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32"/>
        <w:szCs w:val="32"/>
      </w:rPr>
    </w:pPr>
    <w:r>
      <w:rPr>
        <w:sz w:val="32"/>
        <w:szCs w:val="32"/>
      </w:rPr>
      <w:fldChar w:fldCharType="begin"/>
    </w:r>
    <w:r>
      <w:rPr>
        <w:sz w:val="32"/>
        <w:szCs w:val="32"/>
      </w:rPr>
      <w:instrText xml:space="preserve">Page</w:instrText>
    </w:r>
    <w:r>
      <w:rPr>
        <w:sz w:val="32"/>
        <w:szCs w:val="32"/>
      </w:rPr>
      <w:fldChar w:fldCharType="separate"/>
    </w:r>
    <w:r>
      <w:rPr>
        <w:sz w:val="32"/>
        <w:szCs w:val="32"/>
      </w:rPr>
      <w:t>7</w:t>
    </w:r>
    <w:r>
      <w:rPr>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hd w:val="pct10" w:color="auto" w:fill="FFFFFF"/>
      </w:rPr>
    </w:pPr>
    <w:r>
      <w:rPr>
        <w:sz w:val="32"/>
        <w:szCs w:val="32"/>
        <w:shd w:val="pct10" w:color="auto" w:fill="FFFFFF"/>
      </w:rPr>
      <w:t>1</w:t>
    </w:r>
  </w:p>
  <w:p>
    <w:pPr>
      <w:pStyle w:val="18"/>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6DDC3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rPr>
  </w:style>
  <w:style w:type="paragraph" w:styleId="4">
    <w:name w:val="heading 3"/>
    <w:basedOn w:val="1"/>
    <w:next w:val="1"/>
    <w:uiPriority w:val="0"/>
    <w:pPr>
      <w:keepNext/>
      <w:keepLines/>
      <w:widowControl w:val="0"/>
      <w:spacing w:before="260" w:after="260" w:line="415" w:lineRule="auto"/>
      <w:outlineLvl w:val="2"/>
    </w:pPr>
    <w:rPr>
      <w:b/>
    </w:rPr>
  </w:style>
  <w:style w:type="paragraph" w:styleId="5">
    <w:name w:val="heading 4"/>
    <w:basedOn w:val="1"/>
    <w:next w:val="1"/>
    <w:uiPriority w:val="0"/>
    <w:pPr>
      <w:keepNext/>
      <w:keepLines/>
      <w:widowControl w:val="0"/>
      <w:spacing w:before="280" w:after="290" w:line="377" w:lineRule="auto"/>
      <w:outlineLvl w:val="3"/>
    </w:pPr>
    <w:rPr>
      <w:rFonts w:ascii="Arial" w:hAnsi="Arial" w:eastAsia="黑体"/>
      <w:b/>
      <w:sz w:val="28"/>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index 5"/>
    <w:basedOn w:val="1"/>
    <w:next w:val="1"/>
    <w:qFormat/>
    <w:uiPriority w:val="0"/>
    <w:pPr>
      <w:ind w:left="1680"/>
    </w:pPr>
  </w:style>
  <w:style w:type="paragraph" w:styleId="7">
    <w:name w:val="Balloon Text"/>
    <w:basedOn w:val="1"/>
    <w:qFormat/>
    <w:uiPriority w:val="0"/>
    <w:rPr>
      <w:sz w:val="18"/>
      <w:szCs w:val="18"/>
    </w:rPr>
  </w:style>
  <w:style w:type="paragraph" w:styleId="8">
    <w:name w:val="footer"/>
    <w:basedOn w:val="1"/>
    <w:uiPriority w:val="0"/>
    <w:pPr>
      <w:tabs>
        <w:tab w:val="center" w:pos="4153"/>
        <w:tab w:val="right" w:pos="8307"/>
      </w:tabs>
      <w:snapToGrid w:val="0"/>
      <w:jc w:val="left"/>
    </w:pPr>
    <w:rPr>
      <w:sz w:val="18"/>
    </w:rPr>
  </w:style>
  <w:style w:type="paragraph" w:styleId="9">
    <w:name w:val="header"/>
    <w:basedOn w:val="1"/>
    <w:uiPriority w:val="0"/>
    <w:pPr>
      <w:pBdr>
        <w:bottom w:val="single" w:color="auto" w:sz="6" w:space="1"/>
      </w:pBdr>
      <w:tabs>
        <w:tab w:val="center" w:pos="4153"/>
        <w:tab w:val="right" w:pos="8307"/>
      </w:tabs>
      <w:snapToGrid w:val="0"/>
      <w:jc w:val="center"/>
    </w:pPr>
    <w:rPr>
      <w:sz w:val="18"/>
    </w:rPr>
  </w:style>
  <w:style w:type="paragraph" w:styleId="10">
    <w:name w:val="index heading"/>
    <w:basedOn w:val="1"/>
    <w:qFormat/>
    <w:uiPriority w:val="0"/>
    <w:rPr>
      <w:b/>
      <w:bCs/>
    </w:rPr>
  </w:style>
  <w:style w:type="paragraph" w:styleId="11">
    <w:name w:val="index 7"/>
    <w:basedOn w:val="1"/>
    <w:next w:val="1"/>
    <w:qFormat/>
    <w:uiPriority w:val="0"/>
    <w:pPr>
      <w:ind w:left="2520"/>
    </w:pPr>
  </w:style>
  <w:style w:type="paragraph" w:styleId="12">
    <w:name w:val="toc 9"/>
    <w:basedOn w:val="1"/>
    <w:next w:val="1"/>
    <w:qFormat/>
    <w:uiPriority w:val="0"/>
    <w:pPr>
      <w:ind w:left="3360"/>
    </w:pPr>
  </w:style>
  <w:style w:type="paragraph" w:customStyle="1" w:styleId="15">
    <w:name w:val="样式 小五"/>
    <w:uiPriority w:val="0"/>
    <w:pPr>
      <w:widowControl w:val="0"/>
      <w:tabs>
        <w:tab w:val="center" w:pos="4153"/>
        <w:tab w:val="right" w:pos="8307"/>
      </w:tabs>
      <w:snapToGrid w:val="0"/>
    </w:pPr>
    <w:rPr>
      <w:rFonts w:ascii="Times New Roman" w:hAnsi="Times New Roman" w:eastAsia="方正仿宋_GBK" w:cs="Times New Roman"/>
      <w:kern w:val="2"/>
      <w:sz w:val="18"/>
      <w:lang w:val="en-US" w:eastAsia="zh-CN" w:bidi="ar-SA"/>
    </w:rPr>
  </w:style>
  <w:style w:type="paragraph" w:customStyle="1" w:styleId="16">
    <w:name w:val="样式 1 小五"/>
    <w:uiPriority w:val="0"/>
    <w:pPr>
      <w:widowControl w:val="0"/>
      <w:tabs>
        <w:tab w:val="center" w:pos="4153"/>
        <w:tab w:val="right" w:pos="8307"/>
      </w:tabs>
      <w:snapToGrid w:val="0"/>
    </w:pPr>
    <w:rPr>
      <w:rFonts w:ascii="Times New Roman" w:hAnsi="Times New Roman" w:eastAsia="方正仿宋_GBK" w:cs="Times New Roman"/>
      <w:kern w:val="2"/>
      <w:sz w:val="18"/>
      <w:lang w:val="en-US" w:eastAsia="zh-CN" w:bidi="ar-SA"/>
    </w:rPr>
  </w:style>
  <w:style w:type="paragraph" w:customStyle="1" w:styleId="17">
    <w:name w:val="样式 2 小五"/>
    <w:uiPriority w:val="0"/>
    <w:pPr>
      <w:widowControl w:val="0"/>
      <w:tabs>
        <w:tab w:val="center" w:pos="4153"/>
        <w:tab w:val="right" w:pos="8307"/>
      </w:tabs>
      <w:snapToGrid w:val="0"/>
    </w:pPr>
    <w:rPr>
      <w:rFonts w:ascii="Times New Roman" w:hAnsi="Times New Roman" w:eastAsia="方正仿宋_GBK" w:cs="Times New Roman"/>
      <w:kern w:val="2"/>
      <w:sz w:val="18"/>
      <w:lang w:val="en-US" w:eastAsia="zh-CN" w:bidi="ar-SA"/>
    </w:rPr>
  </w:style>
  <w:style w:type="paragraph" w:customStyle="1" w:styleId="18">
    <w:name w:val="样式 3 小五"/>
    <w:uiPriority w:val="0"/>
    <w:pPr>
      <w:widowControl w:val="0"/>
      <w:tabs>
        <w:tab w:val="center" w:pos="4153"/>
        <w:tab w:val="right" w:pos="8307"/>
      </w:tabs>
      <w:snapToGrid w:val="0"/>
    </w:pPr>
    <w:rPr>
      <w:rFonts w:ascii="Times New Roman" w:hAnsi="Times New Roman" w:eastAsia="方正仿宋_GBK" w:cs="Times New Roman"/>
      <w:kern w:val="2"/>
      <w:sz w:val="18"/>
      <w:lang w:val="en-US" w:eastAsia="zh-CN" w:bidi="ar-SA"/>
    </w:rPr>
  </w:style>
  <w:style w:type="paragraph" w:customStyle="1" w:styleId="19">
    <w:name w:val="样式 4 小五"/>
    <w:qFormat/>
    <w:uiPriority w:val="0"/>
    <w:pPr>
      <w:widowControl w:val="0"/>
      <w:tabs>
        <w:tab w:val="center" w:pos="4153"/>
        <w:tab w:val="right" w:pos="8307"/>
      </w:tabs>
      <w:snapToGrid w:val="0"/>
    </w:pPr>
    <w:rPr>
      <w:rFonts w:ascii="Times New Roman" w:hAnsi="Times New Roman" w:eastAsia="方正仿宋_GBK" w:cs="Times New Roman"/>
      <w:kern w:val="2"/>
      <w:sz w:val="18"/>
      <w:lang w:val="en-US" w:eastAsia="zh-CN" w:bidi="ar-SA"/>
    </w:rPr>
  </w:style>
  <w:style w:type="paragraph" w:customStyle="1" w:styleId="20">
    <w:name w:val="样式 5 小五"/>
    <w:uiPriority w:val="0"/>
    <w:pPr>
      <w:widowControl w:val="0"/>
      <w:tabs>
        <w:tab w:val="center" w:pos="4153"/>
        <w:tab w:val="right" w:pos="8307"/>
      </w:tabs>
      <w:snapToGrid w:val="0"/>
    </w:pPr>
    <w:rPr>
      <w:rFonts w:ascii="Times New Roman" w:hAnsi="Times New Roman" w:eastAsia="方正仿宋_GBK" w:cs="Times New Roman"/>
      <w:kern w:val="2"/>
      <w:sz w:val="18"/>
      <w:lang w:val="en-US" w:eastAsia="zh-CN" w:bidi="ar-SA"/>
    </w:rPr>
  </w:style>
  <w:style w:type="paragraph" w:customStyle="1" w:styleId="21">
    <w:name w:val="样式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2">
    <w:name w:val="样式 1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3">
    <w:name w:val="样式 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4">
    <w:name w:val="样式 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5">
    <w:name w:val="样式 4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6">
    <w:name w:val="样式 5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7">
    <w:name w:val="样式 6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8">
    <w:name w:val="样式 7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29">
    <w:name w:val="样式 8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0">
    <w:name w:val="样式 9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1">
    <w:name w:val="样式 10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2">
    <w:name w:val="样式 11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3">
    <w:name w:val="样式 12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4">
    <w:name w:val="样式 13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5">
    <w:name w:val="样式 14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6">
    <w:name w:val="样式 15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
    <w:name w:val="样式 10 磅"/>
    <w:uiPriority w:val="0"/>
    <w:pPr>
      <w:widowControl w:val="0"/>
      <w:jc w:val="both"/>
    </w:pPr>
    <w:rPr>
      <w:rFonts w:ascii="Calibri" w:hAnsi="Calibri" w:eastAsia="宋体" w:cs="Arial"/>
      <w:kern w:val="2"/>
      <w:sz w:val="21"/>
      <w:szCs w:val="22"/>
      <w:lang w:val="en-US" w:eastAsia="zh-CN" w:bidi="ar-SA"/>
    </w:rPr>
  </w:style>
  <w:style w:type="paragraph" w:customStyle="1" w:styleId="38">
    <w:name w:val="样式 1 10 磅"/>
    <w:uiPriority w:val="0"/>
    <w:pPr>
      <w:widowControl w:val="0"/>
      <w:jc w:val="both"/>
    </w:pPr>
    <w:rPr>
      <w:rFonts w:ascii="Calibri" w:hAnsi="Calibri" w:eastAsia="宋体" w:cs="Arial"/>
      <w:kern w:val="2"/>
      <w:sz w:val="21"/>
      <w:szCs w:val="22"/>
      <w:lang w:val="en-US" w:eastAsia="zh-CN" w:bidi="ar-SA"/>
    </w:rPr>
  </w:style>
  <w:style w:type="paragraph" w:customStyle="1" w:styleId="39">
    <w:name w:val="样式 2 10 磅"/>
    <w:next w:val="19"/>
    <w:uiPriority w:val="0"/>
    <w:pPr>
      <w:widowControl w:val="0"/>
      <w:jc w:val="both"/>
    </w:pPr>
    <w:rPr>
      <w:rFonts w:ascii="Calibri" w:hAnsi="Calibri" w:eastAsia="宋体" w:cs="Arial"/>
      <w:kern w:val="2"/>
      <w:sz w:val="21"/>
      <w:szCs w:val="22"/>
      <w:lang w:val="en-US" w:eastAsia="zh-CN" w:bidi="ar-SA"/>
    </w:rPr>
  </w:style>
  <w:style w:type="paragraph" w:customStyle="1" w:styleId="40">
    <w:name w:val="样式 3 10 磅"/>
    <w:uiPriority w:val="0"/>
    <w:pPr>
      <w:widowControl w:val="0"/>
      <w:jc w:val="both"/>
    </w:pPr>
    <w:rPr>
      <w:rFonts w:ascii="Calibri" w:hAnsi="Calibri" w:eastAsia="宋体" w:cs="Arial"/>
      <w:kern w:val="2"/>
      <w:sz w:val="21"/>
      <w:szCs w:val="22"/>
      <w:lang w:val="en-US" w:eastAsia="zh-CN" w:bidi="ar-SA"/>
    </w:rPr>
  </w:style>
  <w:style w:type="paragraph" w:customStyle="1" w:styleId="41">
    <w:name w:val="样式 4 10 磅"/>
    <w:uiPriority w:val="0"/>
    <w:pPr>
      <w:widowControl w:val="0"/>
      <w:jc w:val="both"/>
    </w:pPr>
    <w:rPr>
      <w:rFonts w:ascii="Calibri" w:hAnsi="Calibri" w:eastAsia="宋体" w:cs="Arial"/>
      <w:kern w:val="2"/>
      <w:sz w:val="21"/>
      <w:szCs w:val="22"/>
      <w:lang w:val="en-US" w:eastAsia="zh-CN" w:bidi="ar-SA"/>
    </w:rPr>
  </w:style>
  <w:style w:type="paragraph" w:customStyle="1" w:styleId="42">
    <w:name w:val="样式 16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3">
    <w:name w:val="样式 17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4">
    <w:name w:val="样式 18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5">
    <w:name w:val="样式 19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6">
    <w:name w:val="样式 20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7">
    <w:name w:val="样式 21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8">
    <w:name w:val="样式 22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49">
    <w:name w:val="样式 23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0">
    <w:name w:val="样式 24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1">
    <w:name w:val="样式 25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2">
    <w:name w:val="样式 26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3">
    <w:name w:val="样式 27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
    <w:name w:val="样式 28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
    <w:name w:val="样式 29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6">
    <w:name w:val="样式 30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7">
    <w:name w:val="样式 31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8">
    <w:name w:val="样式 32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9">
    <w:name w:val="样式 33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0">
    <w:name w:val="样式 34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1">
    <w:name w:val="样式 35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
    <w:name w:val="样式 36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
    <w:name w:val="样式 37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4">
    <w:name w:val="样式 38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5">
    <w:name w:val="样式 39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6">
    <w:name w:val="样式 40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7">
    <w:name w:val="样式 41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8">
    <w:name w:val="样式 4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9">
    <w:name w:val="样式 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样式 4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1">
    <w:name w:val="样式 44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2">
    <w:name w:val="样式 45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3">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样式 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样式 1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样式 1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 1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样式 38 10 磅"/>
    <w:next w:val="9"/>
    <w:qFormat/>
    <w:uiPriority w:val="0"/>
    <w:pPr>
      <w:widowControl w:val="0"/>
      <w:jc w:val="both"/>
    </w:pPr>
    <w:rPr>
      <w:rFonts w:ascii="Calibri" w:hAnsi="Calibri" w:eastAsia="宋体" w:cs="Arial"/>
      <w:kern w:val="2"/>
      <w:sz w:val="21"/>
      <w:szCs w:val="22"/>
      <w:lang w:val="en-US" w:eastAsia="zh-CN" w:bidi="ar-SA"/>
    </w:rPr>
  </w:style>
  <w:style w:type="paragraph" w:customStyle="1" w:styleId="82">
    <w:name w:val="样式 14 10 磅"/>
    <w:qFormat/>
    <w:uiPriority w:val="0"/>
    <w:pPr>
      <w:widowControl w:val="0"/>
      <w:jc w:val="both"/>
    </w:pPr>
    <w:rPr>
      <w:rFonts w:ascii="Calibri" w:hAnsi="Calibri" w:eastAsia="宋体" w:cs="Arial"/>
      <w:kern w:val="2"/>
      <w:sz w:val="21"/>
      <w:szCs w:val="22"/>
      <w:lang w:val="en-US" w:eastAsia="zh-CN" w:bidi="ar-SA"/>
    </w:rPr>
  </w:style>
  <w:style w:type="paragraph" w:customStyle="1" w:styleId="83">
    <w:name w:val="样式 1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样式 16 10 磅"/>
    <w:qFormat/>
    <w:uiPriority w:val="0"/>
    <w:pPr>
      <w:widowControl w:val="0"/>
      <w:jc w:val="both"/>
    </w:pPr>
    <w:rPr>
      <w:rFonts w:ascii="Calibri" w:hAnsi="Calibri" w:eastAsia="宋体" w:cs="Arial"/>
      <w:kern w:val="2"/>
      <w:sz w:val="21"/>
      <w:szCs w:val="22"/>
      <w:lang w:val="en-US" w:eastAsia="zh-CN" w:bidi="ar-SA"/>
    </w:rPr>
  </w:style>
  <w:style w:type="paragraph" w:customStyle="1" w:styleId="85">
    <w:name w:val="样式 17 10 磅"/>
    <w:qFormat/>
    <w:uiPriority w:val="0"/>
    <w:pPr>
      <w:widowControl w:val="0"/>
      <w:jc w:val="both"/>
    </w:pPr>
    <w:rPr>
      <w:rFonts w:ascii="Calibri" w:hAnsi="Calibri" w:eastAsia="宋体" w:cs="Arial"/>
      <w:kern w:val="2"/>
      <w:sz w:val="21"/>
      <w:szCs w:val="22"/>
      <w:lang w:val="en-US" w:eastAsia="zh-CN" w:bidi="ar-SA"/>
    </w:rPr>
  </w:style>
  <w:style w:type="paragraph" w:customStyle="1" w:styleId="86">
    <w:name w:val="样式 1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样式 1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样式 2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21 10 磅"/>
    <w:qFormat/>
    <w:uiPriority w:val="0"/>
    <w:pPr>
      <w:widowControl w:val="0"/>
      <w:jc w:val="both"/>
    </w:pPr>
    <w:rPr>
      <w:rFonts w:ascii="Calibri" w:hAnsi="Calibri" w:eastAsia="宋体" w:cs="Arial"/>
      <w:kern w:val="2"/>
      <w:sz w:val="21"/>
      <w:szCs w:val="22"/>
      <w:lang w:val="en-US" w:eastAsia="zh-CN" w:bidi="ar-SA"/>
    </w:rPr>
  </w:style>
  <w:style w:type="paragraph" w:customStyle="1" w:styleId="90">
    <w:name w:val="样式 2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样式 2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样式 2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样式 2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样式 2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样式 2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样式 2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样式 3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样式 3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 3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样式 3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样式 3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样式 3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样式 46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6">
    <w:name w:val="样式 47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7">
    <w:name w:val="样式 48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8">
    <w:name w:val="样式 49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9">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110">
    <w:name w:val="样式 51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1">
    <w:name w:val="样式 50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2">
    <w:name w:val="样式 5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3">
    <w:name w:val="样式 5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4">
    <w:name w:val="样式 54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5">
    <w:name w:val="样式 55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6">
    <w:name w:val="样式 56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7">
    <w:name w:val="样式 70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8">
    <w:name w:val="样式 57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9">
    <w:name w:val="样式 58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0">
    <w:name w:val="样式 59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1">
    <w:name w:val="样式 60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2">
    <w:name w:val="样式 61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3">
    <w:name w:val="样式 6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4">
    <w:name w:val="样式 6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5">
    <w:name w:val="样式 66 三号"/>
    <w:qFormat/>
    <w:uiPriority w:val="0"/>
    <w:pPr>
      <w:widowControl w:val="0"/>
      <w:jc w:val="both"/>
    </w:pPr>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7</Pages>
  <Words>3035</Words>
  <Characters>3046</Characters>
  <Lines>141</Lines>
  <Paragraphs>57</Paragraphs>
  <TotalTime>1650</TotalTime>
  <ScaleCrop>false</ScaleCrop>
  <LinksUpToDate>false</LinksUpToDate>
  <CharactersWithSpaces>3093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2023-03-28T09:21:00Z</dcterms:created>
  <dc:creator>AutoBVT</dc:creator>
  <cp:lastModifiedBy>Administrator</cp:lastModifiedBy>
  <cp:lastPrinted>2023-08-01T08:09:00Z</cp:lastPrinted>
  <dcterms:modified xsi:type="dcterms:W3CDTF">2023-08-29T02:39:18Z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D9DFA125307D45B3B15E110F0C3278A6_13</vt:lpwstr>
  </property>
</Properties>
</file>