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jc w:val="left"/>
        <w:textAlignment w:val="auto"/>
        <w:rPr>
          <w:rFonts w:hint="eastAsia" w:ascii="宋体" w:hAnsi="宋体" w:eastAsia="宋体" w:cs="FZDBSJW--GB1-0"/>
          <w:b w:val="0"/>
          <w:color w:val="auto"/>
          <w:sz w:val="64"/>
          <w:szCs w:val="64"/>
          <w:highlight w:val="none"/>
          <w:lang w:val="en-US" w:eastAsia="zh-CN"/>
        </w:rPr>
      </w:pPr>
      <w:r>
        <w:rPr>
          <w:rFonts w:hint="eastAsia" w:ascii="宋体" w:hAnsi="宋体" w:eastAsia="黑体" w:cs="黑体"/>
          <w:b w:val="0"/>
          <w:color w:val="auto"/>
          <w:sz w:val="32"/>
          <w:szCs w:val="32"/>
          <w:highlight w:val="none"/>
          <w:lang w:val="en-US" w:eastAsia="zh-CN"/>
        </w:rPr>
        <w:t>附  件</w:t>
      </w:r>
      <w:r>
        <w:rPr>
          <w:rFonts w:hint="eastAsia" w:ascii="宋体" w:hAnsi="宋体" w:eastAsia="宋体" w:cs="FZDBSJW--GB1-0"/>
          <w:b w:val="0"/>
          <w:color w:val="auto"/>
          <w:sz w:val="64"/>
          <w:szCs w:val="6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FZDBSJW--GB1-0" w:cs="FZDBSJW--GB1-0"/>
          <w:b w:val="0"/>
          <w:color w:val="auto"/>
          <w:sz w:val="64"/>
          <w:szCs w:val="64"/>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FZDBSJW--GB1-0" w:cs="FZDBSJW--GB1-0"/>
          <w:b w:val="0"/>
          <w:color w:val="auto"/>
          <w:sz w:val="64"/>
          <w:szCs w:val="64"/>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FZDBSJW--GB1-0" w:cs="FZDBSJW--GB1-0"/>
          <w:b w:val="0"/>
          <w:color w:val="auto"/>
          <w:sz w:val="64"/>
          <w:szCs w:val="64"/>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hint="eastAsia" w:ascii="宋体" w:hAnsi="宋体" w:eastAsia="方正小标宋简体" w:cs="方正小标宋简体"/>
          <w:b w:val="0"/>
          <w:color w:val="auto"/>
          <w:sz w:val="56"/>
          <w:szCs w:val="56"/>
          <w:highlight w:val="none"/>
          <w:lang w:eastAsia="zh-CN"/>
        </w:rPr>
      </w:pPr>
      <w:r>
        <w:rPr>
          <w:rFonts w:hint="eastAsia" w:ascii="宋体" w:hAnsi="宋体" w:eastAsia="方正小标宋简体" w:cs="方正小标宋简体"/>
          <w:b w:val="0"/>
          <w:color w:val="auto"/>
          <w:sz w:val="56"/>
          <w:szCs w:val="56"/>
          <w:highlight w:val="none"/>
          <w:lang w:eastAsia="zh-CN"/>
        </w:rPr>
        <w:t>霍尔果斯市“十五五”农业农村</w:t>
      </w: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hint="eastAsia" w:ascii="宋体" w:hAnsi="宋体" w:eastAsia="方正小标宋简体" w:cs="方正小标宋简体"/>
          <w:b w:val="0"/>
          <w:color w:val="auto"/>
          <w:sz w:val="64"/>
          <w:szCs w:val="64"/>
          <w:highlight w:val="none"/>
        </w:rPr>
      </w:pPr>
      <w:r>
        <w:rPr>
          <w:rFonts w:hint="eastAsia" w:ascii="宋体" w:hAnsi="宋体" w:eastAsia="方正小标宋简体" w:cs="方正小标宋简体"/>
          <w:b w:val="0"/>
          <w:color w:val="auto"/>
          <w:sz w:val="56"/>
          <w:szCs w:val="56"/>
          <w:highlight w:val="none"/>
          <w:lang w:eastAsia="zh-CN"/>
        </w:rPr>
        <w:t>发展规划</w:t>
      </w:r>
      <w:r>
        <w:rPr>
          <w:rFonts w:hint="eastAsia" w:ascii="宋体" w:hAnsi="宋体" w:eastAsia="方正小标宋简体" w:cs="方正小标宋简体"/>
          <w:b w:val="0"/>
          <w:color w:val="auto"/>
          <w:sz w:val="64"/>
          <w:szCs w:val="64"/>
          <w:highlight w:val="none"/>
        </w:rPr>
        <w:t xml:space="preserve"> </w:t>
      </w: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方正楷体_GBK" w:cs="方正楷体_GBK"/>
          <w:b/>
          <w:color w:val="auto"/>
          <w:sz w:val="48"/>
          <w:szCs w:val="48"/>
          <w:highlight w:val="none"/>
        </w:rPr>
      </w:pPr>
      <w:r>
        <w:rPr>
          <w:rFonts w:hint="eastAsia" w:ascii="宋体" w:hAnsi="宋体" w:eastAsia="方正楷体简体" w:cs="方正楷体简体"/>
          <w:b/>
          <w:color w:val="auto"/>
          <w:sz w:val="48"/>
          <w:szCs w:val="48"/>
          <w:highlight w:val="none"/>
        </w:rPr>
        <w:t>（</w:t>
      </w:r>
      <w:r>
        <w:rPr>
          <w:rFonts w:hint="eastAsia" w:ascii="宋体" w:hAnsi="宋体" w:eastAsia="方正楷体简体" w:cs="方正楷体简体"/>
          <w:b/>
          <w:color w:val="auto"/>
          <w:sz w:val="48"/>
          <w:szCs w:val="48"/>
          <w:highlight w:val="none"/>
          <w:lang w:eastAsia="zh-CN"/>
        </w:rPr>
        <w:t>征求意见稿</w:t>
      </w:r>
      <w:r>
        <w:rPr>
          <w:rFonts w:hint="eastAsia" w:ascii="宋体" w:hAnsi="宋体" w:eastAsia="方正楷体简体" w:cs="方正楷体简体"/>
          <w:b/>
          <w:color w:val="auto"/>
          <w:sz w:val="48"/>
          <w:szCs w:val="48"/>
          <w:highlight w:val="none"/>
        </w:rPr>
        <w:t xml:space="preserve">） </w:t>
      </w: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6"/>
          <w:szCs w:val="36"/>
          <w:highlight w:val="none"/>
        </w:rPr>
      </w:pPr>
      <w:r>
        <w:rPr>
          <w:rFonts w:hint="eastAsia" w:ascii="宋体" w:hAnsi="宋体" w:eastAsia="黑体" w:cs="黑体"/>
          <w:b w:val="0"/>
          <w:color w:val="auto"/>
          <w:sz w:val="36"/>
          <w:szCs w:val="36"/>
          <w:highlight w:val="none"/>
          <w:lang w:eastAsia="zh-CN"/>
        </w:rPr>
        <w:t>霍尔果斯市</w:t>
      </w:r>
      <w:r>
        <w:rPr>
          <w:rFonts w:ascii="宋体" w:hAnsi="宋体" w:eastAsia="黑体" w:cs="黑体"/>
          <w:b w:val="0"/>
          <w:color w:val="auto"/>
          <w:sz w:val="36"/>
          <w:szCs w:val="36"/>
          <w:highlight w:val="none"/>
        </w:rPr>
        <w:t xml:space="preserve">农业农村局 </w:t>
      </w: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ascii="宋体" w:hAnsi="宋体" w:eastAsia="黑体" w:cs="黑体"/>
          <w:b w:val="0"/>
          <w:color w:val="auto"/>
          <w:sz w:val="31"/>
          <w:szCs w:val="31"/>
          <w:highlight w:val="none"/>
        </w:rPr>
      </w:pPr>
      <w:r>
        <w:rPr>
          <w:rFonts w:ascii="宋体" w:hAnsi="宋体" w:eastAsia="黑体" w:cs="黑体"/>
          <w:b w:val="0"/>
          <w:color w:val="auto"/>
          <w:sz w:val="36"/>
          <w:szCs w:val="36"/>
          <w:highlight w:val="none"/>
        </w:rPr>
        <w:t>2026 年</w:t>
      </w:r>
      <w:r>
        <w:rPr>
          <w:rFonts w:hint="eastAsia" w:ascii="宋体" w:hAnsi="宋体" w:eastAsia="黑体" w:cs="黑体"/>
          <w:b w:val="0"/>
          <w:color w:val="auto"/>
          <w:sz w:val="36"/>
          <w:szCs w:val="36"/>
          <w:highlight w:val="none"/>
          <w:lang w:val="en-US" w:eastAsia="zh-CN"/>
        </w:rPr>
        <w:t>9</w:t>
      </w:r>
      <w:r>
        <w:rPr>
          <w:rFonts w:ascii="宋体" w:hAnsi="宋体" w:eastAsia="黑体" w:cs="黑体"/>
          <w:b w:val="0"/>
          <w:color w:val="auto"/>
          <w:sz w:val="36"/>
          <w:szCs w:val="36"/>
          <w:highlight w:val="none"/>
        </w:rPr>
        <w:t>月</w:t>
      </w:r>
    </w:p>
    <w:p>
      <w:pPr>
        <w:keepNext w:val="0"/>
        <w:keepLines w:val="0"/>
        <w:pageBreakBefore w:val="0"/>
        <w:widowControl w:val="0"/>
        <w:kinsoku/>
        <w:wordWrap/>
        <w:overflowPunct/>
        <w:topLinePunct w:val="0"/>
        <w:autoSpaceDE/>
        <w:autoSpaceDN/>
        <w:bidi w:val="0"/>
        <w:adjustRightInd/>
        <w:snapToGrid/>
        <w:spacing w:line="700" w:lineRule="exact"/>
        <w:ind w:left="0"/>
        <w:jc w:val="both"/>
        <w:textAlignment w:val="auto"/>
        <w:rPr>
          <w:rFonts w:hint="eastAsia" w:ascii="宋体" w:hAnsi="宋体" w:eastAsia="黑体" w:cs="黑体"/>
          <w:b w:val="0"/>
          <w:bCs/>
          <w:color w:val="auto"/>
          <w:sz w:val="32"/>
          <w:szCs w:val="32"/>
          <w:highlight w:val="none"/>
          <w:lang w:eastAsia="zh-CN"/>
        </w:rPr>
      </w:pPr>
    </w:p>
    <w:p>
      <w:pPr>
        <w:spacing w:before="0" w:beforeLines="0" w:after="0" w:afterLines="0" w:line="240" w:lineRule="auto"/>
        <w:ind w:left="0" w:leftChars="0" w:right="0" w:rightChars="0" w:firstLine="0" w:firstLineChars="0"/>
        <w:jc w:val="center"/>
        <w:rPr>
          <w:rFonts w:ascii="宋体" w:hAnsi="宋体" w:eastAsia="宋体" w:cs="Times New Roman"/>
          <w:color w:val="auto"/>
          <w:sz w:val="21"/>
          <w:szCs w:val="22"/>
          <w:highlight w:val="none"/>
        </w:rPr>
        <w:sectPr>
          <w:pgSz w:w="11905" w:h="16840"/>
          <w:pgMar w:top="2098" w:right="1531" w:bottom="1984" w:left="1531" w:header="1134" w:footer="1587" w:gutter="0"/>
          <w:pgNumType w:fmt="decimal" w:start="1"/>
          <w:cols w:space="720" w:num="1"/>
        </w:sectPr>
      </w:pPr>
    </w:p>
    <w:sdt>
      <w:sdtPr>
        <w:rPr>
          <w:rFonts w:ascii="宋体" w:hAnsi="宋体" w:eastAsia="宋体" w:cs="Times New Roman"/>
          <w:sz w:val="21"/>
          <w:szCs w:val="22"/>
        </w:rPr>
        <w:id w:val="147479685"/>
        <w:docPartObj>
          <w:docPartGallery w:val="Table of Contents"/>
          <w:docPartUnique/>
        </w:docPartObj>
      </w:sdtPr>
      <w:sdtEndPr>
        <w:rPr>
          <w:rFonts w:ascii="Times New Roman" w:hAnsi="Times New Roman" w:eastAsia="宋体" w:cs="Times New Roman"/>
          <w:b/>
          <w:bCs/>
          <w:sz w:val="20"/>
          <w:szCs w:val="20"/>
        </w:rPr>
      </w:sdtEndPr>
      <w:sdtContent>
        <w:p>
          <w:pPr>
            <w:spacing w:before="0" w:beforeLines="0" w:after="0" w:afterLines="0" w:line="240" w:lineRule="auto"/>
            <w:ind w:left="0" w:leftChars="0" w:right="0" w:rightChars="0" w:firstLine="0" w:firstLineChars="0"/>
            <w:jc w:val="center"/>
          </w:pPr>
          <w:bookmarkStart w:id="170" w:name="_GoBack"/>
          <w:bookmarkEnd w:id="170"/>
          <w:bookmarkStart w:id="0" w:name="_Toc24629_WPSOffice_Type2"/>
          <w:r>
            <w:rPr>
              <w:rFonts w:ascii="宋体" w:hAnsi="宋体" w:eastAsia="宋体"/>
              <w:sz w:val="21"/>
            </w:rPr>
            <w:t>目录</w:t>
          </w:r>
        </w:p>
        <w:p>
          <w:pPr>
            <w:pStyle w:val="8"/>
            <w:tabs>
              <w:tab w:val="right" w:leader="dot" w:pos="8843"/>
            </w:tabs>
          </w:pPr>
          <w:r>
            <w:rPr>
              <w:b/>
              <w:bCs/>
            </w:rPr>
            <w:fldChar w:fldCharType="begin"/>
          </w:r>
          <w:r>
            <w:instrText xml:space="preserve"> HYPERLINK \l _Toc22795_WPSOffice_Level1 </w:instrText>
          </w:r>
          <w:r>
            <w:rPr>
              <w:b/>
              <w:bCs/>
            </w:rPr>
            <w:fldChar w:fldCharType="separate"/>
          </w:r>
          <w:sdt>
            <w:sdtPr>
              <w:rPr>
                <w:rFonts w:ascii="Times New Roman" w:hAnsi="Times New Roman" w:eastAsia="宋体" w:cs="Times New Roman"/>
                <w:b/>
                <w:bCs/>
                <w:sz w:val="21"/>
                <w:szCs w:val="22"/>
              </w:rPr>
              <w:id w:val="147479685"/>
              <w:placeholder>
                <w:docPart w:val="{d8605a30-cf46-4d8f-b26f-ef0731293b9a}"/>
              </w:placeholder>
            </w:sdtPr>
            <w:sdtEndPr>
              <w:rPr>
                <w:rFonts w:ascii="Times New Roman" w:hAnsi="Times New Roman" w:eastAsia="宋体" w:cs="Times New Roman"/>
                <w:b/>
                <w:bCs/>
                <w:sz w:val="21"/>
                <w:szCs w:val="22"/>
              </w:rPr>
            </w:sdtEndPr>
            <w:sdtContent>
              <w:r>
                <w:rPr>
                  <w:rFonts w:hint="eastAsia" w:ascii="宋体" w:hAnsi="宋体" w:eastAsia="黑体" w:cs="黑体"/>
                  <w:b/>
                  <w:bCs/>
                </w:rPr>
                <w:t>前言</w:t>
              </w:r>
            </w:sdtContent>
          </w:sdt>
          <w:r>
            <w:rPr>
              <w:b/>
              <w:bCs/>
            </w:rPr>
            <w:tab/>
          </w:r>
          <w:bookmarkStart w:id="1" w:name="_Toc22795_WPSOffice_Level1Page"/>
          <w:r>
            <w:rPr>
              <w:b/>
              <w:bCs/>
            </w:rPr>
            <w:t>1</w:t>
          </w:r>
          <w:bookmarkEnd w:id="1"/>
          <w:r>
            <w:rPr>
              <w:b/>
              <w:bCs/>
            </w:rPr>
            <w:fldChar w:fldCharType="end"/>
          </w:r>
        </w:p>
        <w:p>
          <w:pPr>
            <w:pStyle w:val="8"/>
            <w:tabs>
              <w:tab w:val="right" w:leader="dot" w:pos="8843"/>
            </w:tabs>
          </w:pPr>
          <w:r>
            <w:rPr>
              <w:b/>
              <w:bCs/>
            </w:rPr>
            <w:fldChar w:fldCharType="begin"/>
          </w:r>
          <w:r>
            <w:instrText xml:space="preserve"> HYPERLINK \l _Toc24629_WPSOffice_Level1 </w:instrText>
          </w:r>
          <w:r>
            <w:rPr>
              <w:b/>
              <w:bCs/>
            </w:rPr>
            <w:fldChar w:fldCharType="separate"/>
          </w:r>
          <w:sdt>
            <w:sdtPr>
              <w:rPr>
                <w:rFonts w:ascii="Times New Roman" w:hAnsi="Times New Roman" w:eastAsia="宋体" w:cs="Times New Roman"/>
                <w:b/>
                <w:bCs/>
                <w:sz w:val="21"/>
                <w:szCs w:val="22"/>
              </w:rPr>
              <w:id w:val="147479685"/>
              <w:placeholder>
                <w:docPart w:val="{e83e0f52-55c8-4f7f-b013-334605a0fc89}"/>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第一章 发展基础与形势</w:t>
              </w:r>
            </w:sdtContent>
          </w:sdt>
          <w:r>
            <w:rPr>
              <w:b/>
              <w:bCs/>
            </w:rPr>
            <w:tab/>
          </w:r>
          <w:bookmarkStart w:id="2" w:name="_Toc24629_WPSOffice_Level1Page"/>
          <w:r>
            <w:rPr>
              <w:b/>
              <w:bCs/>
            </w:rPr>
            <w:t>2</w:t>
          </w:r>
          <w:bookmarkEnd w:id="2"/>
          <w:r>
            <w:rPr>
              <w:b/>
              <w:bCs/>
            </w:rPr>
            <w:fldChar w:fldCharType="end"/>
          </w:r>
        </w:p>
        <w:p>
          <w:pPr>
            <w:pStyle w:val="9"/>
            <w:tabs>
              <w:tab w:val="right" w:leader="dot" w:pos="8843"/>
            </w:tabs>
          </w:pPr>
          <w:r>
            <w:fldChar w:fldCharType="begin"/>
          </w:r>
          <w:r>
            <w:instrText xml:space="preserve"> HYPERLINK \l _Toc24629_WPSOffice_Level2 </w:instrText>
          </w:r>
          <w:r>
            <w:fldChar w:fldCharType="separate"/>
          </w:r>
          <w:sdt>
            <w:sdtPr>
              <w:rPr>
                <w:rFonts w:ascii="Times New Roman" w:hAnsi="Times New Roman" w:eastAsia="宋体" w:cs="Times New Roman"/>
                <w:sz w:val="21"/>
                <w:szCs w:val="22"/>
              </w:rPr>
              <w:id w:val="147479685"/>
              <w:placeholder>
                <w:docPart w:val="{bba16e59-3931-4cb1-a5bc-b11539839ccb}"/>
              </w:placeholder>
            </w:sdtPr>
            <w:sdtEndPr>
              <w:rPr>
                <w:rFonts w:ascii="Times New Roman" w:hAnsi="Times New Roman" w:eastAsia="宋体" w:cs="Times New Roman"/>
                <w:sz w:val="21"/>
                <w:szCs w:val="22"/>
              </w:rPr>
            </w:sdtEndPr>
            <w:sdtContent>
              <w:r>
                <w:rPr>
                  <w:rFonts w:hint="eastAsia" w:ascii="宋体" w:hAnsi="宋体" w:eastAsia="黑体" w:cs="黑体"/>
                </w:rPr>
                <w:t>第一节 发展基础（“十四五”时期成效回顾）</w:t>
              </w:r>
            </w:sdtContent>
          </w:sdt>
          <w:r>
            <w:tab/>
          </w:r>
          <w:bookmarkStart w:id="3" w:name="_Toc24629_WPSOffice_Level2Page"/>
          <w:r>
            <w:t>2</w:t>
          </w:r>
          <w:bookmarkEnd w:id="3"/>
          <w:r>
            <w:fldChar w:fldCharType="end"/>
          </w:r>
        </w:p>
        <w:p>
          <w:pPr>
            <w:pStyle w:val="9"/>
            <w:tabs>
              <w:tab w:val="right" w:leader="dot" w:pos="8843"/>
            </w:tabs>
          </w:pPr>
          <w:r>
            <w:fldChar w:fldCharType="begin"/>
          </w:r>
          <w:r>
            <w:instrText xml:space="preserve"> HYPERLINK \l _Toc8396_WPSOffice_Level2 </w:instrText>
          </w:r>
          <w:r>
            <w:fldChar w:fldCharType="separate"/>
          </w:r>
          <w:sdt>
            <w:sdtPr>
              <w:rPr>
                <w:rFonts w:ascii="Times New Roman" w:hAnsi="Times New Roman" w:eastAsia="宋体" w:cs="Times New Roman"/>
                <w:sz w:val="21"/>
                <w:szCs w:val="22"/>
              </w:rPr>
              <w:id w:val="147479685"/>
              <w:placeholder>
                <w:docPart w:val="{e80f4d4f-195f-4674-b092-53249fd66cea}"/>
              </w:placeholder>
            </w:sdtPr>
            <w:sdtEndPr>
              <w:rPr>
                <w:rFonts w:ascii="Times New Roman" w:hAnsi="Times New Roman" w:eastAsia="宋体" w:cs="Times New Roman"/>
                <w:sz w:val="21"/>
                <w:szCs w:val="22"/>
              </w:rPr>
            </w:sdtEndPr>
            <w:sdtContent>
              <w:r>
                <w:rPr>
                  <w:rFonts w:hint="eastAsia" w:ascii="宋体" w:hAnsi="宋体" w:eastAsia="黑体" w:cs="黑体"/>
                </w:rPr>
                <w:t>第二节 面临的挑战</w:t>
              </w:r>
            </w:sdtContent>
          </w:sdt>
          <w:r>
            <w:tab/>
          </w:r>
          <w:bookmarkStart w:id="4" w:name="_Toc8396_WPSOffice_Level2Page"/>
          <w:r>
            <w:t>5</w:t>
          </w:r>
          <w:bookmarkEnd w:id="4"/>
          <w:r>
            <w:fldChar w:fldCharType="end"/>
          </w:r>
        </w:p>
        <w:p>
          <w:pPr>
            <w:pStyle w:val="9"/>
            <w:tabs>
              <w:tab w:val="right" w:leader="dot" w:pos="8843"/>
            </w:tabs>
          </w:pPr>
          <w:r>
            <w:fldChar w:fldCharType="begin"/>
          </w:r>
          <w:r>
            <w:instrText xml:space="preserve"> HYPERLINK \l _Toc14240_WPSOffice_Level2 </w:instrText>
          </w:r>
          <w:r>
            <w:fldChar w:fldCharType="separate"/>
          </w:r>
          <w:sdt>
            <w:sdtPr>
              <w:rPr>
                <w:rFonts w:ascii="Times New Roman" w:hAnsi="Times New Roman" w:eastAsia="宋体" w:cs="Times New Roman"/>
                <w:sz w:val="21"/>
                <w:szCs w:val="22"/>
              </w:rPr>
              <w:id w:val="147479685"/>
              <w:placeholder>
                <w:docPart w:val="{dc1af42f-750e-4a53-a7ca-e7355c26f51b}"/>
              </w:placeholder>
            </w:sdtPr>
            <w:sdtEndPr>
              <w:rPr>
                <w:rFonts w:ascii="Times New Roman" w:hAnsi="Times New Roman" w:eastAsia="宋体" w:cs="Times New Roman"/>
                <w:sz w:val="21"/>
                <w:szCs w:val="22"/>
              </w:rPr>
            </w:sdtEndPr>
            <w:sdtContent>
              <w:r>
                <w:rPr>
                  <w:rFonts w:hint="eastAsia" w:ascii="宋体" w:hAnsi="宋体" w:eastAsia="黑体" w:cs="黑体"/>
                </w:rPr>
                <w:t>第三节 发展机遇</w:t>
              </w:r>
            </w:sdtContent>
          </w:sdt>
          <w:r>
            <w:tab/>
          </w:r>
          <w:bookmarkStart w:id="5" w:name="_Toc14240_WPSOffice_Level2Page"/>
          <w:r>
            <w:t>7</w:t>
          </w:r>
          <w:bookmarkEnd w:id="5"/>
          <w:r>
            <w:fldChar w:fldCharType="end"/>
          </w:r>
        </w:p>
        <w:p>
          <w:pPr>
            <w:pStyle w:val="8"/>
            <w:tabs>
              <w:tab w:val="right" w:leader="dot" w:pos="8843"/>
            </w:tabs>
          </w:pPr>
          <w:r>
            <w:rPr>
              <w:b/>
              <w:bCs/>
            </w:rPr>
            <w:fldChar w:fldCharType="begin"/>
          </w:r>
          <w:r>
            <w:instrText xml:space="preserve"> HYPERLINK \l _Toc8396_WPSOffice_Level1 </w:instrText>
          </w:r>
          <w:r>
            <w:rPr>
              <w:b/>
              <w:bCs/>
            </w:rPr>
            <w:fldChar w:fldCharType="separate"/>
          </w:r>
          <w:sdt>
            <w:sdtPr>
              <w:rPr>
                <w:rFonts w:ascii="Times New Roman" w:hAnsi="Times New Roman" w:eastAsia="宋体" w:cs="Times New Roman"/>
                <w:b/>
                <w:bCs/>
                <w:sz w:val="21"/>
                <w:szCs w:val="22"/>
              </w:rPr>
              <w:id w:val="147479685"/>
              <w:placeholder>
                <w:docPart w:val="{90e40ebd-b7bc-43ca-92f8-572b1c320302}"/>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第二章 总体要求</w:t>
              </w:r>
            </w:sdtContent>
          </w:sdt>
          <w:r>
            <w:rPr>
              <w:b/>
              <w:bCs/>
            </w:rPr>
            <w:tab/>
          </w:r>
          <w:bookmarkStart w:id="6" w:name="_Toc8396_WPSOffice_Level1Page"/>
          <w:r>
            <w:rPr>
              <w:b/>
              <w:bCs/>
            </w:rPr>
            <w:t>10</w:t>
          </w:r>
          <w:bookmarkEnd w:id="6"/>
          <w:r>
            <w:rPr>
              <w:b/>
              <w:bCs/>
            </w:rPr>
            <w:fldChar w:fldCharType="end"/>
          </w:r>
        </w:p>
        <w:p>
          <w:pPr>
            <w:pStyle w:val="9"/>
            <w:tabs>
              <w:tab w:val="right" w:leader="dot" w:pos="8843"/>
            </w:tabs>
          </w:pPr>
          <w:r>
            <w:fldChar w:fldCharType="begin"/>
          </w:r>
          <w:r>
            <w:instrText xml:space="preserve"> HYPERLINK \l _Toc22153_WPSOffice_Level2 </w:instrText>
          </w:r>
          <w:r>
            <w:fldChar w:fldCharType="separate"/>
          </w:r>
          <w:sdt>
            <w:sdtPr>
              <w:rPr>
                <w:rFonts w:ascii="Times New Roman" w:hAnsi="Times New Roman" w:eastAsia="宋体" w:cs="Times New Roman"/>
                <w:sz w:val="21"/>
                <w:szCs w:val="22"/>
              </w:rPr>
              <w:id w:val="147479685"/>
              <w:placeholder>
                <w:docPart w:val="{729029d1-1333-4c8e-bc92-896e87da4459}"/>
              </w:placeholder>
            </w:sdtPr>
            <w:sdtEndPr>
              <w:rPr>
                <w:rFonts w:ascii="Times New Roman" w:hAnsi="Times New Roman" w:eastAsia="宋体" w:cs="Times New Roman"/>
                <w:sz w:val="21"/>
                <w:szCs w:val="22"/>
              </w:rPr>
            </w:sdtEndPr>
            <w:sdtContent>
              <w:r>
                <w:rPr>
                  <w:rFonts w:hint="eastAsia" w:ascii="宋体" w:hAnsi="宋体" w:eastAsia="黑体" w:cs="黑体"/>
                </w:rPr>
                <w:t>第一节 指导思想</w:t>
              </w:r>
            </w:sdtContent>
          </w:sdt>
          <w:r>
            <w:tab/>
          </w:r>
          <w:bookmarkStart w:id="7" w:name="_Toc22153_WPSOffice_Level2Page"/>
          <w:r>
            <w:t>10</w:t>
          </w:r>
          <w:bookmarkEnd w:id="7"/>
          <w:r>
            <w:fldChar w:fldCharType="end"/>
          </w:r>
        </w:p>
        <w:p>
          <w:pPr>
            <w:pStyle w:val="9"/>
            <w:tabs>
              <w:tab w:val="right" w:leader="dot" w:pos="8843"/>
            </w:tabs>
          </w:pPr>
          <w:r>
            <w:fldChar w:fldCharType="begin"/>
          </w:r>
          <w:r>
            <w:instrText xml:space="preserve"> HYPERLINK \l _Toc18451_WPSOffice_Level2 </w:instrText>
          </w:r>
          <w:r>
            <w:fldChar w:fldCharType="separate"/>
          </w:r>
          <w:sdt>
            <w:sdtPr>
              <w:rPr>
                <w:rFonts w:ascii="Times New Roman" w:hAnsi="Times New Roman" w:eastAsia="宋体" w:cs="Times New Roman"/>
                <w:sz w:val="21"/>
                <w:szCs w:val="22"/>
              </w:rPr>
              <w:id w:val="147479685"/>
              <w:placeholder>
                <w:docPart w:val="{9b235b3b-442f-468b-8d02-82827d2c7bda}"/>
              </w:placeholder>
            </w:sdtPr>
            <w:sdtEndPr>
              <w:rPr>
                <w:rFonts w:ascii="Times New Roman" w:hAnsi="Times New Roman" w:eastAsia="宋体" w:cs="Times New Roman"/>
                <w:sz w:val="21"/>
                <w:szCs w:val="22"/>
              </w:rPr>
            </w:sdtEndPr>
            <w:sdtContent>
              <w:r>
                <w:rPr>
                  <w:rFonts w:hint="eastAsia" w:ascii="宋体" w:hAnsi="宋体" w:eastAsia="黑体" w:cs="黑体"/>
                </w:rPr>
                <w:t>第二节 基本原则</w:t>
              </w:r>
            </w:sdtContent>
          </w:sdt>
          <w:r>
            <w:tab/>
          </w:r>
          <w:bookmarkStart w:id="8" w:name="_Toc18451_WPSOffice_Level2Page"/>
          <w:r>
            <w:t>10</w:t>
          </w:r>
          <w:bookmarkEnd w:id="8"/>
          <w:r>
            <w:fldChar w:fldCharType="end"/>
          </w:r>
        </w:p>
        <w:p>
          <w:pPr>
            <w:pStyle w:val="9"/>
            <w:tabs>
              <w:tab w:val="right" w:leader="dot" w:pos="8843"/>
            </w:tabs>
          </w:pPr>
          <w:r>
            <w:fldChar w:fldCharType="begin"/>
          </w:r>
          <w:r>
            <w:instrText xml:space="preserve"> HYPERLINK \l _Toc24402_WPSOffice_Level2 </w:instrText>
          </w:r>
          <w:r>
            <w:fldChar w:fldCharType="separate"/>
          </w:r>
          <w:sdt>
            <w:sdtPr>
              <w:rPr>
                <w:rFonts w:ascii="Times New Roman" w:hAnsi="Times New Roman" w:eastAsia="宋体" w:cs="Times New Roman"/>
                <w:sz w:val="21"/>
                <w:szCs w:val="22"/>
              </w:rPr>
              <w:id w:val="147479685"/>
              <w:placeholder>
                <w:docPart w:val="{fb4090e7-48ef-485a-9329-caf65f60a88d}"/>
              </w:placeholder>
            </w:sdtPr>
            <w:sdtEndPr>
              <w:rPr>
                <w:rFonts w:ascii="Times New Roman" w:hAnsi="Times New Roman" w:eastAsia="宋体" w:cs="Times New Roman"/>
                <w:sz w:val="21"/>
                <w:szCs w:val="22"/>
              </w:rPr>
            </w:sdtEndPr>
            <w:sdtContent>
              <w:r>
                <w:rPr>
                  <w:rFonts w:hint="eastAsia" w:ascii="宋体" w:hAnsi="宋体" w:eastAsia="黑体" w:cs="黑体"/>
                </w:rPr>
                <w:t>第三节 发展目标（2026—2030年）</w:t>
              </w:r>
            </w:sdtContent>
          </w:sdt>
          <w:r>
            <w:tab/>
          </w:r>
          <w:bookmarkStart w:id="9" w:name="_Toc24402_WPSOffice_Level2Page"/>
          <w:r>
            <w:t>13</w:t>
          </w:r>
          <w:bookmarkEnd w:id="9"/>
          <w:r>
            <w:fldChar w:fldCharType="end"/>
          </w:r>
        </w:p>
        <w:p>
          <w:pPr>
            <w:pStyle w:val="8"/>
            <w:tabs>
              <w:tab w:val="right" w:leader="dot" w:pos="8843"/>
            </w:tabs>
          </w:pPr>
          <w:r>
            <w:rPr>
              <w:b/>
              <w:bCs/>
            </w:rPr>
            <w:fldChar w:fldCharType="begin"/>
          </w:r>
          <w:r>
            <w:instrText xml:space="preserve"> HYPERLINK \l _Toc14240_WPSOffice_Level1 </w:instrText>
          </w:r>
          <w:r>
            <w:rPr>
              <w:b/>
              <w:bCs/>
            </w:rPr>
            <w:fldChar w:fldCharType="separate"/>
          </w:r>
          <w:sdt>
            <w:sdtPr>
              <w:rPr>
                <w:rFonts w:ascii="Times New Roman" w:hAnsi="Times New Roman" w:eastAsia="宋体" w:cs="Times New Roman"/>
                <w:b/>
                <w:bCs/>
                <w:sz w:val="21"/>
                <w:szCs w:val="22"/>
              </w:rPr>
              <w:id w:val="147479685"/>
              <w:placeholder>
                <w:docPart w:val="{63357740-b811-4a6a-9056-55a65036b4b5}"/>
              </w:placeholder>
            </w:sdtPr>
            <w:sdtEndPr>
              <w:rPr>
                <w:rFonts w:ascii="Times New Roman" w:hAnsi="Times New Roman" w:eastAsia="宋体" w:cs="Times New Roman"/>
                <w:b/>
                <w:bCs/>
                <w:sz w:val="21"/>
                <w:szCs w:val="22"/>
              </w:rPr>
            </w:sdtEndPr>
            <w:sdtContent>
              <w:r>
                <w:rPr>
                  <w:rFonts w:hint="eastAsia" w:ascii="宋体" w:hAnsi="宋体" w:eastAsia="黑体" w:cs="黑体"/>
                  <w:b/>
                  <w:bCs/>
                </w:rPr>
                <w:t>“十五五”农业农村现代化主要指标</w:t>
              </w:r>
            </w:sdtContent>
          </w:sdt>
          <w:r>
            <w:rPr>
              <w:b/>
              <w:bCs/>
            </w:rPr>
            <w:tab/>
          </w:r>
          <w:bookmarkStart w:id="10" w:name="_Toc14240_WPSOffice_Level1Page"/>
          <w:r>
            <w:rPr>
              <w:b/>
              <w:bCs/>
            </w:rPr>
            <w:t>13</w:t>
          </w:r>
          <w:bookmarkEnd w:id="10"/>
          <w:r>
            <w:rPr>
              <w:b/>
              <w:bCs/>
            </w:rPr>
            <w:fldChar w:fldCharType="end"/>
          </w:r>
        </w:p>
        <w:p>
          <w:pPr>
            <w:pStyle w:val="8"/>
            <w:tabs>
              <w:tab w:val="right" w:leader="dot" w:pos="8843"/>
            </w:tabs>
          </w:pPr>
          <w:r>
            <w:rPr>
              <w:b/>
              <w:bCs/>
            </w:rPr>
            <w:fldChar w:fldCharType="begin"/>
          </w:r>
          <w:r>
            <w:instrText xml:space="preserve"> HYPERLINK \l _Toc22153_WPSOffice_Level1 </w:instrText>
          </w:r>
          <w:r>
            <w:rPr>
              <w:b/>
              <w:bCs/>
            </w:rPr>
            <w:fldChar w:fldCharType="separate"/>
          </w:r>
          <w:sdt>
            <w:sdtPr>
              <w:rPr>
                <w:rFonts w:ascii="Times New Roman" w:hAnsi="Times New Roman" w:eastAsia="宋体" w:cs="Times New Roman"/>
                <w:b/>
                <w:bCs/>
                <w:sz w:val="21"/>
                <w:szCs w:val="22"/>
              </w:rPr>
              <w:id w:val="147479685"/>
              <w:placeholder>
                <w:docPart w:val="{f7bb53ac-740f-453c-8c53-b0f23433288a}"/>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第三章 筑牢粮食安全底线，提升农业综合生产能力</w:t>
              </w:r>
            </w:sdtContent>
          </w:sdt>
          <w:r>
            <w:rPr>
              <w:b/>
              <w:bCs/>
            </w:rPr>
            <w:tab/>
          </w:r>
          <w:bookmarkStart w:id="11" w:name="_Toc22153_WPSOffice_Level1Page"/>
          <w:r>
            <w:rPr>
              <w:b/>
              <w:bCs/>
            </w:rPr>
            <w:t>16</w:t>
          </w:r>
          <w:bookmarkEnd w:id="11"/>
          <w:r>
            <w:rPr>
              <w:b/>
              <w:bCs/>
            </w:rPr>
            <w:fldChar w:fldCharType="end"/>
          </w:r>
        </w:p>
        <w:p>
          <w:pPr>
            <w:pStyle w:val="9"/>
            <w:tabs>
              <w:tab w:val="right" w:leader="dot" w:pos="8843"/>
            </w:tabs>
          </w:pPr>
          <w:r>
            <w:fldChar w:fldCharType="begin"/>
          </w:r>
          <w:r>
            <w:instrText xml:space="preserve"> HYPERLINK \l _Toc4588_WPSOffice_Level2 </w:instrText>
          </w:r>
          <w:r>
            <w:fldChar w:fldCharType="separate"/>
          </w:r>
          <w:sdt>
            <w:sdtPr>
              <w:rPr>
                <w:rFonts w:ascii="Times New Roman" w:hAnsi="Times New Roman" w:eastAsia="宋体" w:cs="Times New Roman"/>
                <w:sz w:val="21"/>
                <w:szCs w:val="22"/>
              </w:rPr>
              <w:id w:val="147479685"/>
              <w:placeholder>
                <w:docPart w:val="{9b9d8d33-5bfd-4eee-907d-3f60424b1b20}"/>
              </w:placeholder>
            </w:sdtPr>
            <w:sdtEndPr>
              <w:rPr>
                <w:rFonts w:ascii="Times New Roman" w:hAnsi="Times New Roman" w:eastAsia="宋体" w:cs="Times New Roman"/>
                <w:sz w:val="21"/>
                <w:szCs w:val="22"/>
              </w:rPr>
            </w:sdtEndPr>
            <w:sdtContent>
              <w:r>
                <w:rPr>
                  <w:rFonts w:hint="eastAsia" w:ascii="宋体" w:hAnsi="宋体" w:eastAsia="黑体" w:cs="黑体"/>
                </w:rPr>
                <w:t>第一节 严守耕地保护红线，稳定粮食播种面积</w:t>
              </w:r>
            </w:sdtContent>
          </w:sdt>
          <w:r>
            <w:tab/>
          </w:r>
          <w:bookmarkStart w:id="12" w:name="_Toc4588_WPSOffice_Level2Page"/>
          <w:r>
            <w:t>16</w:t>
          </w:r>
          <w:bookmarkEnd w:id="12"/>
          <w:r>
            <w:fldChar w:fldCharType="end"/>
          </w:r>
        </w:p>
        <w:p>
          <w:pPr>
            <w:pStyle w:val="9"/>
            <w:tabs>
              <w:tab w:val="right" w:leader="dot" w:pos="8843"/>
            </w:tabs>
          </w:pPr>
          <w:r>
            <w:fldChar w:fldCharType="begin"/>
          </w:r>
          <w:r>
            <w:instrText xml:space="preserve"> HYPERLINK \l _Toc7503_WPSOffice_Level2 </w:instrText>
          </w:r>
          <w:r>
            <w:fldChar w:fldCharType="separate"/>
          </w:r>
          <w:sdt>
            <w:sdtPr>
              <w:rPr>
                <w:rFonts w:ascii="Times New Roman" w:hAnsi="Times New Roman" w:eastAsia="宋体" w:cs="Times New Roman"/>
                <w:sz w:val="21"/>
                <w:szCs w:val="22"/>
              </w:rPr>
              <w:id w:val="147479685"/>
              <w:placeholder>
                <w:docPart w:val="{cf6765e9-3075-46d7-a3eb-ea8b5d0bdf9e}"/>
              </w:placeholder>
            </w:sdtPr>
            <w:sdtEndPr>
              <w:rPr>
                <w:rFonts w:ascii="Times New Roman" w:hAnsi="Times New Roman" w:eastAsia="宋体" w:cs="Times New Roman"/>
                <w:sz w:val="21"/>
                <w:szCs w:val="22"/>
              </w:rPr>
            </w:sdtEndPr>
            <w:sdtContent>
              <w:r>
                <w:rPr>
                  <w:rFonts w:hint="eastAsia" w:ascii="宋体" w:hAnsi="宋体" w:eastAsia="黑体" w:cs="黑体"/>
                </w:rPr>
                <w:t>第二节 推进高标准农田建设，完善农业基础设施</w:t>
              </w:r>
            </w:sdtContent>
          </w:sdt>
          <w:r>
            <w:tab/>
          </w:r>
          <w:bookmarkStart w:id="13" w:name="_Toc7503_WPSOffice_Level2Page"/>
          <w:r>
            <w:t>17</w:t>
          </w:r>
          <w:bookmarkEnd w:id="13"/>
          <w:r>
            <w:fldChar w:fldCharType="end"/>
          </w:r>
        </w:p>
        <w:p>
          <w:pPr>
            <w:pStyle w:val="9"/>
            <w:tabs>
              <w:tab w:val="right" w:leader="dot" w:pos="8843"/>
            </w:tabs>
          </w:pPr>
          <w:r>
            <w:fldChar w:fldCharType="begin"/>
          </w:r>
          <w:r>
            <w:instrText xml:space="preserve"> HYPERLINK \l _Toc11524_WPSOffice_Level2 </w:instrText>
          </w:r>
          <w:r>
            <w:fldChar w:fldCharType="separate"/>
          </w:r>
          <w:sdt>
            <w:sdtPr>
              <w:rPr>
                <w:rFonts w:ascii="Times New Roman" w:hAnsi="Times New Roman" w:eastAsia="宋体" w:cs="Times New Roman"/>
                <w:sz w:val="21"/>
                <w:szCs w:val="22"/>
              </w:rPr>
              <w:id w:val="147479685"/>
              <w:placeholder>
                <w:docPart w:val="{289c9019-d18f-4767-95d9-5446c988e7ab}"/>
              </w:placeholder>
            </w:sdtPr>
            <w:sdtEndPr>
              <w:rPr>
                <w:rFonts w:ascii="Times New Roman" w:hAnsi="Times New Roman" w:eastAsia="宋体" w:cs="Times New Roman"/>
                <w:sz w:val="21"/>
                <w:szCs w:val="22"/>
              </w:rPr>
            </w:sdtEndPr>
            <w:sdtContent>
              <w:r>
                <w:rPr>
                  <w:rFonts w:hint="eastAsia" w:ascii="宋体" w:hAnsi="宋体" w:eastAsia="黑体" w:cs="黑体"/>
                </w:rPr>
                <w:t>第三节 强化种业振兴与农技推广，提升粮食生产科技水平</w:t>
              </w:r>
            </w:sdtContent>
          </w:sdt>
          <w:r>
            <w:tab/>
          </w:r>
          <w:bookmarkStart w:id="14" w:name="_Toc11524_WPSOffice_Level2Page"/>
          <w:r>
            <w:t>18</w:t>
          </w:r>
          <w:bookmarkEnd w:id="14"/>
          <w:r>
            <w:fldChar w:fldCharType="end"/>
          </w:r>
        </w:p>
        <w:p>
          <w:pPr>
            <w:pStyle w:val="9"/>
            <w:tabs>
              <w:tab w:val="right" w:leader="dot" w:pos="8843"/>
            </w:tabs>
          </w:pPr>
          <w:r>
            <w:fldChar w:fldCharType="begin"/>
          </w:r>
          <w:r>
            <w:instrText xml:space="preserve"> HYPERLINK \l _Toc22007_WPSOffice_Level2 </w:instrText>
          </w:r>
          <w:r>
            <w:fldChar w:fldCharType="separate"/>
          </w:r>
          <w:sdt>
            <w:sdtPr>
              <w:rPr>
                <w:rFonts w:ascii="Times New Roman" w:hAnsi="Times New Roman" w:eastAsia="宋体" w:cs="Times New Roman"/>
                <w:sz w:val="21"/>
                <w:szCs w:val="22"/>
              </w:rPr>
              <w:id w:val="147479685"/>
              <w:placeholder>
                <w:docPart w:val="{96f15faf-2104-47d4-b939-54ffa627077b}"/>
              </w:placeholder>
            </w:sdtPr>
            <w:sdtEndPr>
              <w:rPr>
                <w:rFonts w:ascii="Times New Roman" w:hAnsi="Times New Roman" w:eastAsia="宋体" w:cs="Times New Roman"/>
                <w:sz w:val="21"/>
                <w:szCs w:val="22"/>
              </w:rPr>
            </w:sdtEndPr>
            <w:sdtContent>
              <w:r>
                <w:rPr>
                  <w:rFonts w:hint="eastAsia" w:ascii="宋体" w:hAnsi="宋体" w:eastAsia="黑体" w:cs="黑体"/>
                </w:rPr>
                <w:t>第四节 强化农业防灾减灾，保障粮食生产稳定</w:t>
              </w:r>
            </w:sdtContent>
          </w:sdt>
          <w:r>
            <w:tab/>
          </w:r>
          <w:bookmarkStart w:id="15" w:name="_Toc22007_WPSOffice_Level2Page"/>
          <w:r>
            <w:t>19</w:t>
          </w:r>
          <w:bookmarkEnd w:id="15"/>
          <w:r>
            <w:fldChar w:fldCharType="end"/>
          </w:r>
        </w:p>
        <w:p>
          <w:pPr>
            <w:pStyle w:val="8"/>
            <w:tabs>
              <w:tab w:val="right" w:leader="dot" w:pos="8843"/>
            </w:tabs>
          </w:pPr>
          <w:r>
            <w:rPr>
              <w:b/>
              <w:bCs/>
            </w:rPr>
            <w:fldChar w:fldCharType="begin"/>
          </w:r>
          <w:r>
            <w:instrText xml:space="preserve"> HYPERLINK \l _Toc18451_WPSOffice_Level1 </w:instrText>
          </w:r>
          <w:r>
            <w:rPr>
              <w:b/>
              <w:bCs/>
            </w:rPr>
            <w:fldChar w:fldCharType="separate"/>
          </w:r>
          <w:sdt>
            <w:sdtPr>
              <w:rPr>
                <w:rFonts w:ascii="Times New Roman" w:hAnsi="Times New Roman" w:eastAsia="宋体" w:cs="Times New Roman"/>
                <w:b/>
                <w:bCs/>
                <w:sz w:val="21"/>
                <w:szCs w:val="22"/>
              </w:rPr>
              <w:id w:val="147479685"/>
              <w:placeholder>
                <w:docPart w:val="{05cd94d8-0df1-4fe6-a6ae-b1e21c6fd2bd}"/>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第四章 做强特色优势产业，构建现代农业产业体系</w:t>
              </w:r>
            </w:sdtContent>
          </w:sdt>
          <w:r>
            <w:rPr>
              <w:b/>
              <w:bCs/>
            </w:rPr>
            <w:tab/>
          </w:r>
          <w:bookmarkStart w:id="16" w:name="_Toc18451_WPSOffice_Level1Page"/>
          <w:r>
            <w:rPr>
              <w:b/>
              <w:bCs/>
            </w:rPr>
            <w:t>21</w:t>
          </w:r>
          <w:bookmarkEnd w:id="16"/>
          <w:r>
            <w:rPr>
              <w:b/>
              <w:bCs/>
            </w:rPr>
            <w:fldChar w:fldCharType="end"/>
          </w:r>
        </w:p>
        <w:p>
          <w:pPr>
            <w:pStyle w:val="9"/>
            <w:tabs>
              <w:tab w:val="right" w:leader="dot" w:pos="8843"/>
            </w:tabs>
          </w:pPr>
          <w:r>
            <w:fldChar w:fldCharType="begin"/>
          </w:r>
          <w:r>
            <w:instrText xml:space="preserve"> HYPERLINK \l _Toc18906_WPSOffice_Level2 </w:instrText>
          </w:r>
          <w:r>
            <w:fldChar w:fldCharType="separate"/>
          </w:r>
          <w:sdt>
            <w:sdtPr>
              <w:rPr>
                <w:rFonts w:ascii="Times New Roman" w:hAnsi="Times New Roman" w:eastAsia="宋体" w:cs="Times New Roman"/>
                <w:sz w:val="21"/>
                <w:szCs w:val="22"/>
              </w:rPr>
              <w:id w:val="147479685"/>
              <w:placeholder>
                <w:docPart w:val="{3fbc4a62-3b70-4092-80b7-8fc78c625b52}"/>
              </w:placeholder>
            </w:sdtPr>
            <w:sdtEndPr>
              <w:rPr>
                <w:rFonts w:ascii="Times New Roman" w:hAnsi="Times New Roman" w:eastAsia="宋体" w:cs="Times New Roman"/>
                <w:sz w:val="21"/>
                <w:szCs w:val="22"/>
              </w:rPr>
            </w:sdtEndPr>
            <w:sdtContent>
              <w:r>
                <w:rPr>
                  <w:rFonts w:hint="eastAsia" w:ascii="宋体" w:hAnsi="宋体" w:eastAsia="黑体" w:cs="黑体"/>
                </w:rPr>
                <w:t>第一节 优势种植业：提质扩量，打造精品产业</w:t>
              </w:r>
            </w:sdtContent>
          </w:sdt>
          <w:r>
            <w:tab/>
          </w:r>
          <w:bookmarkStart w:id="17" w:name="_Toc18906_WPSOffice_Level2Page"/>
          <w:r>
            <w:t>21</w:t>
          </w:r>
          <w:bookmarkEnd w:id="17"/>
          <w:r>
            <w:fldChar w:fldCharType="end"/>
          </w:r>
        </w:p>
        <w:p>
          <w:pPr>
            <w:pStyle w:val="9"/>
            <w:tabs>
              <w:tab w:val="right" w:leader="dot" w:pos="8843"/>
            </w:tabs>
          </w:pPr>
          <w:r>
            <w:fldChar w:fldCharType="begin"/>
          </w:r>
          <w:r>
            <w:instrText xml:space="preserve"> HYPERLINK \l _Toc32044_WPSOffice_Level2 </w:instrText>
          </w:r>
          <w:r>
            <w:fldChar w:fldCharType="separate"/>
          </w:r>
          <w:sdt>
            <w:sdtPr>
              <w:rPr>
                <w:rFonts w:ascii="Times New Roman" w:hAnsi="Times New Roman" w:eastAsia="宋体" w:cs="Times New Roman"/>
                <w:sz w:val="21"/>
                <w:szCs w:val="22"/>
              </w:rPr>
              <w:id w:val="147479685"/>
              <w:placeholder>
                <w:docPart w:val="{9e26adb9-a811-42d6-acdf-03811ce0c2f6}"/>
              </w:placeholder>
            </w:sdtPr>
            <w:sdtEndPr>
              <w:rPr>
                <w:rFonts w:ascii="Times New Roman" w:hAnsi="Times New Roman" w:eastAsia="宋体" w:cs="Times New Roman"/>
                <w:sz w:val="21"/>
                <w:szCs w:val="22"/>
              </w:rPr>
            </w:sdtEndPr>
            <w:sdtContent>
              <w:r>
                <w:rPr>
                  <w:rFonts w:hint="eastAsia" w:ascii="宋体" w:hAnsi="宋体" w:eastAsia="黑体" w:cs="黑体"/>
                </w:rPr>
                <w:t>第二节 精品畜牧业：全链发展，做强龙头产业</w:t>
              </w:r>
            </w:sdtContent>
          </w:sdt>
          <w:r>
            <w:tab/>
          </w:r>
          <w:bookmarkStart w:id="18" w:name="_Toc32044_WPSOffice_Level2Page"/>
          <w:r>
            <w:t>22</w:t>
          </w:r>
          <w:bookmarkEnd w:id="18"/>
          <w:r>
            <w:fldChar w:fldCharType="end"/>
          </w:r>
        </w:p>
        <w:p>
          <w:pPr>
            <w:pStyle w:val="9"/>
            <w:tabs>
              <w:tab w:val="right" w:leader="dot" w:pos="8843"/>
            </w:tabs>
          </w:pPr>
          <w:r>
            <w:fldChar w:fldCharType="begin"/>
          </w:r>
          <w:r>
            <w:instrText xml:space="preserve"> HYPERLINK \l _Toc25787_WPSOffice_Level2 </w:instrText>
          </w:r>
          <w:r>
            <w:fldChar w:fldCharType="separate"/>
          </w:r>
          <w:sdt>
            <w:sdtPr>
              <w:rPr>
                <w:rFonts w:ascii="Times New Roman" w:hAnsi="Times New Roman" w:eastAsia="宋体" w:cs="Times New Roman"/>
                <w:sz w:val="21"/>
                <w:szCs w:val="22"/>
              </w:rPr>
              <w:id w:val="147479685"/>
              <w:placeholder>
                <w:docPart w:val="{a81e14c0-4ab7-4a22-afc4-35834abd7e34}"/>
              </w:placeholder>
            </w:sdtPr>
            <w:sdtEndPr>
              <w:rPr>
                <w:rFonts w:ascii="Times New Roman" w:hAnsi="Times New Roman" w:eastAsia="宋体" w:cs="Times New Roman"/>
                <w:sz w:val="21"/>
                <w:szCs w:val="22"/>
              </w:rPr>
            </w:sdtEndPr>
            <w:sdtContent>
              <w:r>
                <w:rPr>
                  <w:rFonts w:hint="eastAsia" w:ascii="宋体" w:hAnsi="宋体" w:eastAsia="黑体" w:cs="黑体"/>
                </w:rPr>
                <w:t>第三节 农产品加工业：精深升级，延伸产业链条</w:t>
              </w:r>
            </w:sdtContent>
          </w:sdt>
          <w:r>
            <w:tab/>
          </w:r>
          <w:bookmarkStart w:id="19" w:name="_Toc25787_WPSOffice_Level2Page"/>
          <w:r>
            <w:t>23</w:t>
          </w:r>
          <w:bookmarkEnd w:id="19"/>
          <w:r>
            <w:fldChar w:fldCharType="end"/>
          </w:r>
        </w:p>
        <w:p>
          <w:pPr>
            <w:pStyle w:val="9"/>
            <w:tabs>
              <w:tab w:val="right" w:leader="dot" w:pos="8843"/>
            </w:tabs>
          </w:pPr>
          <w:r>
            <w:fldChar w:fldCharType="begin"/>
          </w:r>
          <w:r>
            <w:instrText xml:space="preserve"> HYPERLINK \l _Toc24108_WPSOffice_Level2 </w:instrText>
          </w:r>
          <w:r>
            <w:fldChar w:fldCharType="separate"/>
          </w:r>
          <w:sdt>
            <w:sdtPr>
              <w:rPr>
                <w:rFonts w:ascii="Times New Roman" w:hAnsi="Times New Roman" w:eastAsia="宋体" w:cs="Times New Roman"/>
                <w:sz w:val="21"/>
                <w:szCs w:val="22"/>
              </w:rPr>
              <w:id w:val="147479685"/>
              <w:placeholder>
                <w:docPart w:val="{9bebfaa4-fdc2-4e1d-be36-ed997f06abf3}"/>
              </w:placeholder>
            </w:sdtPr>
            <w:sdtEndPr>
              <w:rPr>
                <w:rFonts w:ascii="Times New Roman" w:hAnsi="Times New Roman" w:eastAsia="宋体" w:cs="Times New Roman"/>
                <w:sz w:val="21"/>
                <w:szCs w:val="22"/>
              </w:rPr>
            </w:sdtEndPr>
            <w:sdtContent>
              <w:r>
                <w:rPr>
                  <w:rFonts w:hint="eastAsia" w:ascii="宋体" w:hAnsi="宋体" w:eastAsia="黑体" w:cs="黑体"/>
                </w:rPr>
                <w:t>第四节 一二三产融合：跨界赋能，实现多元增值</w:t>
              </w:r>
            </w:sdtContent>
          </w:sdt>
          <w:r>
            <w:tab/>
          </w:r>
          <w:bookmarkStart w:id="20" w:name="_Toc24108_WPSOffice_Level2Page"/>
          <w:r>
            <w:t>24</w:t>
          </w:r>
          <w:bookmarkEnd w:id="20"/>
          <w:r>
            <w:fldChar w:fldCharType="end"/>
          </w:r>
        </w:p>
        <w:p>
          <w:pPr>
            <w:pStyle w:val="8"/>
            <w:tabs>
              <w:tab w:val="right" w:leader="dot" w:pos="8843"/>
            </w:tabs>
          </w:pPr>
          <w:r>
            <w:rPr>
              <w:b/>
              <w:bCs/>
            </w:rPr>
            <w:fldChar w:fldCharType="begin"/>
          </w:r>
          <w:r>
            <w:instrText xml:space="preserve"> HYPERLINK \l _Toc24402_WPSOffice_Level1 </w:instrText>
          </w:r>
          <w:r>
            <w:rPr>
              <w:b/>
              <w:bCs/>
            </w:rPr>
            <w:fldChar w:fldCharType="separate"/>
          </w:r>
          <w:sdt>
            <w:sdtPr>
              <w:rPr>
                <w:rFonts w:ascii="Times New Roman" w:hAnsi="Times New Roman" w:eastAsia="宋体" w:cs="Times New Roman"/>
                <w:b/>
                <w:bCs/>
                <w:sz w:val="21"/>
                <w:szCs w:val="22"/>
              </w:rPr>
              <w:id w:val="147479685"/>
              <w:placeholder>
                <w:docPart w:val="{9bff81b1-f18c-466c-b5a0-72e4f6817950}"/>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第五章 深化开放农业合作，打造向西开放农业高地</w:t>
              </w:r>
            </w:sdtContent>
          </w:sdt>
          <w:r>
            <w:rPr>
              <w:b/>
              <w:bCs/>
            </w:rPr>
            <w:tab/>
          </w:r>
          <w:bookmarkStart w:id="21" w:name="_Toc24402_WPSOffice_Level1Page"/>
          <w:r>
            <w:rPr>
              <w:b/>
              <w:bCs/>
            </w:rPr>
            <w:t>28</w:t>
          </w:r>
          <w:bookmarkEnd w:id="21"/>
          <w:r>
            <w:rPr>
              <w:b/>
              <w:bCs/>
            </w:rPr>
            <w:fldChar w:fldCharType="end"/>
          </w:r>
        </w:p>
        <w:p>
          <w:pPr>
            <w:pStyle w:val="9"/>
            <w:tabs>
              <w:tab w:val="right" w:leader="dot" w:pos="8843"/>
            </w:tabs>
          </w:pPr>
          <w:r>
            <w:fldChar w:fldCharType="begin"/>
          </w:r>
          <w:r>
            <w:instrText xml:space="preserve"> HYPERLINK \l _Toc875_WPSOffice_Level2 </w:instrText>
          </w:r>
          <w:r>
            <w:fldChar w:fldCharType="separate"/>
          </w:r>
          <w:sdt>
            <w:sdtPr>
              <w:rPr>
                <w:rFonts w:ascii="Times New Roman" w:hAnsi="Times New Roman" w:eastAsia="宋体" w:cs="Times New Roman"/>
                <w:sz w:val="21"/>
                <w:szCs w:val="22"/>
              </w:rPr>
              <w:id w:val="147479685"/>
              <w:placeholder>
                <w:docPart w:val="{d02226d9-6d34-4fe7-99aa-1226f77c85c8}"/>
              </w:placeholder>
            </w:sdtPr>
            <w:sdtEndPr>
              <w:rPr>
                <w:rFonts w:ascii="Times New Roman" w:hAnsi="Times New Roman" w:eastAsia="宋体" w:cs="Times New Roman"/>
                <w:sz w:val="21"/>
                <w:szCs w:val="22"/>
              </w:rPr>
            </w:sdtEndPr>
            <w:sdtContent>
              <w:r>
                <w:rPr>
                  <w:rFonts w:hint="eastAsia" w:ascii="宋体" w:hAnsi="宋体" w:eastAsia="黑体" w:cs="黑体"/>
                </w:rPr>
                <w:t>第一节 建设高水平开放农业平台</w:t>
              </w:r>
            </w:sdtContent>
          </w:sdt>
          <w:r>
            <w:tab/>
          </w:r>
          <w:bookmarkStart w:id="22" w:name="_Toc875_WPSOffice_Level2Page"/>
          <w:r>
            <w:t>28</w:t>
          </w:r>
          <w:bookmarkEnd w:id="22"/>
          <w:r>
            <w:fldChar w:fldCharType="end"/>
          </w:r>
        </w:p>
        <w:p>
          <w:pPr>
            <w:pStyle w:val="9"/>
            <w:tabs>
              <w:tab w:val="right" w:leader="dot" w:pos="8843"/>
            </w:tabs>
          </w:pPr>
          <w:r>
            <w:fldChar w:fldCharType="begin"/>
          </w:r>
          <w:r>
            <w:instrText xml:space="preserve"> HYPERLINK \l _Toc14636_WPSOffice_Level2 </w:instrText>
          </w:r>
          <w:r>
            <w:fldChar w:fldCharType="separate"/>
          </w:r>
          <w:sdt>
            <w:sdtPr>
              <w:rPr>
                <w:rFonts w:ascii="Times New Roman" w:hAnsi="Times New Roman" w:eastAsia="宋体" w:cs="Times New Roman"/>
                <w:sz w:val="21"/>
                <w:szCs w:val="22"/>
              </w:rPr>
              <w:id w:val="147479685"/>
              <w:placeholder>
                <w:docPart w:val="{8b90f39a-504b-4712-a2a9-d8e298c57bbf}"/>
              </w:placeholder>
            </w:sdtPr>
            <w:sdtEndPr>
              <w:rPr>
                <w:rFonts w:ascii="Times New Roman" w:hAnsi="Times New Roman" w:eastAsia="宋体" w:cs="Times New Roman"/>
                <w:sz w:val="21"/>
                <w:szCs w:val="22"/>
              </w:rPr>
            </w:sdtEndPr>
            <w:sdtContent>
              <w:r>
                <w:rPr>
                  <w:rFonts w:hint="eastAsia" w:ascii="宋体" w:hAnsi="宋体" w:eastAsia="黑体" w:cs="黑体"/>
                </w:rPr>
                <w:t>第二节 深化跨境农业合作，拓展国际市场</w:t>
              </w:r>
            </w:sdtContent>
          </w:sdt>
          <w:r>
            <w:tab/>
          </w:r>
          <w:bookmarkStart w:id="23" w:name="_Toc14636_WPSOffice_Level2Page"/>
          <w:r>
            <w:t>28</w:t>
          </w:r>
          <w:bookmarkEnd w:id="23"/>
          <w:r>
            <w:fldChar w:fldCharType="end"/>
          </w:r>
        </w:p>
        <w:p>
          <w:pPr>
            <w:pStyle w:val="8"/>
            <w:tabs>
              <w:tab w:val="right" w:leader="dot" w:pos="8843"/>
            </w:tabs>
          </w:pPr>
          <w:r>
            <w:rPr>
              <w:b/>
              <w:bCs/>
            </w:rPr>
            <w:fldChar w:fldCharType="begin"/>
          </w:r>
          <w:r>
            <w:instrText xml:space="preserve"> HYPERLINK \l _Toc4588_WPSOffice_Level1 </w:instrText>
          </w:r>
          <w:r>
            <w:rPr>
              <w:b/>
              <w:bCs/>
            </w:rPr>
            <w:fldChar w:fldCharType="separate"/>
          </w:r>
          <w:sdt>
            <w:sdtPr>
              <w:rPr>
                <w:rFonts w:ascii="Times New Roman" w:hAnsi="Times New Roman" w:eastAsia="宋体" w:cs="Times New Roman"/>
                <w:b/>
                <w:bCs/>
                <w:sz w:val="21"/>
                <w:szCs w:val="22"/>
              </w:rPr>
              <w:id w:val="147479685"/>
              <w:placeholder>
                <w:docPart w:val="{eedb2fdf-3707-43c5-95d8-4a2de1fc8379}"/>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第六章 推进宜居宜业和美乡村建设，提升乡村发展品质</w:t>
              </w:r>
            </w:sdtContent>
          </w:sdt>
          <w:r>
            <w:rPr>
              <w:b/>
              <w:bCs/>
            </w:rPr>
            <w:tab/>
          </w:r>
          <w:bookmarkStart w:id="24" w:name="_Toc4588_WPSOffice_Level1Page"/>
          <w:r>
            <w:rPr>
              <w:b/>
              <w:bCs/>
            </w:rPr>
            <w:t>30</w:t>
          </w:r>
          <w:bookmarkEnd w:id="24"/>
          <w:r>
            <w:rPr>
              <w:b/>
              <w:bCs/>
            </w:rPr>
            <w:fldChar w:fldCharType="end"/>
          </w:r>
        </w:p>
        <w:p>
          <w:pPr>
            <w:pStyle w:val="9"/>
            <w:tabs>
              <w:tab w:val="right" w:leader="dot" w:pos="8843"/>
            </w:tabs>
          </w:pPr>
          <w:r>
            <w:fldChar w:fldCharType="begin"/>
          </w:r>
          <w:r>
            <w:instrText xml:space="preserve"> HYPERLINK \l _Toc22751_WPSOffice_Level2 </w:instrText>
          </w:r>
          <w:r>
            <w:fldChar w:fldCharType="separate"/>
          </w:r>
          <w:sdt>
            <w:sdtPr>
              <w:rPr>
                <w:rFonts w:ascii="Times New Roman" w:hAnsi="Times New Roman" w:eastAsia="宋体" w:cs="Times New Roman"/>
                <w:sz w:val="21"/>
                <w:szCs w:val="22"/>
              </w:rPr>
              <w:id w:val="147479685"/>
              <w:placeholder>
                <w:docPart w:val="{80a680f6-6b80-45a0-b97f-106181b47f9a}"/>
              </w:placeholder>
            </w:sdtPr>
            <w:sdtEndPr>
              <w:rPr>
                <w:rFonts w:ascii="Times New Roman" w:hAnsi="Times New Roman" w:eastAsia="宋体" w:cs="Times New Roman"/>
                <w:sz w:val="21"/>
                <w:szCs w:val="22"/>
              </w:rPr>
            </w:sdtEndPr>
            <w:sdtContent>
              <w:r>
                <w:rPr>
                  <w:rFonts w:hint="eastAsia" w:ascii="宋体" w:hAnsi="宋体" w:eastAsia="黑体" w:cs="黑体"/>
                </w:rPr>
                <w:t>第一节 完善农村基础设施，提升乡村承载能力</w:t>
              </w:r>
            </w:sdtContent>
          </w:sdt>
          <w:r>
            <w:tab/>
          </w:r>
          <w:bookmarkStart w:id="25" w:name="_Toc22751_WPSOffice_Level2Page"/>
          <w:r>
            <w:t>30</w:t>
          </w:r>
          <w:bookmarkEnd w:id="25"/>
          <w:r>
            <w:fldChar w:fldCharType="end"/>
          </w:r>
        </w:p>
        <w:p>
          <w:pPr>
            <w:pStyle w:val="9"/>
            <w:tabs>
              <w:tab w:val="right" w:leader="dot" w:pos="8843"/>
            </w:tabs>
          </w:pPr>
          <w:r>
            <w:fldChar w:fldCharType="begin"/>
          </w:r>
          <w:r>
            <w:instrText xml:space="preserve"> HYPERLINK \l _Toc25234_WPSOffice_Level2 </w:instrText>
          </w:r>
          <w:r>
            <w:fldChar w:fldCharType="separate"/>
          </w:r>
          <w:sdt>
            <w:sdtPr>
              <w:rPr>
                <w:rFonts w:ascii="Times New Roman" w:hAnsi="Times New Roman" w:eastAsia="宋体" w:cs="Times New Roman"/>
                <w:sz w:val="21"/>
                <w:szCs w:val="22"/>
              </w:rPr>
              <w:id w:val="147479685"/>
              <w:placeholder>
                <w:docPart w:val="{94a874eb-fe82-4ea3-b464-30c1b29943a1}"/>
              </w:placeholder>
            </w:sdtPr>
            <w:sdtEndPr>
              <w:rPr>
                <w:rFonts w:ascii="Times New Roman" w:hAnsi="Times New Roman" w:eastAsia="宋体" w:cs="Times New Roman"/>
                <w:sz w:val="21"/>
                <w:szCs w:val="22"/>
              </w:rPr>
            </w:sdtEndPr>
            <w:sdtContent>
              <w:r>
                <w:rPr>
                  <w:rFonts w:hint="eastAsia" w:ascii="宋体" w:hAnsi="宋体" w:eastAsia="黑体" w:cs="黑体"/>
                </w:rPr>
                <w:t>第二节 提升农村人居环境，打造宜居乡村</w:t>
              </w:r>
            </w:sdtContent>
          </w:sdt>
          <w:r>
            <w:tab/>
          </w:r>
          <w:bookmarkStart w:id="26" w:name="_Toc25234_WPSOffice_Level2Page"/>
          <w:r>
            <w:t>31</w:t>
          </w:r>
          <w:bookmarkEnd w:id="26"/>
          <w:r>
            <w:fldChar w:fldCharType="end"/>
          </w:r>
        </w:p>
        <w:p>
          <w:pPr>
            <w:pStyle w:val="9"/>
            <w:tabs>
              <w:tab w:val="right" w:leader="dot" w:pos="8843"/>
            </w:tabs>
          </w:pPr>
          <w:r>
            <w:fldChar w:fldCharType="begin"/>
          </w:r>
          <w:r>
            <w:instrText xml:space="preserve"> HYPERLINK \l _Toc18440_WPSOffice_Level2 </w:instrText>
          </w:r>
          <w:r>
            <w:fldChar w:fldCharType="separate"/>
          </w:r>
          <w:sdt>
            <w:sdtPr>
              <w:rPr>
                <w:rFonts w:ascii="Times New Roman" w:hAnsi="Times New Roman" w:eastAsia="宋体" w:cs="Times New Roman"/>
                <w:sz w:val="21"/>
                <w:szCs w:val="22"/>
              </w:rPr>
              <w:id w:val="147479685"/>
              <w:placeholder>
                <w:docPart w:val="{c978d1ef-0514-4fce-953d-ff37c5847856}"/>
              </w:placeholder>
            </w:sdtPr>
            <w:sdtEndPr>
              <w:rPr>
                <w:rFonts w:ascii="Times New Roman" w:hAnsi="Times New Roman" w:eastAsia="宋体" w:cs="Times New Roman"/>
                <w:sz w:val="21"/>
                <w:szCs w:val="22"/>
              </w:rPr>
            </w:sdtEndPr>
            <w:sdtContent>
              <w:r>
                <w:rPr>
                  <w:rFonts w:hint="eastAsia" w:ascii="宋体" w:hAnsi="宋体" w:eastAsia="黑体" w:cs="黑体"/>
                </w:rPr>
                <w:t>第三节 提升城乡基本公共服务水平</w:t>
              </w:r>
            </w:sdtContent>
          </w:sdt>
          <w:r>
            <w:tab/>
          </w:r>
          <w:bookmarkStart w:id="27" w:name="_Toc18440_WPSOffice_Level2Page"/>
          <w:r>
            <w:t>32</w:t>
          </w:r>
          <w:bookmarkEnd w:id="27"/>
          <w:r>
            <w:fldChar w:fldCharType="end"/>
          </w:r>
        </w:p>
        <w:p>
          <w:pPr>
            <w:pStyle w:val="9"/>
            <w:tabs>
              <w:tab w:val="right" w:leader="dot" w:pos="8843"/>
            </w:tabs>
          </w:pPr>
          <w:r>
            <w:fldChar w:fldCharType="begin"/>
          </w:r>
          <w:r>
            <w:instrText xml:space="preserve"> HYPERLINK \l _Toc6436_WPSOffice_Level2 </w:instrText>
          </w:r>
          <w:r>
            <w:fldChar w:fldCharType="separate"/>
          </w:r>
          <w:sdt>
            <w:sdtPr>
              <w:rPr>
                <w:rFonts w:ascii="Times New Roman" w:hAnsi="Times New Roman" w:eastAsia="宋体" w:cs="Times New Roman"/>
                <w:sz w:val="21"/>
                <w:szCs w:val="22"/>
              </w:rPr>
              <w:id w:val="147479685"/>
              <w:placeholder>
                <w:docPart w:val="{3c4226c3-0425-49bb-b951-3876cc93635a}"/>
              </w:placeholder>
            </w:sdtPr>
            <w:sdtEndPr>
              <w:rPr>
                <w:rFonts w:ascii="Times New Roman" w:hAnsi="Times New Roman" w:eastAsia="宋体" w:cs="Times New Roman"/>
                <w:sz w:val="21"/>
                <w:szCs w:val="22"/>
              </w:rPr>
            </w:sdtEndPr>
            <w:sdtContent>
              <w:r>
                <w:rPr>
                  <w:rFonts w:hint="eastAsia" w:ascii="宋体" w:hAnsi="宋体" w:eastAsia="黑体" w:cs="黑体"/>
                </w:rPr>
                <w:t>第四节 深入推进农村精神文明建设</w:t>
              </w:r>
            </w:sdtContent>
          </w:sdt>
          <w:r>
            <w:tab/>
          </w:r>
          <w:bookmarkStart w:id="28" w:name="_Toc6436_WPSOffice_Level2Page"/>
          <w:r>
            <w:t>32</w:t>
          </w:r>
          <w:bookmarkEnd w:id="28"/>
          <w:r>
            <w:fldChar w:fldCharType="end"/>
          </w:r>
        </w:p>
        <w:p>
          <w:pPr>
            <w:pStyle w:val="9"/>
            <w:tabs>
              <w:tab w:val="right" w:leader="dot" w:pos="8843"/>
            </w:tabs>
          </w:pPr>
          <w:r>
            <w:fldChar w:fldCharType="begin"/>
          </w:r>
          <w:r>
            <w:instrText xml:space="preserve"> HYPERLINK \l _Toc17862_WPSOffice_Level2 </w:instrText>
          </w:r>
          <w:r>
            <w:fldChar w:fldCharType="separate"/>
          </w:r>
          <w:sdt>
            <w:sdtPr>
              <w:rPr>
                <w:rFonts w:ascii="Times New Roman" w:hAnsi="Times New Roman" w:eastAsia="宋体" w:cs="Times New Roman"/>
                <w:sz w:val="21"/>
                <w:szCs w:val="22"/>
              </w:rPr>
              <w:id w:val="147479685"/>
              <w:placeholder>
                <w:docPart w:val="{19447c4b-7a87-4c6e-b790-aa0cba30a63e}"/>
              </w:placeholder>
            </w:sdtPr>
            <w:sdtEndPr>
              <w:rPr>
                <w:rFonts w:ascii="Times New Roman" w:hAnsi="Times New Roman" w:eastAsia="宋体" w:cs="Times New Roman"/>
                <w:sz w:val="21"/>
                <w:szCs w:val="22"/>
              </w:rPr>
            </w:sdtEndPr>
            <w:sdtContent>
              <w:r>
                <w:rPr>
                  <w:rFonts w:hint="eastAsia" w:ascii="宋体" w:hAnsi="宋体" w:eastAsia="黑体" w:cs="黑体"/>
                </w:rPr>
                <w:t>第五节 提高党建引领乡村治理效能</w:t>
              </w:r>
            </w:sdtContent>
          </w:sdt>
          <w:r>
            <w:tab/>
          </w:r>
          <w:bookmarkStart w:id="29" w:name="_Toc17862_WPSOffice_Level2Page"/>
          <w:r>
            <w:t>33</w:t>
          </w:r>
          <w:bookmarkEnd w:id="29"/>
          <w:r>
            <w:fldChar w:fldCharType="end"/>
          </w:r>
        </w:p>
        <w:p>
          <w:pPr>
            <w:pStyle w:val="8"/>
            <w:tabs>
              <w:tab w:val="right" w:leader="dot" w:pos="8843"/>
            </w:tabs>
          </w:pPr>
          <w:r>
            <w:rPr>
              <w:b/>
              <w:bCs/>
            </w:rPr>
            <w:fldChar w:fldCharType="begin"/>
          </w:r>
          <w:r>
            <w:instrText xml:space="preserve"> HYPERLINK \l _Toc7503_WPSOffice_Level1 </w:instrText>
          </w:r>
          <w:r>
            <w:rPr>
              <w:b/>
              <w:bCs/>
            </w:rPr>
            <w:fldChar w:fldCharType="separate"/>
          </w:r>
          <w:sdt>
            <w:sdtPr>
              <w:rPr>
                <w:rFonts w:ascii="Times New Roman" w:hAnsi="Times New Roman" w:eastAsia="宋体" w:cs="Times New Roman"/>
                <w:b/>
                <w:bCs/>
                <w:sz w:val="21"/>
                <w:szCs w:val="22"/>
              </w:rPr>
              <w:id w:val="147479685"/>
              <w:placeholder>
                <w:docPart w:val="{7a2d7940-66bd-4385-873f-beb3cf29579b}"/>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第七章 健全常态化精准帮扶机制 奋力拓展脱贫攻坚成果</w:t>
              </w:r>
            </w:sdtContent>
          </w:sdt>
          <w:r>
            <w:rPr>
              <w:b/>
              <w:bCs/>
            </w:rPr>
            <w:tab/>
          </w:r>
          <w:bookmarkStart w:id="30" w:name="_Toc7503_WPSOffice_Level1Page"/>
          <w:r>
            <w:rPr>
              <w:b/>
              <w:bCs/>
            </w:rPr>
            <w:t>35</w:t>
          </w:r>
          <w:bookmarkEnd w:id="30"/>
          <w:r>
            <w:rPr>
              <w:b/>
              <w:bCs/>
            </w:rPr>
            <w:fldChar w:fldCharType="end"/>
          </w:r>
        </w:p>
        <w:p>
          <w:pPr>
            <w:pStyle w:val="9"/>
            <w:tabs>
              <w:tab w:val="right" w:leader="dot" w:pos="8843"/>
            </w:tabs>
          </w:pPr>
          <w:r>
            <w:fldChar w:fldCharType="begin"/>
          </w:r>
          <w:r>
            <w:instrText xml:space="preserve"> HYPERLINK \l _Toc12978_WPSOffice_Level2 </w:instrText>
          </w:r>
          <w:r>
            <w:fldChar w:fldCharType="separate"/>
          </w:r>
          <w:sdt>
            <w:sdtPr>
              <w:rPr>
                <w:rFonts w:ascii="Times New Roman" w:hAnsi="Times New Roman" w:eastAsia="宋体" w:cs="Times New Roman"/>
                <w:sz w:val="21"/>
                <w:szCs w:val="22"/>
              </w:rPr>
              <w:id w:val="147479685"/>
              <w:placeholder>
                <w:docPart w:val="{6c6f8d25-a10b-4db7-911c-e85ae9def8d3}"/>
              </w:placeholder>
            </w:sdtPr>
            <w:sdtEndPr>
              <w:rPr>
                <w:rFonts w:ascii="Times New Roman" w:hAnsi="Times New Roman" w:eastAsia="宋体" w:cs="Times New Roman"/>
                <w:sz w:val="21"/>
                <w:szCs w:val="22"/>
              </w:rPr>
            </w:sdtEndPr>
            <w:sdtContent>
              <w:r>
                <w:rPr>
                  <w:rFonts w:hint="eastAsia" w:ascii="宋体" w:hAnsi="宋体" w:eastAsia="黑体" w:cs="黑体"/>
                </w:rPr>
                <w:t>第一节 强化监测帮扶精准性时效性</w:t>
              </w:r>
            </w:sdtContent>
          </w:sdt>
          <w:r>
            <w:tab/>
          </w:r>
          <w:bookmarkStart w:id="31" w:name="_Toc12978_WPSOffice_Level2Page"/>
          <w:r>
            <w:t>35</w:t>
          </w:r>
          <w:bookmarkEnd w:id="31"/>
          <w:r>
            <w:fldChar w:fldCharType="end"/>
          </w:r>
        </w:p>
        <w:p>
          <w:pPr>
            <w:pStyle w:val="9"/>
            <w:tabs>
              <w:tab w:val="right" w:leader="dot" w:pos="8843"/>
            </w:tabs>
          </w:pPr>
          <w:r>
            <w:fldChar w:fldCharType="begin"/>
          </w:r>
          <w:r>
            <w:instrText xml:space="preserve"> HYPERLINK \l _Toc23401_WPSOffice_Level2 </w:instrText>
          </w:r>
          <w:r>
            <w:fldChar w:fldCharType="separate"/>
          </w:r>
          <w:sdt>
            <w:sdtPr>
              <w:rPr>
                <w:rFonts w:ascii="Times New Roman" w:hAnsi="Times New Roman" w:eastAsia="宋体" w:cs="Times New Roman"/>
                <w:sz w:val="21"/>
                <w:szCs w:val="22"/>
              </w:rPr>
              <w:id w:val="147479685"/>
              <w:placeholder>
                <w:docPart w:val="{472e4b55-2f52-4b60-8ce1-f7c7803a6771}"/>
              </w:placeholder>
            </w:sdtPr>
            <w:sdtEndPr>
              <w:rPr>
                <w:rFonts w:ascii="Times New Roman" w:hAnsi="Times New Roman" w:eastAsia="宋体" w:cs="Times New Roman"/>
                <w:sz w:val="21"/>
                <w:szCs w:val="22"/>
              </w:rPr>
            </w:sdtEndPr>
            <w:sdtContent>
              <w:r>
                <w:rPr>
                  <w:rFonts w:hint="eastAsia" w:ascii="宋体" w:hAnsi="宋体" w:eastAsia="黑体" w:cs="黑体"/>
                </w:rPr>
                <w:t>第二节 强化产业帮扶</w:t>
              </w:r>
            </w:sdtContent>
          </w:sdt>
          <w:r>
            <w:tab/>
          </w:r>
          <w:bookmarkStart w:id="32" w:name="_Toc23401_WPSOffice_Level2Page"/>
          <w:r>
            <w:t>35</w:t>
          </w:r>
          <w:bookmarkEnd w:id="32"/>
          <w:r>
            <w:fldChar w:fldCharType="end"/>
          </w:r>
        </w:p>
        <w:p>
          <w:pPr>
            <w:pStyle w:val="9"/>
            <w:tabs>
              <w:tab w:val="right" w:leader="dot" w:pos="8843"/>
            </w:tabs>
          </w:pPr>
          <w:r>
            <w:fldChar w:fldCharType="begin"/>
          </w:r>
          <w:r>
            <w:instrText xml:space="preserve"> HYPERLINK \l _Toc31486_WPSOffice_Level2 </w:instrText>
          </w:r>
          <w:r>
            <w:fldChar w:fldCharType="separate"/>
          </w:r>
          <w:sdt>
            <w:sdtPr>
              <w:rPr>
                <w:rFonts w:ascii="Times New Roman" w:hAnsi="Times New Roman" w:eastAsia="宋体" w:cs="Times New Roman"/>
                <w:sz w:val="21"/>
                <w:szCs w:val="22"/>
              </w:rPr>
              <w:id w:val="147479685"/>
              <w:placeholder>
                <w:docPart w:val="{6e9fc792-d68c-46ae-a06e-ce7c84806c71}"/>
              </w:placeholder>
            </w:sdtPr>
            <w:sdtEndPr>
              <w:rPr>
                <w:rFonts w:ascii="Times New Roman" w:hAnsi="Times New Roman" w:eastAsia="宋体" w:cs="Times New Roman"/>
                <w:sz w:val="21"/>
                <w:szCs w:val="22"/>
              </w:rPr>
            </w:sdtEndPr>
            <w:sdtContent>
              <w:r>
                <w:rPr>
                  <w:rFonts w:hint="eastAsia" w:ascii="宋体" w:hAnsi="宋体" w:eastAsia="黑体" w:cs="黑体"/>
                </w:rPr>
                <w:t>第三节 提升就业帮扶质效</w:t>
              </w:r>
            </w:sdtContent>
          </w:sdt>
          <w:r>
            <w:tab/>
          </w:r>
          <w:bookmarkStart w:id="33" w:name="_Toc31486_WPSOffice_Level2Page"/>
          <w:r>
            <w:t>36</w:t>
          </w:r>
          <w:bookmarkEnd w:id="33"/>
          <w:r>
            <w:fldChar w:fldCharType="end"/>
          </w:r>
        </w:p>
        <w:p>
          <w:pPr>
            <w:pStyle w:val="8"/>
            <w:tabs>
              <w:tab w:val="right" w:leader="dot" w:pos="8843"/>
            </w:tabs>
          </w:pPr>
          <w:r>
            <w:rPr>
              <w:b/>
              <w:bCs/>
            </w:rPr>
            <w:fldChar w:fldCharType="begin"/>
          </w:r>
          <w:r>
            <w:instrText xml:space="preserve"> HYPERLINK \l _Toc11524_WPSOffice_Level1 </w:instrText>
          </w:r>
          <w:r>
            <w:rPr>
              <w:b/>
              <w:bCs/>
            </w:rPr>
            <w:fldChar w:fldCharType="separate"/>
          </w:r>
          <w:sdt>
            <w:sdtPr>
              <w:rPr>
                <w:rFonts w:ascii="Times New Roman" w:hAnsi="Times New Roman" w:eastAsia="宋体" w:cs="Times New Roman"/>
                <w:b/>
                <w:bCs/>
                <w:sz w:val="21"/>
                <w:szCs w:val="22"/>
              </w:rPr>
              <w:id w:val="147479685"/>
              <w:placeholder>
                <w:docPart w:val="{adf588e7-9fee-4b33-85f5-4421cf4159c2}"/>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第八章 全面深化农业农村改革，增强乡村发展动力活力</w:t>
              </w:r>
            </w:sdtContent>
          </w:sdt>
          <w:r>
            <w:rPr>
              <w:b/>
              <w:bCs/>
            </w:rPr>
            <w:tab/>
          </w:r>
          <w:bookmarkStart w:id="34" w:name="_Toc11524_WPSOffice_Level1Page"/>
          <w:r>
            <w:rPr>
              <w:b/>
              <w:bCs/>
            </w:rPr>
            <w:t>37</w:t>
          </w:r>
          <w:bookmarkEnd w:id="34"/>
          <w:r>
            <w:rPr>
              <w:b/>
              <w:bCs/>
            </w:rPr>
            <w:fldChar w:fldCharType="end"/>
          </w:r>
        </w:p>
        <w:p>
          <w:pPr>
            <w:pStyle w:val="9"/>
            <w:tabs>
              <w:tab w:val="right" w:leader="dot" w:pos="8843"/>
            </w:tabs>
          </w:pPr>
          <w:r>
            <w:fldChar w:fldCharType="begin"/>
          </w:r>
          <w:r>
            <w:instrText xml:space="preserve"> HYPERLINK \l _Toc22144_WPSOffice_Level2 </w:instrText>
          </w:r>
          <w:r>
            <w:fldChar w:fldCharType="separate"/>
          </w:r>
          <w:sdt>
            <w:sdtPr>
              <w:rPr>
                <w:rFonts w:ascii="Times New Roman" w:hAnsi="Times New Roman" w:eastAsia="宋体" w:cs="Times New Roman"/>
                <w:sz w:val="21"/>
                <w:szCs w:val="22"/>
              </w:rPr>
              <w:id w:val="147479685"/>
              <w:placeholder>
                <w:docPart w:val="{7cdb1a77-f3c3-4c69-b50d-58029a635f65}"/>
              </w:placeholder>
            </w:sdtPr>
            <w:sdtEndPr>
              <w:rPr>
                <w:rFonts w:ascii="Times New Roman" w:hAnsi="Times New Roman" w:eastAsia="宋体" w:cs="Times New Roman"/>
                <w:sz w:val="21"/>
                <w:szCs w:val="22"/>
              </w:rPr>
            </w:sdtEndPr>
            <w:sdtContent>
              <w:r>
                <w:rPr>
                  <w:rFonts w:hint="eastAsia" w:ascii="宋体" w:hAnsi="宋体" w:eastAsia="黑体" w:cs="黑体"/>
                </w:rPr>
                <w:t>第一节 深化农村土地制度改革</w:t>
              </w:r>
            </w:sdtContent>
          </w:sdt>
          <w:r>
            <w:tab/>
          </w:r>
          <w:bookmarkStart w:id="35" w:name="_Toc22144_WPSOffice_Level2Page"/>
          <w:r>
            <w:t>37</w:t>
          </w:r>
          <w:bookmarkEnd w:id="35"/>
          <w:r>
            <w:fldChar w:fldCharType="end"/>
          </w:r>
        </w:p>
        <w:p>
          <w:pPr>
            <w:pStyle w:val="9"/>
            <w:tabs>
              <w:tab w:val="right" w:leader="dot" w:pos="8843"/>
            </w:tabs>
          </w:pPr>
          <w:r>
            <w:fldChar w:fldCharType="begin"/>
          </w:r>
          <w:r>
            <w:instrText xml:space="preserve"> HYPERLINK \l _Toc16110_WPSOffice_Level2 </w:instrText>
          </w:r>
          <w:r>
            <w:fldChar w:fldCharType="separate"/>
          </w:r>
          <w:sdt>
            <w:sdtPr>
              <w:rPr>
                <w:rFonts w:ascii="Times New Roman" w:hAnsi="Times New Roman" w:eastAsia="宋体" w:cs="Times New Roman"/>
                <w:sz w:val="21"/>
                <w:szCs w:val="22"/>
              </w:rPr>
              <w:id w:val="147479685"/>
              <w:placeholder>
                <w:docPart w:val="{71a733a5-3e3f-4052-a2a3-05ad2aaff434}"/>
              </w:placeholder>
            </w:sdtPr>
            <w:sdtEndPr>
              <w:rPr>
                <w:rFonts w:ascii="Times New Roman" w:hAnsi="Times New Roman" w:eastAsia="宋体" w:cs="Times New Roman"/>
                <w:sz w:val="21"/>
                <w:szCs w:val="22"/>
              </w:rPr>
            </w:sdtEndPr>
            <w:sdtContent>
              <w:r>
                <w:rPr>
                  <w:rFonts w:hint="eastAsia" w:ascii="宋体" w:hAnsi="宋体" w:eastAsia="黑体" w:cs="黑体"/>
                </w:rPr>
                <w:t>第二节 加快培育新型农业经营主体</w:t>
              </w:r>
            </w:sdtContent>
          </w:sdt>
          <w:r>
            <w:tab/>
          </w:r>
          <w:bookmarkStart w:id="36" w:name="_Toc16110_WPSOffice_Level2Page"/>
          <w:r>
            <w:t>37</w:t>
          </w:r>
          <w:bookmarkEnd w:id="36"/>
          <w:r>
            <w:fldChar w:fldCharType="end"/>
          </w:r>
        </w:p>
        <w:p>
          <w:pPr>
            <w:pStyle w:val="9"/>
            <w:tabs>
              <w:tab w:val="right" w:leader="dot" w:pos="8843"/>
            </w:tabs>
          </w:pPr>
          <w:r>
            <w:fldChar w:fldCharType="begin"/>
          </w:r>
          <w:r>
            <w:instrText xml:space="preserve"> HYPERLINK \l _Toc22455_WPSOffice_Level2 </w:instrText>
          </w:r>
          <w:r>
            <w:fldChar w:fldCharType="separate"/>
          </w:r>
          <w:sdt>
            <w:sdtPr>
              <w:rPr>
                <w:rFonts w:ascii="Times New Roman" w:hAnsi="Times New Roman" w:eastAsia="宋体" w:cs="Times New Roman"/>
                <w:sz w:val="21"/>
                <w:szCs w:val="22"/>
              </w:rPr>
              <w:id w:val="147479685"/>
              <w:placeholder>
                <w:docPart w:val="{c91933e7-f8ab-41e3-a838-a49ed25e21ff}"/>
              </w:placeholder>
            </w:sdtPr>
            <w:sdtEndPr>
              <w:rPr>
                <w:rFonts w:ascii="Times New Roman" w:hAnsi="Times New Roman" w:eastAsia="宋体" w:cs="Times New Roman"/>
                <w:sz w:val="21"/>
                <w:szCs w:val="22"/>
              </w:rPr>
            </w:sdtEndPr>
            <w:sdtContent>
              <w:r>
                <w:rPr>
                  <w:rFonts w:hint="eastAsia" w:ascii="宋体" w:hAnsi="宋体" w:eastAsia="黑体" w:cs="黑体"/>
                </w:rPr>
                <w:t>第三节 持续深化农村集体产权制度改革</w:t>
              </w:r>
            </w:sdtContent>
          </w:sdt>
          <w:r>
            <w:tab/>
          </w:r>
          <w:bookmarkStart w:id="37" w:name="_Toc22455_WPSOffice_Level2Page"/>
          <w:r>
            <w:t>38</w:t>
          </w:r>
          <w:bookmarkEnd w:id="37"/>
          <w:r>
            <w:fldChar w:fldCharType="end"/>
          </w:r>
        </w:p>
        <w:p>
          <w:pPr>
            <w:pStyle w:val="8"/>
            <w:tabs>
              <w:tab w:val="right" w:leader="dot" w:pos="8843"/>
            </w:tabs>
          </w:pPr>
          <w:r>
            <w:rPr>
              <w:b/>
              <w:bCs/>
            </w:rPr>
            <w:fldChar w:fldCharType="begin"/>
          </w:r>
          <w:r>
            <w:instrText xml:space="preserve"> HYPERLINK \l _Toc22007_WPSOffice_Level1 </w:instrText>
          </w:r>
          <w:r>
            <w:rPr>
              <w:b/>
              <w:bCs/>
            </w:rPr>
            <w:fldChar w:fldCharType="separate"/>
          </w:r>
          <w:sdt>
            <w:sdtPr>
              <w:rPr>
                <w:rFonts w:ascii="Times New Roman" w:hAnsi="Times New Roman" w:eastAsia="宋体" w:cs="Times New Roman"/>
                <w:b/>
                <w:bCs/>
                <w:sz w:val="21"/>
                <w:szCs w:val="22"/>
              </w:rPr>
              <w:id w:val="147479685"/>
              <w:placeholder>
                <w:docPart w:val="{254460d0-ad0d-42b3-a1ae-a5d92f8f709e}"/>
              </w:placeholder>
            </w:sdtPr>
            <w:sdtEndPr>
              <w:rPr>
                <w:rFonts w:ascii="Times New Roman" w:hAnsi="Times New Roman" w:eastAsia="宋体" w:cs="Times New Roman"/>
                <w:b/>
                <w:bCs/>
                <w:sz w:val="21"/>
                <w:szCs w:val="22"/>
              </w:rPr>
            </w:sdtEndPr>
            <w:sdtContent>
              <w:r>
                <w:rPr>
                  <w:rFonts w:hint="eastAsia" w:ascii="宋体" w:hAnsi="宋体" w:eastAsia="黑体" w:cs="黑体"/>
                  <w:b/>
                  <w:bCs/>
                </w:rPr>
                <w:t>第九章 建立健全服务保障机制，确保规划落地见效</w:t>
              </w:r>
            </w:sdtContent>
          </w:sdt>
          <w:r>
            <w:rPr>
              <w:b/>
              <w:bCs/>
            </w:rPr>
            <w:tab/>
          </w:r>
          <w:bookmarkStart w:id="38" w:name="_Toc22007_WPSOffice_Level1Page"/>
          <w:r>
            <w:rPr>
              <w:b/>
              <w:bCs/>
            </w:rPr>
            <w:t>39</w:t>
          </w:r>
          <w:bookmarkEnd w:id="38"/>
          <w:r>
            <w:rPr>
              <w:b/>
              <w:bCs/>
            </w:rPr>
            <w:fldChar w:fldCharType="end"/>
          </w:r>
        </w:p>
        <w:p>
          <w:pPr>
            <w:pStyle w:val="9"/>
            <w:tabs>
              <w:tab w:val="right" w:leader="dot" w:pos="8843"/>
            </w:tabs>
          </w:pPr>
          <w:r>
            <w:fldChar w:fldCharType="begin"/>
          </w:r>
          <w:r>
            <w:instrText xml:space="preserve"> HYPERLINK \l _Toc3665_WPSOffice_Level2 </w:instrText>
          </w:r>
          <w:r>
            <w:fldChar w:fldCharType="separate"/>
          </w:r>
          <w:sdt>
            <w:sdtPr>
              <w:rPr>
                <w:rFonts w:ascii="Times New Roman" w:hAnsi="Times New Roman" w:eastAsia="宋体" w:cs="Times New Roman"/>
                <w:sz w:val="21"/>
                <w:szCs w:val="22"/>
              </w:rPr>
              <w:id w:val="147479685"/>
              <w:placeholder>
                <w:docPart w:val="{331d3845-13d3-4376-ba7b-e88ffa48cf71}"/>
              </w:placeholder>
            </w:sdtPr>
            <w:sdtEndPr>
              <w:rPr>
                <w:rFonts w:ascii="Times New Roman" w:hAnsi="Times New Roman" w:eastAsia="宋体" w:cs="Times New Roman"/>
                <w:sz w:val="21"/>
                <w:szCs w:val="22"/>
              </w:rPr>
            </w:sdtEndPr>
            <w:sdtContent>
              <w:r>
                <w:rPr>
                  <w:rFonts w:hint="eastAsia" w:ascii="宋体" w:hAnsi="宋体" w:eastAsia="黑体" w:cs="黑体"/>
                </w:rPr>
                <w:t>第一节 强化组织领导</w:t>
              </w:r>
            </w:sdtContent>
          </w:sdt>
          <w:r>
            <w:tab/>
          </w:r>
          <w:bookmarkStart w:id="39" w:name="_Toc3665_WPSOffice_Level2Page"/>
          <w:r>
            <w:t>39</w:t>
          </w:r>
          <w:bookmarkEnd w:id="39"/>
          <w:r>
            <w:fldChar w:fldCharType="end"/>
          </w:r>
        </w:p>
        <w:p>
          <w:pPr>
            <w:pStyle w:val="9"/>
            <w:tabs>
              <w:tab w:val="right" w:leader="dot" w:pos="8843"/>
            </w:tabs>
          </w:pPr>
          <w:r>
            <w:fldChar w:fldCharType="begin"/>
          </w:r>
          <w:r>
            <w:instrText xml:space="preserve"> HYPERLINK \l _Toc16919_WPSOffice_Level2 </w:instrText>
          </w:r>
          <w:r>
            <w:fldChar w:fldCharType="separate"/>
          </w:r>
          <w:sdt>
            <w:sdtPr>
              <w:rPr>
                <w:rFonts w:ascii="Times New Roman" w:hAnsi="Times New Roman" w:eastAsia="宋体" w:cs="Times New Roman"/>
                <w:sz w:val="21"/>
                <w:szCs w:val="22"/>
              </w:rPr>
              <w:id w:val="147479685"/>
              <w:placeholder>
                <w:docPart w:val="{95fc309d-04fd-410e-8e3f-53e9b2277453}"/>
              </w:placeholder>
            </w:sdtPr>
            <w:sdtEndPr>
              <w:rPr>
                <w:rFonts w:ascii="Times New Roman" w:hAnsi="Times New Roman" w:eastAsia="宋体" w:cs="Times New Roman"/>
                <w:sz w:val="21"/>
                <w:szCs w:val="22"/>
              </w:rPr>
            </w:sdtEndPr>
            <w:sdtContent>
              <w:r>
                <w:rPr>
                  <w:rFonts w:hint="eastAsia" w:ascii="宋体" w:hAnsi="宋体" w:eastAsia="黑体" w:cs="黑体"/>
                </w:rPr>
                <w:t>第二节 健全法治保障</w:t>
              </w:r>
            </w:sdtContent>
          </w:sdt>
          <w:r>
            <w:tab/>
          </w:r>
          <w:bookmarkStart w:id="40" w:name="_Toc16919_WPSOffice_Level2Page"/>
          <w:r>
            <w:t>39</w:t>
          </w:r>
          <w:bookmarkEnd w:id="40"/>
          <w:r>
            <w:fldChar w:fldCharType="end"/>
          </w:r>
        </w:p>
        <w:p>
          <w:pPr>
            <w:pStyle w:val="9"/>
            <w:tabs>
              <w:tab w:val="right" w:leader="dot" w:pos="8843"/>
            </w:tabs>
          </w:pPr>
          <w:r>
            <w:fldChar w:fldCharType="begin"/>
          </w:r>
          <w:r>
            <w:instrText xml:space="preserve"> HYPERLINK \l _Toc20663_WPSOffice_Level2 </w:instrText>
          </w:r>
          <w:r>
            <w:fldChar w:fldCharType="separate"/>
          </w:r>
          <w:sdt>
            <w:sdtPr>
              <w:rPr>
                <w:rFonts w:ascii="Times New Roman" w:hAnsi="Times New Roman" w:eastAsia="宋体" w:cs="Times New Roman"/>
                <w:sz w:val="21"/>
                <w:szCs w:val="22"/>
              </w:rPr>
              <w:id w:val="147479685"/>
              <w:placeholder>
                <w:docPart w:val="{78e91e16-0734-4284-8a50-d8fb071a678c}"/>
              </w:placeholder>
            </w:sdtPr>
            <w:sdtEndPr>
              <w:rPr>
                <w:rFonts w:ascii="Times New Roman" w:hAnsi="Times New Roman" w:eastAsia="宋体" w:cs="Times New Roman"/>
                <w:sz w:val="21"/>
                <w:szCs w:val="22"/>
              </w:rPr>
            </w:sdtEndPr>
            <w:sdtContent>
              <w:r>
                <w:rPr>
                  <w:rFonts w:hint="eastAsia" w:ascii="宋体" w:hAnsi="宋体" w:eastAsia="黑体" w:cs="黑体"/>
                </w:rPr>
                <w:t>第三节 动员公众参与</w:t>
              </w:r>
            </w:sdtContent>
          </w:sdt>
          <w:r>
            <w:tab/>
          </w:r>
          <w:bookmarkStart w:id="41" w:name="_Toc20663_WPSOffice_Level2Page"/>
          <w:r>
            <w:t>39</w:t>
          </w:r>
          <w:bookmarkEnd w:id="41"/>
          <w:r>
            <w:fldChar w:fldCharType="end"/>
          </w:r>
        </w:p>
        <w:p>
          <w:pPr>
            <w:pStyle w:val="8"/>
            <w:tabs>
              <w:tab w:val="right" w:leader="dot" w:pos="8843"/>
            </w:tabs>
          </w:pPr>
          <w:r>
            <w:rPr>
              <w:b/>
              <w:bCs/>
            </w:rPr>
            <w:fldChar w:fldCharType="begin"/>
          </w:r>
          <w:r>
            <w:instrText xml:space="preserve"> HYPERLINK \l _Toc18906_WPSOffice_Level1 </w:instrText>
          </w:r>
          <w:r>
            <w:rPr>
              <w:b/>
              <w:bCs/>
            </w:rPr>
            <w:fldChar w:fldCharType="separate"/>
          </w:r>
          <w:sdt>
            <w:sdtPr>
              <w:rPr>
                <w:rFonts w:ascii="Times New Roman" w:hAnsi="Times New Roman" w:eastAsia="宋体" w:cs="Times New Roman"/>
                <w:b/>
                <w:bCs/>
                <w:sz w:val="21"/>
                <w:szCs w:val="22"/>
              </w:rPr>
              <w:id w:val="147479685"/>
              <w:placeholder>
                <w:docPart w:val="{c6c993da-f0c0-49fa-b8de-e7a2da68509b}"/>
              </w:placeholder>
            </w:sdtPr>
            <w:sdtEndPr>
              <w:rPr>
                <w:rFonts w:ascii="Times New Roman" w:hAnsi="Times New Roman" w:eastAsia="宋体" w:cs="Times New Roman"/>
                <w:b/>
                <w:bCs/>
                <w:sz w:val="21"/>
                <w:szCs w:val="22"/>
              </w:rPr>
            </w:sdtEndPr>
            <w:sdtContent>
              <w:r>
                <w:rPr>
                  <w:rFonts w:hint="eastAsia" w:ascii="宋体" w:hAnsi="宋体" w:eastAsia="方正小标宋简体" w:cs="方正小标宋简体"/>
                  <w:b/>
                  <w:bCs/>
                </w:rPr>
                <w:t>霍尔果斯市“十五五”农业农村发展规划建设工程</w:t>
              </w:r>
            </w:sdtContent>
          </w:sdt>
          <w:r>
            <w:rPr>
              <w:b/>
              <w:bCs/>
            </w:rPr>
            <w:tab/>
          </w:r>
          <w:bookmarkStart w:id="42" w:name="_Toc18906_WPSOffice_Level1Page"/>
          <w:r>
            <w:rPr>
              <w:b/>
              <w:bCs/>
            </w:rPr>
            <w:t>40</w:t>
          </w:r>
          <w:bookmarkEnd w:id="42"/>
          <w:r>
            <w:rPr>
              <w:b/>
              <w:bCs/>
            </w:rPr>
            <w:fldChar w:fldCharType="end"/>
          </w:r>
          <w:bookmarkEnd w:id="0"/>
        </w:p>
      </w:sdtContent>
    </w:sdt>
    <w:p>
      <w:pPr>
        <w:keepNext w:val="0"/>
        <w:keepLines w:val="0"/>
        <w:pageBreakBefore w:val="0"/>
        <w:widowControl w:val="0"/>
        <w:kinsoku/>
        <w:wordWrap/>
        <w:overflowPunct/>
        <w:topLinePunct w:val="0"/>
        <w:autoSpaceDE/>
        <w:autoSpaceDN/>
        <w:bidi w:val="0"/>
        <w:adjustRightInd/>
        <w:snapToGrid/>
        <w:spacing w:line="550" w:lineRule="exact"/>
        <w:jc w:val="both"/>
        <w:textAlignment w:val="auto"/>
        <w:rPr>
          <w:rFonts w:hint="eastAsia" w:ascii="宋体" w:hAnsi="宋体" w:eastAsia="黑体" w:cs="黑体"/>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宋体" w:hAnsi="宋体" w:eastAsia="黑体" w:cs="黑体"/>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宋体" w:hAnsi="宋体" w:eastAsia="黑体" w:cs="黑体"/>
          <w:color w:val="auto"/>
          <w:sz w:val="32"/>
          <w:szCs w:val="32"/>
          <w:highlight w:val="none"/>
        </w:rPr>
        <w:sectPr>
          <w:footerReference r:id="rId3" w:type="default"/>
          <w:pgSz w:w="11905" w:h="16840"/>
          <w:pgMar w:top="2098" w:right="1531" w:bottom="1984" w:left="1531" w:header="1134" w:footer="1587" w:gutter="0"/>
          <w:pgNumType w:fmt="decimal" w:start="1"/>
          <w:cols w:space="720" w:num="1"/>
        </w:sectPr>
      </w:pP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宋体" w:hAnsi="宋体" w:eastAsia="黑体" w:cs="黑体"/>
          <w:color w:val="auto"/>
          <w:sz w:val="32"/>
          <w:szCs w:val="32"/>
          <w:highlight w:val="none"/>
        </w:rPr>
      </w:pPr>
      <w:bookmarkStart w:id="43" w:name="_Toc22795_WPSOffice_Level1"/>
      <w:r>
        <w:rPr>
          <w:rFonts w:hint="eastAsia" w:ascii="宋体" w:hAnsi="宋体" w:eastAsia="黑体" w:cs="黑体"/>
          <w:color w:val="auto"/>
          <w:sz w:val="32"/>
          <w:szCs w:val="32"/>
          <w:highlight w:val="none"/>
        </w:rPr>
        <w:t>前言</w:t>
      </w:r>
      <w:bookmarkEnd w:id="43"/>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“十五五”时期（2026</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2030年），是我国全面建设社会主义现代化国家的关键五年，是巩固拓展脱贫攻坚成果、全面推进乡村振兴、推动有效衔接的深化提升期，也是霍尔果斯市立足“一带一路”核心区重要支点、中国（新疆）自由贸易试验区霍尔果斯片区（以下简称“自贸试验区霍尔果斯片区”）核心优势，巩固拓展脱贫攻坚成果、全面推进乡村振兴、加快农业农村现代化的攻坚时期。当前，霍尔果斯市农业农村发展已进入从“有没有”向“好不好”转型的关键阶段，既面临着产业升级、要素保障、开放赋能、衔接提质的多重挑战，也迎来了政策叠加、区位凸显、科技赋能的重大机遇。</w:t>
      </w:r>
    </w:p>
    <w:p>
      <w:pPr>
        <w:keepNext w:val="0"/>
        <w:keepLines w:val="0"/>
        <w:pageBreakBefore w:val="0"/>
        <w:widowControl w:val="0"/>
        <w:kinsoku/>
        <w:wordWrap/>
        <w:overflowPunct/>
        <w:topLinePunct w:val="0"/>
        <w:autoSpaceDE/>
        <w:autoSpaceDN/>
        <w:bidi w:val="0"/>
        <w:adjustRightInd/>
        <w:snapToGrid/>
        <w:spacing w:line="55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本规划严格遵循《中华人民共和国乡村振兴促进法》</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《霍尔果斯市国民经济和社会发展</w:t>
      </w:r>
      <w:r>
        <w:rPr>
          <w:rFonts w:hint="eastAsia" w:ascii="宋体" w:hAnsi="宋体" w:eastAsia="方正仿宋简体" w:cs="方正仿宋简体"/>
          <w:color w:val="auto"/>
          <w:sz w:val="32"/>
          <w:szCs w:val="32"/>
          <w:highlight w:val="none"/>
          <w:u w:val="none"/>
          <w:lang w:val="en-US" w:eastAsia="zh-CN"/>
        </w:rPr>
        <w:t>第十五个五年规划纲要</w:t>
      </w:r>
      <w:r>
        <w:rPr>
          <w:rFonts w:hint="eastAsia" w:ascii="宋体" w:hAnsi="宋体" w:eastAsia="方正仿宋简体" w:cs="方正仿宋简体"/>
          <w:color w:val="auto"/>
          <w:sz w:val="32"/>
          <w:szCs w:val="32"/>
          <w:highlight w:val="none"/>
          <w:u w:val="none"/>
        </w:rPr>
        <w:t>》</w:t>
      </w:r>
      <w:r>
        <w:rPr>
          <w:rFonts w:hint="eastAsia" w:ascii="宋体" w:hAnsi="宋体" w:eastAsia="方正仿宋简体" w:cs="方正仿宋简体"/>
          <w:color w:val="auto"/>
          <w:sz w:val="32"/>
          <w:szCs w:val="32"/>
          <w:highlight w:val="none"/>
          <w:u w:val="none"/>
          <w:lang w:eastAsia="zh-CN"/>
        </w:rPr>
        <w:t>总体部署</w:t>
      </w:r>
      <w:r>
        <w:rPr>
          <w:rFonts w:hint="eastAsia" w:ascii="宋体" w:hAnsi="宋体" w:eastAsia="方正仿宋简体" w:cs="方正仿宋简体"/>
          <w:color w:val="auto"/>
          <w:sz w:val="32"/>
          <w:szCs w:val="32"/>
          <w:highlight w:val="none"/>
          <w:u w:val="none"/>
        </w:rPr>
        <w:t>，立足霍尔果斯口岸区位特点、特色产业基础、生态资源禀赋和城乡融合发展潜力，紧扣“粮食安全、产业升级、开放赋能、乡村建设、改革富民、衔接提质”六大核心任务，系统梳理“十四五”时期发展成效与短板不足，科学研判“十五五”时期发展形势，明确发展指导思想、基本原则、核心目标、重点任务和保障措施，旨在构建高质量农业农村发展新格局，为全市农业农村现代化建设提供科学指引和行动纲领，奋力打造口岸型现代农业示范区、向西开放农产品加工基地、边境民族地区乡村振兴样板，推动巩固拓展脱贫攻坚成果同乡村振兴有效衔接走深走实。</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color w:val="auto"/>
          <w:sz w:val="32"/>
          <w:szCs w:val="32"/>
          <w:highlight w:val="none"/>
          <w:u w:val="none"/>
        </w:rPr>
      </w:pPr>
      <w:bookmarkStart w:id="44" w:name="heading_1"/>
      <w:bookmarkStart w:id="45" w:name="_Toc24629_WPSOffice_Level1"/>
      <w:r>
        <w:rPr>
          <w:rFonts w:hint="eastAsia" w:ascii="宋体" w:hAnsi="宋体" w:eastAsia="黑体" w:cs="黑体"/>
          <w:color w:val="auto"/>
          <w:sz w:val="32"/>
          <w:szCs w:val="32"/>
          <w:highlight w:val="none"/>
          <w:u w:val="none"/>
        </w:rPr>
        <w:t>第一章</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color w:val="auto"/>
          <w:sz w:val="32"/>
          <w:szCs w:val="32"/>
          <w:highlight w:val="none"/>
          <w:u w:val="none"/>
        </w:rPr>
        <w:t>发展基础与形势</w:t>
      </w:r>
      <w:bookmarkEnd w:id="44"/>
      <w:bookmarkEnd w:id="45"/>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rPr>
          <w:rFonts w:hint="eastAsia" w:ascii="宋体" w:hAnsi="宋体" w:eastAsia="黑体" w:cs="黑体"/>
          <w:color w:val="auto"/>
          <w:sz w:val="32"/>
          <w:szCs w:val="32"/>
          <w:highlight w:val="none"/>
          <w:u w:val="none"/>
        </w:rPr>
      </w:pPr>
      <w:bookmarkStart w:id="46" w:name="heading_2"/>
      <w:bookmarkStart w:id="47" w:name="_Toc24629_WPSOffice_Level2"/>
      <w:r>
        <w:rPr>
          <w:rFonts w:hint="eastAsia" w:ascii="宋体" w:hAnsi="宋体" w:eastAsia="黑体" w:cs="黑体"/>
          <w:color w:val="auto"/>
          <w:sz w:val="32"/>
          <w:szCs w:val="32"/>
          <w:highlight w:val="none"/>
          <w:u w:val="none"/>
          <w:lang w:eastAsia="zh-CN"/>
        </w:rPr>
        <w:t>第一节</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color w:val="auto"/>
          <w:sz w:val="32"/>
          <w:szCs w:val="32"/>
          <w:highlight w:val="none"/>
          <w:u w:val="none"/>
        </w:rPr>
        <w:t>发展基础（“十四五”时期成效回顾）</w:t>
      </w:r>
      <w:bookmarkEnd w:id="46"/>
      <w:bookmarkEnd w:id="47"/>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“十四五”时期，霍尔果斯市深入贯彻落实党中央、国务院关于“三农”工作的决策部署和自治区、</w:t>
      </w:r>
      <w:r>
        <w:rPr>
          <w:rFonts w:hint="eastAsia" w:ascii="宋体" w:hAnsi="宋体" w:eastAsia="方正仿宋简体" w:cs="方正仿宋简体"/>
          <w:color w:val="auto"/>
          <w:sz w:val="32"/>
          <w:szCs w:val="32"/>
          <w:highlight w:val="none"/>
          <w:u w:val="none"/>
          <w:lang w:eastAsia="zh-CN"/>
        </w:rPr>
        <w:t>自治</w:t>
      </w:r>
      <w:r>
        <w:rPr>
          <w:rFonts w:hint="eastAsia" w:ascii="宋体" w:hAnsi="宋体" w:eastAsia="方正仿宋简体" w:cs="方正仿宋简体"/>
          <w:color w:val="auto"/>
          <w:sz w:val="32"/>
          <w:szCs w:val="32"/>
          <w:highlight w:val="none"/>
          <w:u w:val="none"/>
        </w:rPr>
        <w:t>州</w:t>
      </w:r>
      <w:r>
        <w:rPr>
          <w:rFonts w:hint="eastAsia" w:ascii="宋体" w:hAnsi="宋体" w:eastAsia="方正仿宋简体" w:cs="方正仿宋简体"/>
          <w:color w:val="auto"/>
          <w:sz w:val="32"/>
          <w:szCs w:val="32"/>
          <w:highlight w:val="none"/>
          <w:u w:val="none"/>
          <w:lang w:val="en-US" w:eastAsia="zh-CN"/>
        </w:rPr>
        <w:t>党委</w:t>
      </w:r>
      <w:r>
        <w:rPr>
          <w:rFonts w:hint="eastAsia" w:ascii="宋体" w:hAnsi="宋体" w:eastAsia="方正仿宋简体" w:cs="方正仿宋简体"/>
          <w:color w:val="auto"/>
          <w:sz w:val="32"/>
          <w:szCs w:val="32"/>
          <w:highlight w:val="none"/>
          <w:u w:val="none"/>
        </w:rPr>
        <w:t>工作</w:t>
      </w:r>
      <w:r>
        <w:rPr>
          <w:rFonts w:hint="eastAsia" w:ascii="宋体" w:hAnsi="宋体" w:eastAsia="方正仿宋简体" w:cs="方正仿宋简体"/>
          <w:color w:val="auto"/>
          <w:sz w:val="32"/>
          <w:szCs w:val="32"/>
          <w:highlight w:val="none"/>
          <w:u w:val="none"/>
          <w:lang w:eastAsia="zh-CN"/>
        </w:rPr>
        <w:t>安排</w:t>
      </w:r>
      <w:r>
        <w:rPr>
          <w:rFonts w:hint="eastAsia" w:ascii="宋体" w:hAnsi="宋体" w:eastAsia="方正仿宋简体" w:cs="方正仿宋简体"/>
          <w:color w:val="auto"/>
          <w:sz w:val="32"/>
          <w:szCs w:val="32"/>
          <w:highlight w:val="none"/>
          <w:u w:val="none"/>
        </w:rPr>
        <w:t>，坚持把解决好“三农”问题作为重中之重，凝心聚力、真抓实干，农业农村发展取得显著成效，巩固拓展脱贫攻坚成果同乡村振兴有效衔接稳步推进，为“十五五”时期高质量发展奠定了坚实基础。</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48" w:name="heading_3"/>
      <w:r>
        <w:rPr>
          <w:rFonts w:hint="eastAsia" w:ascii="宋体" w:hAnsi="宋体" w:eastAsia="方正楷体简体" w:cs="方正楷体简体"/>
          <w:b/>
          <w:bCs/>
          <w:color w:val="auto"/>
          <w:sz w:val="32"/>
          <w:szCs w:val="32"/>
          <w:highlight w:val="none"/>
          <w:u w:val="none"/>
        </w:rPr>
        <w:t>（一）粮食安全根基持续稳固</w:t>
      </w:r>
      <w:bookmarkEnd w:id="48"/>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始终把保障粮食安全作为首要政治任务，严守耕地保护红线，大力推进高标准农田建设，不断提升粮食综合生产能力。“十四五”期间，累计建成高标准农田</w:t>
      </w:r>
      <w:r>
        <w:rPr>
          <w:rFonts w:hint="eastAsia" w:ascii="宋体" w:hAnsi="宋体" w:eastAsia="方正仿宋简体" w:cs="方正仿宋简体"/>
          <w:color w:val="auto"/>
          <w:sz w:val="32"/>
          <w:szCs w:val="32"/>
          <w:highlight w:val="none"/>
          <w:u w:val="none"/>
          <w:lang w:val="en-US" w:eastAsia="zh-CN"/>
        </w:rPr>
        <w:t>12.1</w:t>
      </w:r>
      <w:r>
        <w:rPr>
          <w:rFonts w:hint="eastAsia" w:ascii="宋体" w:hAnsi="宋体" w:eastAsia="方正仿宋简体" w:cs="方正仿宋简体"/>
          <w:color w:val="auto"/>
          <w:sz w:val="32"/>
          <w:szCs w:val="32"/>
          <w:highlight w:val="none"/>
          <w:u w:val="none"/>
        </w:rPr>
        <w:t>万亩，实现“田成方、渠相连、路相通、旱能灌、涝能排”，农田生产条件显著改善。严格落实粮食安全党政同责，健全粮食生产激励机制，稳定粮食播种</w:t>
      </w:r>
      <w:r>
        <w:rPr>
          <w:rFonts w:hint="eastAsia" w:ascii="宋体" w:hAnsi="宋体" w:eastAsia="方正仿宋简体" w:cs="方正仿宋简体"/>
          <w:color w:val="auto"/>
          <w:sz w:val="32"/>
          <w:szCs w:val="32"/>
          <w:highlight w:val="none"/>
          <w:u w:val="none"/>
          <w:lang w:eastAsia="zh-CN"/>
        </w:rPr>
        <w:t>规模</w:t>
      </w:r>
      <w:r>
        <w:rPr>
          <w:rFonts w:hint="eastAsia" w:ascii="宋体" w:hAnsi="宋体" w:eastAsia="方正仿宋简体" w:cs="方正仿宋简体"/>
          <w:color w:val="auto"/>
          <w:sz w:val="32"/>
          <w:szCs w:val="32"/>
          <w:highlight w:val="none"/>
          <w:u w:val="none"/>
        </w:rPr>
        <w:t>，全市粮食播种面积持续稳定在9-10万亩，其中小麦、玉米等主要粮食作物播种面积占比达80%以上。2025年，全市粮食总产量达</w:t>
      </w:r>
      <w:r>
        <w:rPr>
          <w:rFonts w:hint="eastAsia" w:ascii="宋体" w:hAnsi="宋体" w:eastAsia="方正仿宋简体" w:cs="方正仿宋简体"/>
          <w:color w:val="auto"/>
          <w:sz w:val="32"/>
          <w:szCs w:val="32"/>
          <w:highlight w:val="none"/>
          <w:u w:val="none"/>
          <w:lang w:val="en-US" w:eastAsia="zh-CN"/>
        </w:rPr>
        <w:t>7.55</w:t>
      </w:r>
      <w:r>
        <w:rPr>
          <w:rFonts w:hint="eastAsia" w:ascii="宋体" w:hAnsi="宋体" w:eastAsia="方正仿宋简体" w:cs="方正仿宋简体"/>
          <w:color w:val="auto"/>
          <w:sz w:val="32"/>
          <w:szCs w:val="32"/>
          <w:highlight w:val="none"/>
          <w:u w:val="none"/>
        </w:rPr>
        <w:t>万吨，较2020年增长12.3%</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切实筑牢粮食安全防线。同时，大力推进农业机械化升级，配备各类农业机械</w:t>
      </w:r>
      <w:r>
        <w:rPr>
          <w:rFonts w:hint="eastAsia" w:ascii="宋体" w:hAnsi="宋体" w:eastAsia="方正仿宋简体" w:cs="方正仿宋简体"/>
          <w:color w:val="auto"/>
          <w:sz w:val="32"/>
          <w:szCs w:val="32"/>
          <w:highlight w:val="none"/>
          <w:u w:val="none"/>
          <w:lang w:val="en-US" w:eastAsia="zh-CN"/>
        </w:rPr>
        <w:t>1460</w:t>
      </w:r>
      <w:r>
        <w:rPr>
          <w:rFonts w:hint="eastAsia" w:ascii="宋体" w:hAnsi="宋体" w:eastAsia="方正仿宋简体" w:cs="方正仿宋简体"/>
          <w:color w:val="auto"/>
          <w:sz w:val="32"/>
          <w:szCs w:val="32"/>
          <w:highlight w:val="none"/>
          <w:u w:val="none"/>
        </w:rPr>
        <w:t>台（套），主要农作物耕种收综合机械化率达到99.5%，小麦、玉米全程机械化率实现100%，农业生产效率大幅提升。</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49" w:name="heading_4"/>
      <w:r>
        <w:rPr>
          <w:rFonts w:hint="eastAsia" w:ascii="宋体" w:hAnsi="宋体" w:eastAsia="方正楷体简体" w:cs="方正楷体简体"/>
          <w:b/>
          <w:bCs/>
          <w:color w:val="auto"/>
          <w:sz w:val="32"/>
          <w:szCs w:val="32"/>
          <w:highlight w:val="none"/>
          <w:u w:val="none"/>
        </w:rPr>
        <w:t>（二）特色产业集群初步成型</w:t>
      </w:r>
      <w:bookmarkEnd w:id="49"/>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立足资源禀赋，聚焦“</w:t>
      </w:r>
      <w:r>
        <w:rPr>
          <w:rFonts w:hint="eastAsia" w:ascii="宋体" w:hAnsi="宋体" w:eastAsia="方正仿宋简体" w:cs="方正仿宋简体"/>
          <w:color w:val="auto"/>
          <w:sz w:val="32"/>
          <w:szCs w:val="32"/>
          <w:highlight w:val="none"/>
          <w:u w:val="none"/>
          <w:lang w:val="en-US" w:eastAsia="zh-CN"/>
        </w:rPr>
        <w:t>6+1</w:t>
      </w:r>
      <w:r>
        <w:rPr>
          <w:rFonts w:hint="eastAsia" w:ascii="宋体" w:hAnsi="宋体" w:eastAsia="方正仿宋简体" w:cs="方正仿宋简体"/>
          <w:color w:val="auto"/>
          <w:sz w:val="32"/>
          <w:szCs w:val="32"/>
          <w:highlight w:val="none"/>
          <w:u w:val="none"/>
        </w:rPr>
        <w:t>”产业发展格局，重点培育家禽养殖、特色果蔬、花卉苗木等优势产业，</w:t>
      </w:r>
      <w:r>
        <w:rPr>
          <w:rFonts w:hint="eastAsia" w:ascii="宋体" w:hAnsi="宋体" w:eastAsia="方正仿宋简体" w:cs="方正仿宋简体"/>
          <w:color w:val="auto"/>
          <w:sz w:val="32"/>
          <w:szCs w:val="32"/>
          <w:highlight w:val="none"/>
          <w:u w:val="none"/>
          <w:lang w:eastAsia="zh-CN"/>
        </w:rPr>
        <w:t>构建</w:t>
      </w:r>
      <w:r>
        <w:rPr>
          <w:rFonts w:hint="eastAsia" w:ascii="宋体" w:hAnsi="宋体" w:eastAsia="方正仿宋简体" w:cs="方正仿宋简体"/>
          <w:color w:val="auto"/>
          <w:sz w:val="32"/>
          <w:szCs w:val="32"/>
          <w:highlight w:val="none"/>
          <w:u w:val="none"/>
        </w:rPr>
        <w:t>形成具有霍尔果斯特色的农业产业体系。家禽产业实现全链条发展，培育东特、新帅食品等龙头企业，建成标准化养殖基地</w:t>
      </w:r>
      <w:r>
        <w:rPr>
          <w:rFonts w:hint="eastAsia" w:ascii="宋体" w:hAnsi="宋体" w:eastAsia="方正仿宋简体" w:cs="方正仿宋简体"/>
          <w:color w:val="auto"/>
          <w:sz w:val="32"/>
          <w:szCs w:val="32"/>
          <w:highlight w:val="none"/>
          <w:u w:val="none"/>
          <w:lang w:val="en-US" w:eastAsia="zh-CN"/>
        </w:rPr>
        <w:t>3</w:t>
      </w:r>
      <w:r>
        <w:rPr>
          <w:rFonts w:hint="eastAsia" w:ascii="宋体" w:hAnsi="宋体" w:eastAsia="方正仿宋简体" w:cs="方正仿宋简体"/>
          <w:color w:val="auto"/>
          <w:sz w:val="32"/>
          <w:szCs w:val="32"/>
          <w:highlight w:val="none"/>
          <w:u w:val="none"/>
        </w:rPr>
        <w:t>个，配套建设屠宰加工、冷链物流、饲料生产等设施，2025年家禽全产业链年产值达</w:t>
      </w:r>
      <w:r>
        <w:rPr>
          <w:rFonts w:hint="eastAsia" w:ascii="宋体" w:hAnsi="宋体" w:eastAsia="方正仿宋简体" w:cs="方正仿宋简体"/>
          <w:color w:val="auto"/>
          <w:sz w:val="32"/>
          <w:szCs w:val="32"/>
          <w:highlight w:val="none"/>
          <w:u w:val="none"/>
          <w:lang w:val="en-US" w:eastAsia="zh-CN"/>
        </w:rPr>
        <w:t>10.9</w:t>
      </w:r>
      <w:r>
        <w:rPr>
          <w:rFonts w:hint="eastAsia" w:ascii="宋体" w:hAnsi="宋体" w:eastAsia="方正仿宋简体" w:cs="方正仿宋简体"/>
          <w:color w:val="auto"/>
          <w:sz w:val="32"/>
          <w:szCs w:val="32"/>
          <w:highlight w:val="none"/>
          <w:u w:val="none"/>
        </w:rPr>
        <w:t>亿元，年出栏家禽</w:t>
      </w:r>
      <w:r>
        <w:rPr>
          <w:rFonts w:hint="eastAsia" w:ascii="宋体" w:hAnsi="宋体" w:eastAsia="方正仿宋简体" w:cs="方正仿宋简体"/>
          <w:color w:val="auto"/>
          <w:sz w:val="32"/>
          <w:szCs w:val="32"/>
          <w:highlight w:val="none"/>
          <w:u w:val="none"/>
          <w:lang w:val="en-US" w:eastAsia="zh-CN"/>
        </w:rPr>
        <w:t>1281</w:t>
      </w:r>
      <w:r>
        <w:rPr>
          <w:rFonts w:hint="eastAsia" w:ascii="宋体" w:hAnsi="宋体" w:eastAsia="方正仿宋简体" w:cs="方正仿宋简体"/>
          <w:color w:val="auto"/>
          <w:sz w:val="32"/>
          <w:szCs w:val="32"/>
          <w:highlight w:val="none"/>
          <w:u w:val="none"/>
        </w:rPr>
        <w:t>万羽，白羽鸡成功入选国家名特优新农产品名录，产品远销疆内外</w:t>
      </w:r>
      <w:r>
        <w:rPr>
          <w:rFonts w:hint="eastAsia" w:ascii="宋体" w:hAnsi="宋体" w:eastAsia="方正仿宋简体" w:cs="方正仿宋简体"/>
          <w:color w:val="auto"/>
          <w:sz w:val="32"/>
          <w:szCs w:val="32"/>
          <w:highlight w:val="none"/>
          <w:u w:val="none"/>
          <w:lang w:eastAsia="zh-CN"/>
        </w:rPr>
        <w:t>市场</w:t>
      </w:r>
      <w:r>
        <w:rPr>
          <w:rFonts w:hint="eastAsia" w:ascii="宋体" w:hAnsi="宋体" w:eastAsia="方正仿宋简体" w:cs="方正仿宋简体"/>
          <w:color w:val="auto"/>
          <w:sz w:val="32"/>
          <w:szCs w:val="32"/>
          <w:highlight w:val="none"/>
          <w:u w:val="none"/>
        </w:rPr>
        <w:t>。特色果蔬产业快速发展，依托伊车嘎善锡伯族乡、</w:t>
      </w:r>
      <w:r>
        <w:rPr>
          <w:rFonts w:hint="eastAsia" w:ascii="宋体" w:hAnsi="宋体" w:eastAsia="方正仿宋简体" w:cs="方正仿宋简体"/>
          <w:color w:val="auto"/>
          <w:sz w:val="32"/>
          <w:szCs w:val="32"/>
          <w:highlight w:val="none"/>
          <w:u w:val="none"/>
          <w:lang w:eastAsia="zh-CN"/>
        </w:rPr>
        <w:t>兴城街道</w:t>
      </w:r>
      <w:r>
        <w:rPr>
          <w:rFonts w:hint="eastAsia" w:ascii="宋体" w:hAnsi="宋体" w:eastAsia="方正仿宋简体" w:cs="方正仿宋简体"/>
          <w:color w:val="auto"/>
          <w:sz w:val="32"/>
          <w:szCs w:val="32"/>
          <w:highlight w:val="none"/>
          <w:u w:val="none"/>
        </w:rPr>
        <w:t>等区域优势，规模化种植番茄、蟠桃、西梅、樱桃等作物，建成标准化种植基地</w:t>
      </w:r>
      <w:r>
        <w:rPr>
          <w:rFonts w:hint="eastAsia" w:ascii="宋体" w:hAnsi="宋体" w:eastAsia="方正仿宋简体" w:cs="方正仿宋简体"/>
          <w:color w:val="auto"/>
          <w:sz w:val="32"/>
          <w:szCs w:val="32"/>
          <w:highlight w:val="none"/>
          <w:u w:val="none"/>
          <w:lang w:val="en-US" w:eastAsia="zh-CN"/>
        </w:rPr>
        <w:t>1.63</w:t>
      </w:r>
      <w:r>
        <w:rPr>
          <w:rFonts w:hint="eastAsia" w:ascii="宋体" w:hAnsi="宋体" w:eastAsia="方正仿宋简体" w:cs="方正仿宋简体"/>
          <w:color w:val="auto"/>
          <w:sz w:val="32"/>
          <w:szCs w:val="32"/>
          <w:highlight w:val="none"/>
          <w:u w:val="none"/>
        </w:rPr>
        <w:t>万亩，2025年果蔬总产量达</w:t>
      </w:r>
      <w:r>
        <w:rPr>
          <w:rFonts w:hint="eastAsia" w:ascii="宋体" w:hAnsi="宋体" w:eastAsia="方正仿宋简体" w:cs="方正仿宋简体"/>
          <w:color w:val="auto"/>
          <w:sz w:val="32"/>
          <w:szCs w:val="32"/>
          <w:highlight w:val="none"/>
          <w:u w:val="none"/>
          <w:lang w:val="en-US" w:eastAsia="zh-CN"/>
        </w:rPr>
        <w:t>4.79</w:t>
      </w:r>
      <w:r>
        <w:rPr>
          <w:rFonts w:hint="eastAsia" w:ascii="宋体" w:hAnsi="宋体" w:eastAsia="方正仿宋简体" w:cs="方正仿宋简体"/>
          <w:color w:val="auto"/>
          <w:sz w:val="32"/>
          <w:szCs w:val="32"/>
          <w:highlight w:val="none"/>
          <w:u w:val="none"/>
        </w:rPr>
        <w:t>万吨，产值突破</w:t>
      </w:r>
      <w:r>
        <w:rPr>
          <w:rFonts w:hint="eastAsia" w:ascii="宋体" w:hAnsi="宋体" w:eastAsia="方正仿宋简体" w:cs="方正仿宋简体"/>
          <w:color w:val="auto"/>
          <w:sz w:val="32"/>
          <w:szCs w:val="32"/>
          <w:highlight w:val="none"/>
          <w:u w:val="none"/>
          <w:lang w:val="en-US" w:eastAsia="zh-CN"/>
        </w:rPr>
        <w:t>4</w:t>
      </w:r>
      <w:r>
        <w:rPr>
          <w:rFonts w:hint="eastAsia" w:ascii="宋体" w:hAnsi="宋体" w:eastAsia="方正仿宋简体" w:cs="方正仿宋简体"/>
          <w:color w:val="auto"/>
          <w:sz w:val="32"/>
          <w:szCs w:val="32"/>
          <w:highlight w:val="none"/>
          <w:u w:val="none"/>
        </w:rPr>
        <w:t>亿元。花卉苗木产业</w:t>
      </w:r>
      <w:r>
        <w:rPr>
          <w:rFonts w:hint="eastAsia" w:ascii="宋体" w:hAnsi="宋体" w:eastAsia="方正仿宋简体" w:cs="方正仿宋简体"/>
          <w:color w:val="auto"/>
          <w:sz w:val="32"/>
          <w:szCs w:val="32"/>
          <w:highlight w:val="none"/>
          <w:u w:val="none"/>
          <w:lang w:eastAsia="zh-CN"/>
        </w:rPr>
        <w:t>蓬勃发展</w:t>
      </w:r>
      <w:r>
        <w:rPr>
          <w:rFonts w:hint="eastAsia" w:ascii="宋体" w:hAnsi="宋体" w:eastAsia="方正仿宋简体" w:cs="方正仿宋简体"/>
          <w:color w:val="auto"/>
          <w:sz w:val="32"/>
          <w:szCs w:val="32"/>
          <w:highlight w:val="none"/>
          <w:u w:val="none"/>
        </w:rPr>
        <w:t>，重点发展鲜切花、观赏苗木，建成伊车嘎善锡伯族乡清泉花卉苗木基地，2025年花卉产值较2020年增长235%，成为带动农民增收的新亮点。</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50" w:name="heading_5"/>
      <w:r>
        <w:rPr>
          <w:rFonts w:hint="eastAsia" w:ascii="宋体" w:hAnsi="宋体" w:eastAsia="方正楷体简体" w:cs="方正楷体简体"/>
          <w:b/>
          <w:bCs/>
          <w:color w:val="auto"/>
          <w:sz w:val="32"/>
          <w:szCs w:val="32"/>
          <w:highlight w:val="none"/>
          <w:u w:val="none"/>
        </w:rPr>
        <w:t>（三）开放农业发展初见成效</w:t>
      </w:r>
      <w:bookmarkEnd w:id="50"/>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充分发挥霍尔果斯口岸“两个市场、两种资源”的区位优势，主动对接中亚市场，推动农业开放合作迈出坚实步伐。依托自贸试验区霍尔果斯片区、综合保税区政策优势，引进培育现代农业科技产业园，推广无土栽培、智能温室、水肥一体化等先进技术，建成智能温室</w:t>
      </w:r>
      <w:r>
        <w:rPr>
          <w:rFonts w:hint="eastAsia" w:ascii="宋体" w:hAnsi="宋体" w:eastAsia="方正仿宋简体" w:cs="方正仿宋简体"/>
          <w:color w:val="auto"/>
          <w:sz w:val="32"/>
          <w:szCs w:val="32"/>
          <w:highlight w:val="none"/>
          <w:u w:val="none"/>
          <w:lang w:val="en-US" w:eastAsia="zh-CN"/>
        </w:rPr>
        <w:t>318</w:t>
      </w:r>
      <w:r>
        <w:rPr>
          <w:rFonts w:hint="eastAsia" w:ascii="宋体" w:hAnsi="宋体" w:eastAsia="方正仿宋简体" w:cs="方正仿宋简体"/>
          <w:color w:val="auto"/>
          <w:sz w:val="32"/>
          <w:szCs w:val="32"/>
          <w:highlight w:val="none"/>
          <w:u w:val="none"/>
        </w:rPr>
        <w:t>亩，实现果蔬反季节生产。积极拓展农产品出口渠道，组织企业参加各类农产品展销会，在苏州设立霍尔果斯特色农产品展销中心；推动番茄、桃、</w:t>
      </w:r>
      <w:r>
        <w:rPr>
          <w:rFonts w:hint="eastAsia" w:ascii="宋体" w:hAnsi="宋体" w:eastAsia="方正仿宋简体" w:cs="方正仿宋简体"/>
          <w:color w:val="auto"/>
          <w:sz w:val="32"/>
          <w:szCs w:val="32"/>
          <w:highlight w:val="none"/>
          <w:u w:val="none"/>
          <w:lang w:val="en-US" w:eastAsia="zh-CN"/>
        </w:rPr>
        <w:t>苹果</w:t>
      </w:r>
      <w:r>
        <w:rPr>
          <w:rFonts w:hint="eastAsia" w:ascii="宋体" w:hAnsi="宋体" w:eastAsia="方正仿宋简体" w:cs="方正仿宋简体"/>
          <w:color w:val="auto"/>
          <w:sz w:val="32"/>
          <w:szCs w:val="32"/>
          <w:highlight w:val="none"/>
          <w:u w:val="none"/>
        </w:rPr>
        <w:t>等特色</w:t>
      </w:r>
      <w:r>
        <w:rPr>
          <w:rFonts w:hint="eastAsia" w:ascii="宋体" w:hAnsi="宋体" w:eastAsia="方正仿宋简体" w:cs="方正仿宋简体"/>
          <w:color w:val="auto"/>
          <w:sz w:val="32"/>
          <w:szCs w:val="32"/>
          <w:highlight w:val="none"/>
          <w:u w:val="none"/>
          <w:lang w:val="en-US" w:eastAsia="zh-CN"/>
        </w:rPr>
        <w:t>果蔬</w:t>
      </w:r>
      <w:r>
        <w:rPr>
          <w:rFonts w:hint="eastAsia" w:ascii="宋体" w:hAnsi="宋体" w:eastAsia="方正仿宋简体" w:cs="方正仿宋简体"/>
          <w:color w:val="auto"/>
          <w:sz w:val="32"/>
          <w:szCs w:val="32"/>
          <w:highlight w:val="none"/>
          <w:u w:val="none"/>
        </w:rPr>
        <w:t>出口中亚，</w:t>
      </w:r>
      <w:r>
        <w:rPr>
          <w:rFonts w:hint="eastAsia" w:ascii="宋体" w:hAnsi="宋体" w:eastAsia="方正仿宋简体" w:cs="方正仿宋简体"/>
          <w:color w:val="auto"/>
          <w:sz w:val="32"/>
          <w:szCs w:val="32"/>
          <w:highlight w:val="none"/>
          <w:u w:val="none"/>
          <w:lang w:eastAsia="zh-CN"/>
        </w:rPr>
        <w:t>并</w:t>
      </w:r>
      <w:r>
        <w:rPr>
          <w:rFonts w:hint="eastAsia" w:ascii="宋体" w:hAnsi="宋体" w:eastAsia="方正仿宋简体" w:cs="方正仿宋简体"/>
          <w:color w:val="auto"/>
          <w:sz w:val="32"/>
          <w:szCs w:val="32"/>
          <w:highlight w:val="none"/>
          <w:u w:val="none"/>
        </w:rPr>
        <w:t>加强与哈萨克斯坦等中亚国家的农业合作，开展农产品贸易、品种引进、技术交流等合作，为跨境农业发展奠定基础。</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51" w:name="heading_6"/>
      <w:r>
        <w:rPr>
          <w:rFonts w:hint="eastAsia" w:ascii="宋体" w:hAnsi="宋体" w:eastAsia="方正楷体简体" w:cs="方正楷体简体"/>
          <w:b/>
          <w:bCs/>
          <w:color w:val="auto"/>
          <w:sz w:val="32"/>
          <w:szCs w:val="32"/>
          <w:highlight w:val="none"/>
          <w:u w:val="none"/>
        </w:rPr>
        <w:t>（四）乡村建设水平稳步提升</w:t>
      </w:r>
      <w:bookmarkEnd w:id="51"/>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学习运用“千万工程”经验，以乡村建设行动为抓手，持续完善农村基础设施，改善农村人居环境，推进乡村宜居宜业。“十四五”期间，打造乡村振兴示范村</w:t>
      </w:r>
      <w:r>
        <w:rPr>
          <w:rFonts w:hint="eastAsia" w:ascii="宋体" w:hAnsi="宋体" w:eastAsia="方正仿宋简体" w:cs="方正仿宋简体"/>
          <w:color w:val="auto"/>
          <w:sz w:val="32"/>
          <w:szCs w:val="32"/>
          <w:highlight w:val="none"/>
          <w:u w:val="none"/>
          <w:lang w:val="en-US" w:eastAsia="zh-CN"/>
        </w:rPr>
        <w:t>5</w:t>
      </w:r>
      <w:r>
        <w:rPr>
          <w:rFonts w:hint="eastAsia" w:ascii="宋体" w:hAnsi="宋体" w:eastAsia="方正仿宋简体" w:cs="方正仿宋简体"/>
          <w:color w:val="auto"/>
          <w:sz w:val="32"/>
          <w:szCs w:val="32"/>
          <w:highlight w:val="none"/>
          <w:u w:val="none"/>
        </w:rPr>
        <w:t>个，村庄面貌焕然一新。农村基础设施持续完善，改造农村公路</w:t>
      </w:r>
      <w:r>
        <w:rPr>
          <w:rFonts w:hint="eastAsia" w:ascii="宋体" w:hAnsi="宋体" w:eastAsia="方正仿宋简体" w:cs="方正仿宋简体"/>
          <w:color w:val="auto"/>
          <w:sz w:val="32"/>
          <w:szCs w:val="32"/>
          <w:highlight w:val="none"/>
          <w:u w:val="none"/>
          <w:lang w:val="en-US" w:eastAsia="zh-CN"/>
        </w:rPr>
        <w:t>519.94</w:t>
      </w:r>
      <w:r>
        <w:rPr>
          <w:rFonts w:hint="eastAsia" w:ascii="宋体" w:hAnsi="宋体" w:eastAsia="方正仿宋简体" w:cs="方正仿宋简体"/>
          <w:color w:val="auto"/>
          <w:sz w:val="32"/>
          <w:szCs w:val="32"/>
          <w:highlight w:val="none"/>
          <w:u w:val="none"/>
        </w:rPr>
        <w:t>公里，全</w:t>
      </w:r>
      <w:r>
        <w:rPr>
          <w:rFonts w:hint="eastAsia" w:ascii="宋体" w:hAnsi="宋体" w:eastAsia="方正仿宋简体" w:cs="方正仿宋简体"/>
          <w:color w:val="auto"/>
          <w:sz w:val="32"/>
          <w:szCs w:val="32"/>
          <w:highlight w:val="none"/>
          <w:u w:val="none"/>
          <w:lang w:eastAsia="zh-CN"/>
        </w:rPr>
        <w:t>市</w:t>
      </w:r>
      <w:r>
        <w:rPr>
          <w:rFonts w:hint="eastAsia" w:ascii="宋体" w:hAnsi="宋体" w:eastAsia="方正仿宋简体" w:cs="方正仿宋简体"/>
          <w:color w:val="auto"/>
          <w:sz w:val="32"/>
          <w:szCs w:val="32"/>
          <w:highlight w:val="none"/>
          <w:u w:val="none"/>
        </w:rPr>
        <w:t>所有行政村实现通硬化路、通公交车，农村出行条件显著改善；农村供水、污水管网、天然气入户等工程有序推进，农村自来水普及率达</w:t>
      </w:r>
      <w:r>
        <w:rPr>
          <w:rFonts w:hint="eastAsia" w:ascii="宋体" w:hAnsi="宋体" w:eastAsia="方正仿宋简体" w:cs="方正仿宋简体"/>
          <w:color w:val="auto"/>
          <w:sz w:val="32"/>
          <w:szCs w:val="32"/>
          <w:highlight w:val="none"/>
          <w:u w:val="none"/>
          <w:lang w:val="en-US" w:eastAsia="zh-CN"/>
        </w:rPr>
        <w:t>100</w:t>
      </w:r>
      <w:r>
        <w:rPr>
          <w:rFonts w:hint="eastAsia" w:ascii="宋体" w:hAnsi="宋体" w:eastAsia="方正仿宋简体" w:cs="方正仿宋简体"/>
          <w:color w:val="auto"/>
          <w:sz w:val="32"/>
          <w:szCs w:val="32"/>
          <w:highlight w:val="none"/>
          <w:u w:val="none"/>
        </w:rPr>
        <w:t>%，农村生活污水治理</w:t>
      </w:r>
      <w:r>
        <w:rPr>
          <w:rFonts w:hint="eastAsia" w:ascii="宋体" w:hAnsi="宋体" w:eastAsia="方正仿宋简体" w:cs="方正仿宋简体"/>
          <w:color w:val="auto"/>
          <w:sz w:val="32"/>
          <w:szCs w:val="32"/>
          <w:highlight w:val="none"/>
          <w:u w:val="none"/>
          <w:lang w:eastAsia="zh-CN"/>
        </w:rPr>
        <w:t>（管控）</w:t>
      </w:r>
      <w:r>
        <w:rPr>
          <w:rFonts w:hint="eastAsia" w:ascii="宋体" w:hAnsi="宋体" w:eastAsia="方正仿宋简体" w:cs="方正仿宋简体"/>
          <w:color w:val="auto"/>
          <w:sz w:val="32"/>
          <w:szCs w:val="32"/>
          <w:highlight w:val="none"/>
          <w:u w:val="none"/>
        </w:rPr>
        <w:t>率达</w:t>
      </w:r>
      <w:r>
        <w:rPr>
          <w:rFonts w:hint="eastAsia" w:ascii="宋体" w:hAnsi="宋体" w:eastAsia="方正仿宋简体" w:cs="方正仿宋简体"/>
          <w:color w:val="auto"/>
          <w:sz w:val="32"/>
          <w:szCs w:val="32"/>
          <w:highlight w:val="none"/>
          <w:u w:val="none"/>
          <w:lang w:val="en-US" w:eastAsia="zh-CN"/>
        </w:rPr>
        <w:t>61.53</w:t>
      </w:r>
      <w:r>
        <w:rPr>
          <w:rFonts w:hint="eastAsia" w:ascii="宋体" w:hAnsi="宋体" w:eastAsia="方正仿宋简体" w:cs="方正仿宋简体"/>
          <w:color w:val="auto"/>
          <w:sz w:val="32"/>
          <w:szCs w:val="32"/>
          <w:highlight w:val="none"/>
          <w:u w:val="none"/>
        </w:rPr>
        <w:t>%，天然气入户率达</w:t>
      </w:r>
      <w:r>
        <w:rPr>
          <w:rFonts w:hint="eastAsia" w:ascii="宋体" w:hAnsi="宋体" w:eastAsia="方正仿宋简体" w:cs="方正仿宋简体"/>
          <w:color w:val="auto"/>
          <w:sz w:val="32"/>
          <w:szCs w:val="32"/>
          <w:highlight w:val="none"/>
          <w:u w:val="none"/>
          <w:lang w:val="en-US" w:eastAsia="zh-CN"/>
        </w:rPr>
        <w:t>39.42</w:t>
      </w:r>
      <w:r>
        <w:rPr>
          <w:rFonts w:hint="eastAsia" w:ascii="宋体" w:hAnsi="宋体" w:eastAsia="方正仿宋简体" w:cs="方正仿宋简体"/>
          <w:color w:val="auto"/>
          <w:sz w:val="32"/>
          <w:szCs w:val="32"/>
          <w:highlight w:val="none"/>
          <w:u w:val="none"/>
        </w:rPr>
        <w:t>%。农村人居环境显著改善，实施农村厕所革命，改造卫生厕所</w:t>
      </w:r>
      <w:r>
        <w:rPr>
          <w:rFonts w:hint="eastAsia" w:ascii="宋体" w:hAnsi="宋体" w:eastAsia="方正仿宋简体" w:cs="方正仿宋简体"/>
          <w:color w:val="auto"/>
          <w:sz w:val="32"/>
          <w:szCs w:val="32"/>
          <w:highlight w:val="none"/>
          <w:u w:val="none"/>
          <w:lang w:val="en-US" w:eastAsia="zh-CN"/>
        </w:rPr>
        <w:t>4548</w:t>
      </w:r>
      <w:r>
        <w:rPr>
          <w:rFonts w:hint="eastAsia" w:ascii="宋体" w:hAnsi="宋体" w:eastAsia="方正仿宋简体" w:cs="方正仿宋简体"/>
          <w:color w:val="auto"/>
          <w:sz w:val="32"/>
          <w:szCs w:val="32"/>
          <w:highlight w:val="none"/>
          <w:u w:val="none"/>
        </w:rPr>
        <w:t>户，卫生厕所普及率达</w:t>
      </w:r>
      <w:r>
        <w:rPr>
          <w:rFonts w:hint="eastAsia" w:ascii="宋体" w:hAnsi="宋体" w:eastAsia="方正仿宋简体" w:cs="方正仿宋简体"/>
          <w:color w:val="auto"/>
          <w:sz w:val="32"/>
          <w:szCs w:val="32"/>
          <w:highlight w:val="none"/>
          <w:u w:val="none"/>
          <w:lang w:val="en-US" w:eastAsia="zh-CN"/>
        </w:rPr>
        <w:t>89.54</w:t>
      </w:r>
      <w:r>
        <w:rPr>
          <w:rFonts w:hint="eastAsia" w:ascii="宋体" w:hAnsi="宋体" w:eastAsia="方正仿宋简体" w:cs="方正仿宋简体"/>
          <w:color w:val="auto"/>
          <w:sz w:val="32"/>
          <w:szCs w:val="32"/>
          <w:highlight w:val="none"/>
          <w:u w:val="none"/>
        </w:rPr>
        <w:t>%；健全农村生活垃圾收运处置体系，实现“户分类、村收集、</w:t>
      </w:r>
      <w:r>
        <w:rPr>
          <w:rFonts w:hint="eastAsia" w:ascii="宋体" w:hAnsi="宋体" w:eastAsia="方正仿宋简体" w:cs="方正仿宋简体"/>
          <w:color w:val="auto"/>
          <w:sz w:val="32"/>
          <w:szCs w:val="32"/>
          <w:highlight w:val="none"/>
          <w:u w:val="none"/>
          <w:lang w:eastAsia="zh-CN"/>
        </w:rPr>
        <w:t>（街道）</w:t>
      </w:r>
      <w:r>
        <w:rPr>
          <w:rFonts w:hint="eastAsia" w:ascii="宋体" w:hAnsi="宋体" w:eastAsia="方正仿宋简体" w:cs="方正仿宋简体"/>
          <w:color w:val="auto"/>
          <w:sz w:val="32"/>
          <w:szCs w:val="32"/>
          <w:highlight w:val="none"/>
          <w:u w:val="none"/>
        </w:rPr>
        <w:t>转运、市处理”</w:t>
      </w:r>
      <w:r>
        <w:rPr>
          <w:rFonts w:hint="eastAsia" w:ascii="宋体" w:hAnsi="宋体" w:eastAsia="方正仿宋简体" w:cs="方正仿宋简体"/>
          <w:color w:val="auto"/>
          <w:sz w:val="32"/>
          <w:szCs w:val="32"/>
          <w:highlight w:val="none"/>
          <w:u w:val="none"/>
          <w:lang w:eastAsia="zh-CN"/>
        </w:rPr>
        <w:t>管理体系</w:t>
      </w:r>
      <w:r>
        <w:rPr>
          <w:rFonts w:hint="eastAsia" w:ascii="宋体" w:hAnsi="宋体" w:eastAsia="方正仿宋简体" w:cs="方正仿宋简体"/>
          <w:color w:val="auto"/>
          <w:sz w:val="32"/>
          <w:szCs w:val="32"/>
          <w:highlight w:val="none"/>
          <w:u w:val="none"/>
        </w:rPr>
        <w:t>全覆盖，农村生活垃圾无害化处理率</w:t>
      </w:r>
      <w:r>
        <w:rPr>
          <w:rFonts w:hint="eastAsia" w:ascii="宋体" w:hAnsi="宋体" w:eastAsia="方正仿宋简体" w:cs="方正仿宋简体"/>
          <w:color w:val="auto"/>
          <w:sz w:val="32"/>
          <w:szCs w:val="32"/>
          <w:highlight w:val="none"/>
          <w:u w:val="none"/>
          <w:lang w:val="en-US" w:eastAsia="zh-CN"/>
        </w:rPr>
        <w:t>100</w:t>
      </w:r>
      <w:r>
        <w:rPr>
          <w:rFonts w:hint="eastAsia" w:ascii="宋体" w:hAnsi="宋体" w:eastAsia="方正仿宋简体" w:cs="方正仿宋简体"/>
          <w:color w:val="auto"/>
          <w:sz w:val="32"/>
          <w:szCs w:val="32"/>
          <w:highlight w:val="none"/>
          <w:u w:val="none"/>
        </w:rPr>
        <w:t>%</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开展村庄绿化、亮化、美化工程，村容村貌更加整洁美观。</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52" w:name="heading_7"/>
      <w:r>
        <w:rPr>
          <w:rFonts w:hint="eastAsia" w:ascii="宋体" w:hAnsi="宋体" w:eastAsia="方正楷体简体" w:cs="方正楷体简体"/>
          <w:b/>
          <w:bCs/>
          <w:color w:val="auto"/>
          <w:sz w:val="32"/>
          <w:szCs w:val="32"/>
          <w:highlight w:val="none"/>
          <w:u w:val="none"/>
        </w:rPr>
        <w:t>（五）农村改革创新持续深化</w:t>
      </w:r>
      <w:bookmarkEnd w:id="52"/>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有序推进土地经营权流转，规范土地流转程序，健全土地流转服务体系，2025年全市土地流转</w:t>
      </w:r>
      <w:r>
        <w:rPr>
          <w:rFonts w:hint="eastAsia" w:ascii="宋体" w:hAnsi="宋体" w:eastAsia="方正仿宋简体" w:cs="方正仿宋简体"/>
          <w:color w:val="auto"/>
          <w:sz w:val="32"/>
          <w:szCs w:val="32"/>
          <w:highlight w:val="none"/>
          <w:u w:val="none"/>
          <w:lang w:eastAsia="zh-CN"/>
        </w:rPr>
        <w:t>有序开展</w:t>
      </w:r>
      <w:r>
        <w:rPr>
          <w:rFonts w:hint="eastAsia" w:ascii="宋体" w:hAnsi="宋体" w:eastAsia="方正仿宋简体" w:cs="方正仿宋简体"/>
          <w:color w:val="auto"/>
          <w:sz w:val="32"/>
          <w:szCs w:val="32"/>
          <w:highlight w:val="none"/>
          <w:u w:val="none"/>
        </w:rPr>
        <w:t>，发展适度规模经营主体</w:t>
      </w:r>
      <w:r>
        <w:rPr>
          <w:rFonts w:hint="eastAsia" w:ascii="宋体" w:hAnsi="宋体" w:eastAsia="方正仿宋简体" w:cs="方正仿宋简体"/>
          <w:color w:val="auto"/>
          <w:sz w:val="32"/>
          <w:szCs w:val="32"/>
          <w:highlight w:val="none"/>
          <w:u w:val="none"/>
          <w:lang w:val="en-US" w:eastAsia="zh-CN"/>
        </w:rPr>
        <w:t>23</w:t>
      </w:r>
      <w:r>
        <w:rPr>
          <w:rFonts w:hint="eastAsia" w:ascii="宋体" w:hAnsi="宋体" w:eastAsia="方正仿宋简体" w:cs="方正仿宋简体"/>
          <w:color w:val="auto"/>
          <w:sz w:val="32"/>
          <w:szCs w:val="32"/>
          <w:highlight w:val="none"/>
          <w:u w:val="none"/>
        </w:rPr>
        <w:t>家。深化农村集体产权制度改革，完成农村集体资产清产核资、成员身份确认、股权量化等工作，全市</w:t>
      </w:r>
      <w:r>
        <w:rPr>
          <w:rFonts w:hint="eastAsia" w:ascii="宋体" w:hAnsi="宋体" w:eastAsia="方正仿宋简体" w:cs="方正仿宋简体"/>
          <w:color w:val="auto"/>
          <w:sz w:val="32"/>
          <w:szCs w:val="32"/>
          <w:highlight w:val="none"/>
          <w:u w:val="none"/>
          <w:lang w:val="en-US" w:eastAsia="zh-CN"/>
        </w:rPr>
        <w:t>5</w:t>
      </w:r>
      <w:r>
        <w:rPr>
          <w:rFonts w:hint="eastAsia" w:ascii="宋体" w:hAnsi="宋体" w:eastAsia="方正仿宋简体" w:cs="方正仿宋简体"/>
          <w:color w:val="auto"/>
          <w:sz w:val="32"/>
          <w:szCs w:val="32"/>
          <w:highlight w:val="none"/>
          <w:u w:val="none"/>
        </w:rPr>
        <w:t>个行政村全部成立村集体经济合作社，5个村集体经济收入</w:t>
      </w:r>
      <w:r>
        <w:rPr>
          <w:rFonts w:hint="eastAsia" w:ascii="宋体" w:hAnsi="宋体" w:eastAsia="方正仿宋简体" w:cs="方正仿宋简体"/>
          <w:color w:val="auto"/>
          <w:sz w:val="32"/>
          <w:szCs w:val="32"/>
          <w:highlight w:val="none"/>
          <w:u w:val="none"/>
          <w:lang w:val="en-US" w:eastAsia="zh-CN"/>
        </w:rPr>
        <w:t>均</w:t>
      </w:r>
      <w:r>
        <w:rPr>
          <w:rFonts w:hint="eastAsia" w:ascii="宋体" w:hAnsi="宋体" w:eastAsia="方正仿宋简体" w:cs="方正仿宋简体"/>
          <w:color w:val="auto"/>
          <w:sz w:val="32"/>
          <w:szCs w:val="32"/>
          <w:highlight w:val="none"/>
          <w:u w:val="none"/>
        </w:rPr>
        <w:t>超100万元。健全农业经营体系，“龙头企业+合作社+基地+农户”模式实现全覆盖，培育市级以上农业产业化龙头企业</w:t>
      </w:r>
      <w:r>
        <w:rPr>
          <w:rFonts w:hint="eastAsia" w:ascii="宋体" w:hAnsi="宋体" w:eastAsia="方正仿宋简体" w:cs="方正仿宋简体"/>
          <w:color w:val="auto"/>
          <w:sz w:val="32"/>
          <w:szCs w:val="32"/>
          <w:highlight w:val="none"/>
          <w:u w:val="none"/>
          <w:lang w:val="en-US" w:eastAsia="zh-CN"/>
        </w:rPr>
        <w:t>12</w:t>
      </w:r>
      <w:r>
        <w:rPr>
          <w:rFonts w:hint="eastAsia" w:ascii="宋体" w:hAnsi="宋体" w:eastAsia="方正仿宋简体" w:cs="方正仿宋简体"/>
          <w:color w:val="auto"/>
          <w:sz w:val="32"/>
          <w:szCs w:val="32"/>
          <w:highlight w:val="none"/>
          <w:u w:val="none"/>
        </w:rPr>
        <w:t>家、示范合作社</w:t>
      </w:r>
      <w:r>
        <w:rPr>
          <w:rFonts w:hint="eastAsia" w:ascii="宋体" w:hAnsi="宋体" w:eastAsia="方正仿宋简体" w:cs="方正仿宋简体"/>
          <w:color w:val="auto"/>
          <w:sz w:val="32"/>
          <w:szCs w:val="32"/>
          <w:highlight w:val="none"/>
          <w:u w:val="none"/>
          <w:lang w:val="en-US" w:eastAsia="zh-CN"/>
        </w:rPr>
        <w:t>10</w:t>
      </w:r>
      <w:r>
        <w:rPr>
          <w:rFonts w:hint="eastAsia" w:ascii="宋体" w:hAnsi="宋体" w:eastAsia="方正仿宋简体" w:cs="方正仿宋简体"/>
          <w:color w:val="auto"/>
          <w:sz w:val="32"/>
          <w:szCs w:val="32"/>
          <w:highlight w:val="none"/>
          <w:u w:val="none"/>
        </w:rPr>
        <w:t>家、家庭农场</w:t>
      </w:r>
      <w:r>
        <w:rPr>
          <w:rFonts w:hint="eastAsia" w:ascii="宋体" w:hAnsi="宋体" w:eastAsia="方正仿宋简体" w:cs="方正仿宋简体"/>
          <w:color w:val="auto"/>
          <w:sz w:val="32"/>
          <w:szCs w:val="32"/>
          <w:highlight w:val="none"/>
          <w:u w:val="none"/>
          <w:lang w:val="en-US" w:eastAsia="zh-CN"/>
        </w:rPr>
        <w:t>4</w:t>
      </w:r>
      <w:r>
        <w:rPr>
          <w:rFonts w:hint="eastAsia" w:ascii="宋体" w:hAnsi="宋体" w:eastAsia="方正仿宋简体" w:cs="方正仿宋简体"/>
          <w:color w:val="auto"/>
          <w:sz w:val="32"/>
          <w:szCs w:val="32"/>
          <w:highlight w:val="none"/>
          <w:u w:val="none"/>
        </w:rPr>
        <w:t>家，新型经营主体带动农户增收能力持续增强。同时，落实农业补贴、税收优惠等政策，激发农业农村发展活力。</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53" w:name="heading_8"/>
      <w:r>
        <w:rPr>
          <w:rFonts w:hint="eastAsia" w:ascii="宋体" w:hAnsi="宋体" w:eastAsia="方正楷体简体" w:cs="方正楷体简体"/>
          <w:b/>
          <w:bCs/>
          <w:color w:val="auto"/>
          <w:sz w:val="32"/>
          <w:szCs w:val="32"/>
          <w:highlight w:val="none"/>
          <w:u w:val="none"/>
        </w:rPr>
        <w:t>（六）衔接机制持续健全，稳贫防贫基础夯实</w:t>
      </w:r>
      <w:bookmarkEnd w:id="53"/>
      <w:bookmarkStart w:id="54" w:name="heading_9"/>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“十四五”时期，严格落实</w:t>
      </w:r>
      <w:r>
        <w:rPr>
          <w:rFonts w:hint="eastAsia" w:ascii="宋体" w:hAnsi="宋体" w:eastAsia="方正仿宋简体" w:cs="方正仿宋简体"/>
          <w:color w:val="auto"/>
          <w:sz w:val="32"/>
          <w:szCs w:val="32"/>
          <w:highlight w:val="none"/>
          <w:u w:val="none"/>
          <w:lang w:eastAsia="zh-CN"/>
        </w:rPr>
        <w:t>“四个不摘”</w:t>
      </w:r>
      <w:r>
        <w:rPr>
          <w:rFonts w:hint="eastAsia" w:ascii="宋体" w:hAnsi="宋体" w:eastAsia="方正仿宋简体" w:cs="方正仿宋简体"/>
          <w:color w:val="auto"/>
          <w:sz w:val="32"/>
          <w:szCs w:val="32"/>
          <w:highlight w:val="none"/>
          <w:u w:val="none"/>
        </w:rPr>
        <w:t>工作要求，健全巩固拓展脱贫攻坚成果长效机制，层层压实帮扶工作责任</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常态化开展防止返贫动态监测和走访排查，精准锁定脱贫户、监测户</w:t>
      </w:r>
      <w:r>
        <w:rPr>
          <w:rFonts w:hint="eastAsia" w:ascii="宋体" w:hAnsi="宋体" w:eastAsia="方正仿宋简体" w:cs="方正仿宋简体"/>
          <w:color w:val="auto"/>
          <w:sz w:val="32"/>
          <w:szCs w:val="32"/>
          <w:highlight w:val="none"/>
          <w:u w:val="none"/>
          <w:lang w:eastAsia="zh-CN"/>
        </w:rPr>
        <w:t>等</w:t>
      </w:r>
      <w:r>
        <w:rPr>
          <w:rFonts w:hint="eastAsia" w:ascii="宋体" w:hAnsi="宋体" w:eastAsia="方正仿宋简体" w:cs="方正仿宋简体"/>
          <w:color w:val="auto"/>
          <w:sz w:val="32"/>
          <w:szCs w:val="32"/>
          <w:highlight w:val="none"/>
          <w:u w:val="none"/>
        </w:rPr>
        <w:t>三类重点群体，做到早发现、早干预、早帮扶。持续抓实产业帮扶、就业帮扶、政策兜底保障等重点举措，补齐农村低收入群体生产生活短板弱项。统筹整合各类帮扶资金，重点向农村基础设施提档升级、特色优势产业培育发展倾斜，推动脱贫群众收入稳步提升、内生发展动力不断增强，</w:t>
      </w:r>
      <w:r>
        <w:rPr>
          <w:rFonts w:hint="eastAsia" w:ascii="宋体" w:hAnsi="宋体" w:eastAsia="方正仿宋简体" w:cs="方正仿宋简体"/>
          <w:color w:val="auto"/>
          <w:sz w:val="32"/>
          <w:szCs w:val="32"/>
          <w:highlight w:val="none"/>
          <w:u w:val="none"/>
          <w:lang w:eastAsia="zh-CN"/>
        </w:rPr>
        <w:t>巩固拓展脱贫攻坚成果同乡村振兴有效衔接</w:t>
      </w:r>
      <w:r>
        <w:rPr>
          <w:rFonts w:hint="eastAsia" w:ascii="宋体" w:hAnsi="宋体" w:eastAsia="方正仿宋简体" w:cs="方正仿宋简体"/>
          <w:color w:val="auto"/>
          <w:sz w:val="32"/>
          <w:szCs w:val="32"/>
          <w:highlight w:val="none"/>
          <w:u w:val="none"/>
        </w:rPr>
        <w:t>工作平稳有序落地，为“十五五”时期纵深推进有效衔接、提质增效夯实了坚实基础。</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rPr>
          <w:rFonts w:hint="eastAsia" w:ascii="宋体" w:hAnsi="宋体" w:eastAsia="黑体" w:cs="黑体"/>
          <w:color w:val="auto"/>
          <w:sz w:val="32"/>
          <w:szCs w:val="32"/>
          <w:highlight w:val="none"/>
          <w:u w:val="none"/>
        </w:rPr>
      </w:pPr>
      <w:bookmarkStart w:id="55" w:name="OLE_LINK1"/>
      <w:bookmarkStart w:id="56" w:name="_Toc8396_WPSOffice_Level2"/>
      <w:r>
        <w:rPr>
          <w:rFonts w:hint="eastAsia" w:ascii="宋体" w:hAnsi="宋体" w:eastAsia="黑体" w:cs="黑体"/>
          <w:color w:val="auto"/>
          <w:sz w:val="32"/>
          <w:szCs w:val="32"/>
          <w:highlight w:val="none"/>
          <w:u w:val="none"/>
          <w:lang w:eastAsia="zh-CN"/>
        </w:rPr>
        <w:t>第二节</w:t>
      </w:r>
      <w:bookmarkEnd w:id="55"/>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color w:val="auto"/>
          <w:sz w:val="32"/>
          <w:szCs w:val="32"/>
          <w:highlight w:val="none"/>
          <w:u w:val="none"/>
        </w:rPr>
        <w:t>面临</w:t>
      </w:r>
      <w:r>
        <w:rPr>
          <w:rFonts w:hint="eastAsia" w:ascii="宋体" w:hAnsi="宋体" w:eastAsia="黑体" w:cs="黑体"/>
          <w:color w:val="auto"/>
          <w:sz w:val="32"/>
          <w:szCs w:val="32"/>
          <w:highlight w:val="none"/>
          <w:u w:val="none"/>
          <w:lang w:eastAsia="zh-CN"/>
        </w:rPr>
        <w:t>的</w:t>
      </w:r>
      <w:r>
        <w:rPr>
          <w:rFonts w:hint="eastAsia" w:ascii="宋体" w:hAnsi="宋体" w:eastAsia="黑体" w:cs="黑体"/>
          <w:color w:val="auto"/>
          <w:sz w:val="32"/>
          <w:szCs w:val="32"/>
          <w:highlight w:val="none"/>
          <w:u w:val="none"/>
        </w:rPr>
        <w:t>挑战</w:t>
      </w:r>
      <w:bookmarkEnd w:id="54"/>
      <w:bookmarkEnd w:id="56"/>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尽管“十四五”时期霍尔果斯市农业农村发展取得了显著成效，但对标农业农村现代化要求和群众对美好生活的期盼，仍存在一些短板不足，“十五五”时期面临的挑战依然严峻。</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57" w:name="heading_10"/>
      <w:r>
        <w:rPr>
          <w:rFonts w:hint="eastAsia" w:ascii="宋体" w:hAnsi="宋体" w:eastAsia="方正楷体简体" w:cs="方正楷体简体"/>
          <w:b/>
          <w:bCs/>
          <w:color w:val="auto"/>
          <w:sz w:val="32"/>
          <w:szCs w:val="32"/>
          <w:highlight w:val="none"/>
          <w:u w:val="none"/>
        </w:rPr>
        <w:t>（一）产业发展层次偏低，竞争力不强</w:t>
      </w:r>
      <w:bookmarkEnd w:id="57"/>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农业产业仍以初级生产、初级加工为主，产业链条短、附加值低，农产品精深加工占比不足30%，缺乏高端产品和知名品牌，品牌溢价能力弱。家禽、番茄等优势产业虽已形成一定规模，但精深加工环节薄弱，主要以屠宰分割、</w:t>
      </w:r>
      <w:r>
        <w:rPr>
          <w:rFonts w:hint="eastAsia" w:ascii="宋体" w:hAnsi="宋体" w:eastAsia="方正仿宋简体" w:cs="方正仿宋简体"/>
          <w:color w:val="auto"/>
          <w:sz w:val="32"/>
          <w:szCs w:val="32"/>
          <w:highlight w:val="none"/>
          <w:u w:val="none"/>
          <w:lang w:val="en-US" w:eastAsia="zh-CN"/>
        </w:rPr>
        <w:t>种植生产</w:t>
      </w:r>
      <w:r>
        <w:rPr>
          <w:rFonts w:hint="eastAsia" w:ascii="宋体" w:hAnsi="宋体" w:eastAsia="方正仿宋简体" w:cs="方正仿宋简体"/>
          <w:color w:val="auto"/>
          <w:sz w:val="32"/>
          <w:szCs w:val="32"/>
          <w:highlight w:val="none"/>
          <w:u w:val="none"/>
        </w:rPr>
        <w:t>等初级加工为主，预制菜、熟食、番茄制品深加工等高端产品占比极低。花卉、特色林果等新兴产业规模偏小，布局分散，标准化生产水平不高，抗市场风险和自然风险能力不足。同时，农业社会化服务体系不完善，技术指导、冷链物流、市场营销等服务能力有待提升，小农户与现代农业衔接不够紧密。</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58" w:name="heading_11"/>
      <w:r>
        <w:rPr>
          <w:rFonts w:hint="eastAsia" w:ascii="宋体" w:hAnsi="宋体" w:eastAsia="方正楷体简体" w:cs="方正楷体简体"/>
          <w:b/>
          <w:bCs/>
          <w:color w:val="auto"/>
          <w:sz w:val="32"/>
          <w:szCs w:val="32"/>
          <w:highlight w:val="none"/>
          <w:u w:val="none"/>
        </w:rPr>
        <w:t>（二）</w:t>
      </w:r>
      <w:bookmarkEnd w:id="58"/>
      <w:bookmarkStart w:id="59" w:name="heading_12"/>
      <w:r>
        <w:rPr>
          <w:rFonts w:hint="eastAsia" w:ascii="宋体" w:hAnsi="宋体" w:eastAsia="方正楷体简体" w:cs="方正楷体简体"/>
          <w:b/>
          <w:bCs/>
          <w:color w:val="auto"/>
          <w:sz w:val="32"/>
          <w:szCs w:val="32"/>
          <w:highlight w:val="none"/>
          <w:u w:val="none"/>
        </w:rPr>
        <w:t>开放农业潜力未释放，跨境合作层次不高</w:t>
      </w:r>
      <w:bookmarkEnd w:id="59"/>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虽然霍尔果斯口岸区位优势显著，但农业开放平台功能不完善，自贸试验区霍尔果斯片区农业开放政策红利未充分释放。跨境农业合作层次较低，主要以农产品初级出口为主，深加工产品出口占比不足10%，跨境产业链、供应链尚未形成，与中亚国家的农业合作多停留在贸易层面，品种引进、技术交流等深层次合作较少。</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60" w:name="heading_13"/>
      <w:r>
        <w:rPr>
          <w:rFonts w:hint="eastAsia" w:ascii="宋体" w:hAnsi="宋体" w:eastAsia="方正楷体简体" w:cs="方正楷体简体"/>
          <w:b/>
          <w:bCs/>
          <w:color w:val="auto"/>
          <w:sz w:val="32"/>
          <w:szCs w:val="32"/>
          <w:highlight w:val="none"/>
          <w:u w:val="none"/>
        </w:rPr>
        <w:t>（</w:t>
      </w:r>
      <w:r>
        <w:rPr>
          <w:rFonts w:hint="eastAsia" w:ascii="宋体" w:hAnsi="宋体" w:eastAsia="方正楷体简体" w:cs="方正楷体简体"/>
          <w:b/>
          <w:bCs/>
          <w:color w:val="auto"/>
          <w:sz w:val="32"/>
          <w:szCs w:val="32"/>
          <w:highlight w:val="none"/>
          <w:u w:val="none"/>
          <w:lang w:val="en-US" w:eastAsia="zh-CN"/>
        </w:rPr>
        <w:t>三</w:t>
      </w:r>
      <w:r>
        <w:rPr>
          <w:rFonts w:hint="eastAsia" w:ascii="宋体" w:hAnsi="宋体" w:eastAsia="方正楷体简体" w:cs="方正楷体简体"/>
          <w:b/>
          <w:bCs/>
          <w:color w:val="auto"/>
          <w:sz w:val="32"/>
          <w:szCs w:val="32"/>
          <w:highlight w:val="none"/>
          <w:u w:val="none"/>
        </w:rPr>
        <w:t>）乡村发展短板突出，要素保障不足</w:t>
      </w:r>
      <w:bookmarkEnd w:id="60"/>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农村基础设施与公共服务仍有较大差距，部分农村道路等级较低、养护不足，农村污水、垃圾处理设施覆盖面不够广，</w:t>
      </w:r>
      <w:r>
        <w:rPr>
          <w:rFonts w:hint="eastAsia" w:ascii="宋体" w:hAnsi="宋体" w:eastAsia="方正仿宋简体" w:cs="方正仿宋简体"/>
          <w:color w:val="auto"/>
          <w:sz w:val="32"/>
          <w:szCs w:val="32"/>
          <w:highlight w:val="none"/>
          <w:u w:val="none"/>
          <w:lang w:val="en-US" w:eastAsia="zh-CN"/>
        </w:rPr>
        <w:t>所有</w:t>
      </w:r>
      <w:r>
        <w:rPr>
          <w:rFonts w:hint="eastAsia" w:ascii="宋体" w:hAnsi="宋体" w:eastAsia="方正仿宋简体" w:cs="方正仿宋简体"/>
          <w:color w:val="auto"/>
          <w:sz w:val="32"/>
          <w:szCs w:val="32"/>
          <w:highlight w:val="none"/>
          <w:u w:val="none"/>
        </w:rPr>
        <w:t>村</w:t>
      </w:r>
      <w:r>
        <w:rPr>
          <w:rFonts w:hint="eastAsia" w:ascii="宋体" w:hAnsi="宋体" w:eastAsia="方正仿宋简体" w:cs="方正仿宋简体"/>
          <w:color w:val="auto"/>
          <w:sz w:val="32"/>
          <w:szCs w:val="32"/>
          <w:highlight w:val="none"/>
          <w:u w:val="none"/>
          <w:lang w:val="en-US" w:eastAsia="zh-CN"/>
        </w:rPr>
        <w:t>组</w:t>
      </w:r>
      <w:r>
        <w:rPr>
          <w:rFonts w:hint="eastAsia" w:ascii="宋体" w:hAnsi="宋体" w:eastAsia="方正仿宋简体" w:cs="方正仿宋简体"/>
          <w:color w:val="auto"/>
          <w:sz w:val="32"/>
          <w:szCs w:val="32"/>
          <w:highlight w:val="none"/>
          <w:u w:val="none"/>
        </w:rPr>
        <w:t>天然气未入户等问题。农村公共服务水平偏低，乡村养老等公共服务资源配置不均衡，基层养老服务设施不完善。乡村人才短缺问题突出，农村青壮年劳动力大量外流，农业技术人才、经营管理人才、乡村治理人才匮乏，人才引育留用机制不健全。</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61" w:name="heading_14"/>
      <w:r>
        <w:rPr>
          <w:rFonts w:hint="eastAsia" w:ascii="宋体" w:hAnsi="宋体" w:eastAsia="方正楷体简体" w:cs="方正楷体简体"/>
          <w:b/>
          <w:bCs/>
          <w:color w:val="auto"/>
          <w:sz w:val="32"/>
          <w:szCs w:val="32"/>
          <w:highlight w:val="none"/>
          <w:u w:val="none"/>
        </w:rPr>
        <w:t>（</w:t>
      </w:r>
      <w:r>
        <w:rPr>
          <w:rFonts w:hint="eastAsia" w:ascii="宋体" w:hAnsi="宋体" w:eastAsia="方正楷体简体" w:cs="方正楷体简体"/>
          <w:b/>
          <w:bCs/>
          <w:color w:val="auto"/>
          <w:sz w:val="32"/>
          <w:szCs w:val="32"/>
          <w:highlight w:val="none"/>
          <w:u w:val="none"/>
          <w:lang w:val="en-US" w:eastAsia="zh-CN"/>
        </w:rPr>
        <w:t>四</w:t>
      </w:r>
      <w:r>
        <w:rPr>
          <w:rFonts w:hint="eastAsia" w:ascii="宋体" w:hAnsi="宋体" w:eastAsia="方正楷体简体" w:cs="方正楷体简体"/>
          <w:b/>
          <w:bCs/>
          <w:color w:val="auto"/>
          <w:sz w:val="32"/>
          <w:szCs w:val="32"/>
          <w:highlight w:val="none"/>
          <w:u w:val="none"/>
        </w:rPr>
        <w:t>）乡村治理精细化水平不高，文化建设滞后</w:t>
      </w:r>
      <w:bookmarkEnd w:id="61"/>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乡村治理体系仍需完善，党组织领导的自治、法治、德治相结合的乡村治理体系建设不够深入，“四议两公开”制度落实不够到位，基层治理信息化、精细化水平不高。农村矛盾纠纷化解机制不够健全，部分矛盾纠纷未能及时有效化解。乡村文化建设滞后，</w:t>
      </w:r>
      <w:r>
        <w:rPr>
          <w:rFonts w:hint="eastAsia" w:ascii="宋体" w:hAnsi="宋体" w:eastAsia="方正仿宋简体" w:cs="方正仿宋简体"/>
          <w:color w:val="auto"/>
          <w:sz w:val="32"/>
          <w:szCs w:val="32"/>
          <w:highlight w:val="none"/>
          <w:u w:val="none"/>
          <w:lang w:eastAsia="zh-CN"/>
        </w:rPr>
        <w:t>民族文化活动场所建设不够完善，文明乡风培育成效不够明显</w:t>
      </w:r>
      <w:r>
        <w:rPr>
          <w:rFonts w:hint="eastAsia" w:ascii="宋体" w:hAnsi="宋体" w:eastAsia="方正仿宋简体" w:cs="方正仿宋简体"/>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62" w:name="heading_15"/>
      <w:r>
        <w:rPr>
          <w:rFonts w:hint="eastAsia" w:ascii="宋体" w:hAnsi="宋体" w:eastAsia="方正楷体简体" w:cs="方正楷体简体"/>
          <w:b/>
          <w:bCs/>
          <w:color w:val="auto"/>
          <w:sz w:val="32"/>
          <w:szCs w:val="32"/>
          <w:highlight w:val="none"/>
          <w:u w:val="none"/>
        </w:rPr>
        <w:t>（</w:t>
      </w:r>
      <w:r>
        <w:rPr>
          <w:rFonts w:hint="eastAsia" w:ascii="宋体" w:hAnsi="宋体" w:eastAsia="方正楷体简体" w:cs="方正楷体简体"/>
          <w:b/>
          <w:bCs/>
          <w:color w:val="auto"/>
          <w:sz w:val="32"/>
          <w:szCs w:val="32"/>
          <w:highlight w:val="none"/>
          <w:u w:val="none"/>
          <w:lang w:val="en-US" w:eastAsia="zh-CN"/>
        </w:rPr>
        <w:t>五</w:t>
      </w:r>
      <w:r>
        <w:rPr>
          <w:rFonts w:hint="eastAsia" w:ascii="宋体" w:hAnsi="宋体" w:eastAsia="方正楷体简体" w:cs="方正楷体简体"/>
          <w:b/>
          <w:bCs/>
          <w:color w:val="auto"/>
          <w:sz w:val="32"/>
          <w:szCs w:val="32"/>
          <w:highlight w:val="none"/>
          <w:u w:val="none"/>
        </w:rPr>
        <w:t>）衔接发展质效有待提升</w:t>
      </w:r>
      <w:bookmarkEnd w:id="62"/>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eastAsia="zh-CN"/>
        </w:rPr>
        <w:t>巩固拓展脱贫攻坚成果</w:t>
      </w:r>
      <w:r>
        <w:rPr>
          <w:rFonts w:hint="eastAsia" w:ascii="宋体" w:hAnsi="宋体" w:eastAsia="方正仿宋简体" w:cs="方正仿宋简体"/>
          <w:color w:val="auto"/>
          <w:sz w:val="32"/>
          <w:szCs w:val="32"/>
          <w:highlight w:val="none"/>
          <w:u w:val="none"/>
        </w:rPr>
        <w:t>长效机制仍需完善，部分村产业基础薄弱、产业同质化明显，可持续增收产业链条不够稳固；低收入群体就业稳定性不足，技能水平偏低，稳岗增收渠道有限；公益</w:t>
      </w:r>
      <w:r>
        <w:rPr>
          <w:rFonts w:hint="eastAsia" w:ascii="宋体" w:hAnsi="宋体" w:eastAsia="方正仿宋简体" w:cs="方正仿宋简体"/>
          <w:color w:val="auto"/>
          <w:sz w:val="32"/>
          <w:szCs w:val="32"/>
          <w:highlight w:val="none"/>
          <w:u w:val="none"/>
          <w:lang w:eastAsia="zh-CN"/>
        </w:rPr>
        <w:t>类</w:t>
      </w:r>
      <w:r>
        <w:rPr>
          <w:rFonts w:hint="eastAsia" w:ascii="宋体" w:hAnsi="宋体" w:eastAsia="方正仿宋简体" w:cs="方正仿宋简体"/>
          <w:color w:val="auto"/>
          <w:sz w:val="32"/>
          <w:szCs w:val="32"/>
          <w:highlight w:val="none"/>
          <w:u w:val="none"/>
        </w:rPr>
        <w:t>岗位管理、帮扶项目资产管理仍需</w:t>
      </w:r>
      <w:r>
        <w:rPr>
          <w:rFonts w:hint="eastAsia" w:ascii="宋体" w:hAnsi="宋体" w:eastAsia="方正仿宋简体" w:cs="方正仿宋简体"/>
          <w:color w:val="auto"/>
          <w:sz w:val="32"/>
          <w:szCs w:val="32"/>
          <w:highlight w:val="none"/>
          <w:u w:val="none"/>
          <w:lang w:eastAsia="zh-CN"/>
        </w:rPr>
        <w:t>进一步规范</w:t>
      </w:r>
      <w:r>
        <w:rPr>
          <w:rFonts w:hint="eastAsia" w:ascii="宋体" w:hAnsi="宋体" w:eastAsia="方正仿宋简体" w:cs="方正仿宋简体"/>
          <w:color w:val="auto"/>
          <w:sz w:val="32"/>
          <w:szCs w:val="32"/>
          <w:highlight w:val="none"/>
          <w:u w:val="none"/>
        </w:rPr>
        <w:t>；衔接资金使用效益、帮扶政策精准度有待进一步提升，防返贫风险隐患仍未完全消除，有效衔接整体质量亟需提档升级。</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rPr>
          <w:rFonts w:hint="eastAsia" w:ascii="宋体" w:hAnsi="宋体" w:eastAsia="黑体" w:cs="黑体"/>
          <w:color w:val="auto"/>
          <w:sz w:val="32"/>
          <w:szCs w:val="32"/>
          <w:highlight w:val="none"/>
          <w:u w:val="none"/>
        </w:rPr>
      </w:pPr>
      <w:bookmarkStart w:id="63" w:name="heading_16"/>
      <w:bookmarkStart w:id="64" w:name="_Toc14240_WPSOffice_Level2"/>
      <w:r>
        <w:rPr>
          <w:rFonts w:hint="eastAsia" w:ascii="宋体" w:hAnsi="宋体" w:eastAsia="黑体" w:cs="黑体"/>
          <w:color w:val="auto"/>
          <w:sz w:val="32"/>
          <w:szCs w:val="32"/>
          <w:highlight w:val="none"/>
          <w:u w:val="none"/>
        </w:rPr>
        <w:t>第</w:t>
      </w:r>
      <w:r>
        <w:rPr>
          <w:rFonts w:hint="eastAsia" w:ascii="宋体" w:hAnsi="宋体" w:eastAsia="黑体" w:cs="黑体"/>
          <w:color w:val="auto"/>
          <w:sz w:val="32"/>
          <w:szCs w:val="32"/>
          <w:highlight w:val="none"/>
          <w:u w:val="none"/>
          <w:lang w:eastAsia="zh-CN"/>
        </w:rPr>
        <w:t>三</w:t>
      </w:r>
      <w:r>
        <w:rPr>
          <w:rFonts w:hint="eastAsia" w:ascii="宋体" w:hAnsi="宋体" w:eastAsia="黑体" w:cs="黑体"/>
          <w:color w:val="auto"/>
          <w:sz w:val="32"/>
          <w:szCs w:val="32"/>
          <w:highlight w:val="none"/>
          <w:u w:val="none"/>
        </w:rPr>
        <w:t>节</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color w:val="auto"/>
          <w:sz w:val="32"/>
          <w:szCs w:val="32"/>
          <w:highlight w:val="none"/>
          <w:u w:val="none"/>
        </w:rPr>
        <w:t>发展机遇</w:t>
      </w:r>
      <w:bookmarkEnd w:id="63"/>
      <w:bookmarkEnd w:id="64"/>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“十五五”时期，霍尔果斯市农业农村发展面临着多重政策红利、区位优势、市场需求和科技赋能的机遇，为农业农村高质量发展、深化有效衔接提供了有力支撑。</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65" w:name="heading_17"/>
      <w:r>
        <w:rPr>
          <w:rFonts w:hint="eastAsia" w:ascii="宋体" w:hAnsi="宋体" w:eastAsia="方正楷体简体" w:cs="方正楷体简体"/>
          <w:b/>
          <w:bCs/>
          <w:color w:val="auto"/>
          <w:sz w:val="32"/>
          <w:szCs w:val="32"/>
          <w:highlight w:val="none"/>
          <w:u w:val="none"/>
        </w:rPr>
        <w:t>（一）政策红利叠加释放，发展保障更加有力</w:t>
      </w:r>
      <w:bookmarkEnd w:id="65"/>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国家深入实施乡村振兴战略、粮食安全战略、区域协调发展战略，持续加大对新疆、对边境地区农业农村发展的支持力度，为霍尔果斯市农业农村发展提供了坚实的政策支撑。自贸试验区霍尔果斯片区、沿边开放型经济试验区等平台政策持续赋能，税收优惠、要素保障、贸易便利化等政策不断完善，为发展开放农业、跨境农业提供了独特的政策优势。同时，江苏援疆持续深化，在资金、技术、人才、市场等方面给予全方位支持，助力霍尔果斯市农业农村产业升级、人才培育和基础设施建设，为农业农村发展注入强大动力。</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66" w:name="heading_18"/>
      <w:r>
        <w:rPr>
          <w:rFonts w:hint="eastAsia" w:ascii="宋体" w:hAnsi="宋体" w:eastAsia="方正楷体简体" w:cs="方正楷体简体"/>
          <w:b/>
          <w:bCs/>
          <w:color w:val="auto"/>
          <w:sz w:val="32"/>
          <w:szCs w:val="32"/>
          <w:highlight w:val="none"/>
          <w:u w:val="none"/>
        </w:rPr>
        <w:t>（二）区位优势日益凸显，开放空间持续拓展</w:t>
      </w:r>
      <w:bookmarkEnd w:id="66"/>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霍尔果斯作为我国向西开放的重要门户、中欧班列重要节点、中哈合作核心口岸，地处欧亚大陆桥咽喉地带，是连接我国内陆与中亚、欧洲市场的重要枢纽，“两个市场、两种资源”优势十分显著。随着“一带一路”建设深入推进，中哈霍尔果斯国际边境合作中心功能不断完善，跨境贸易、跨境物流、跨境投资等合作持续深化，为霍尔果斯市发展跨境农业、农产品出口加工、冷链物流等产业提供了广阔空间。同时，霍尔果斯口岸通关便利化水平不断提升，为农产品进出口贸易提供了高效便捷的保障。</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67" w:name="heading_19"/>
      <w:r>
        <w:rPr>
          <w:rFonts w:hint="eastAsia" w:ascii="宋体" w:hAnsi="宋体" w:eastAsia="方正楷体简体" w:cs="方正楷体简体"/>
          <w:b/>
          <w:bCs/>
          <w:color w:val="auto"/>
          <w:sz w:val="32"/>
          <w:szCs w:val="32"/>
          <w:highlight w:val="none"/>
          <w:u w:val="none"/>
        </w:rPr>
        <w:t>（三）市场需求持续升级，产业发展空间广阔</w:t>
      </w:r>
      <w:bookmarkEnd w:id="67"/>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随着我国经济社会发展和居民生活水平的不断提高，消费者对高端、绿色、有机农产品的需求持续增长，为霍尔果斯市特色农产品提质增效提供了市场支撑。中亚国家地处温带大陆性气候区，农产品种类相对单一，对我国特色果蔬、优质畜禽产品、花卉苗木等产品的依赖度较高，市场需求旺盛，为霍尔果斯市农产品出口提供了广阔市场。</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68" w:name="heading_20"/>
      <w:r>
        <w:rPr>
          <w:rFonts w:hint="eastAsia" w:ascii="宋体" w:hAnsi="宋体" w:eastAsia="方正楷体简体" w:cs="方正楷体简体"/>
          <w:b/>
          <w:bCs/>
          <w:color w:val="auto"/>
          <w:sz w:val="32"/>
          <w:szCs w:val="32"/>
          <w:highlight w:val="none"/>
          <w:u w:val="none"/>
        </w:rPr>
        <w:t>（四）科技赋能提速增效，农业现代化水平持续提升</w:t>
      </w:r>
      <w:bookmarkEnd w:id="68"/>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随着我国农业科技快速发展，智能农业、节水灌溉、农产品加工、冷链物流等新技术、新装备不断推广应用，为霍尔果斯市农业现代化提供了技术支撑。深化与江苏省、科研院所、龙头企业的合作，能够引进先进的农业技术、优良品种和经营管理经验，推动农业产业转型升级。数字乡村建设加快推进，5G、大数据、物联网等数字化技术在农业生产、乡村治理、公共服务等领域的应用不断深化，能够大幅提升农业生产效率和乡村治理水平。</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69" w:name="heading_21"/>
      <w:r>
        <w:rPr>
          <w:rFonts w:hint="eastAsia" w:ascii="宋体" w:hAnsi="宋体" w:eastAsia="方正楷体简体" w:cs="方正楷体简体"/>
          <w:b/>
          <w:bCs/>
          <w:color w:val="auto"/>
          <w:sz w:val="32"/>
          <w:szCs w:val="32"/>
          <w:highlight w:val="none"/>
          <w:u w:val="none"/>
        </w:rPr>
        <w:t>（五）城乡融合加速推进，要素流动更加顺畅</w:t>
      </w:r>
      <w:bookmarkEnd w:id="69"/>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国家持续推进城乡融合发展，健全城乡要素双向流动机制，推动城市资金、人才、技术、管理等要素向农村流动，为霍尔果斯市乡村发展注入新的活力。霍尔果斯市城</w:t>
      </w:r>
      <w:r>
        <w:rPr>
          <w:rFonts w:hint="eastAsia" w:ascii="宋体" w:hAnsi="宋体" w:eastAsia="方正仿宋简体" w:cs="方正仿宋简体"/>
          <w:color w:val="auto"/>
          <w:sz w:val="32"/>
          <w:szCs w:val="32"/>
          <w:highlight w:val="none"/>
          <w:u w:val="none"/>
          <w:lang w:val="en-US" w:eastAsia="zh-CN"/>
        </w:rPr>
        <w:t>镇</w:t>
      </w:r>
      <w:r>
        <w:rPr>
          <w:rFonts w:hint="eastAsia" w:ascii="宋体" w:hAnsi="宋体" w:eastAsia="方正仿宋简体" w:cs="方正仿宋简体"/>
          <w:color w:val="auto"/>
          <w:sz w:val="32"/>
          <w:szCs w:val="32"/>
          <w:highlight w:val="none"/>
          <w:u w:val="none"/>
        </w:rPr>
        <w:t>化进程不断加快，城市辐射带动能力持续增强，能够为农村产业发展、基础设施建设、公共服务提升提供有力支撑。同时</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乡村振兴战略深入实施，农村基础设施和公共服务不断完善，农村人居环境持续改善，为吸引人才、资金等要素回流农村创造了良好条件。</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70" w:name="heading_22"/>
      <w:r>
        <w:rPr>
          <w:rFonts w:hint="eastAsia" w:ascii="宋体" w:hAnsi="宋体" w:eastAsia="方正楷体简体" w:cs="方正楷体简体"/>
          <w:b/>
          <w:bCs/>
          <w:color w:val="auto"/>
          <w:sz w:val="32"/>
          <w:szCs w:val="32"/>
          <w:highlight w:val="none"/>
          <w:u w:val="none"/>
        </w:rPr>
        <w:t>（六）衔接扶持政策持续加码</w:t>
      </w:r>
      <w:bookmarkEnd w:id="70"/>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国家、自治区持续加大对边境地区、民族地区衔接扶持力度，持续完善过渡期帮扶政策体系，在产业培育、就业扶持、基础设施、民生保障、人才帮扶等方面给予长期政策倾斜。江苏对口援疆帮扶机制持续深化，资金、项目、人才、技术、市场帮扶资源持续下沉，为我市提供强力政策支撑和要素保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color w:val="auto"/>
          <w:sz w:val="32"/>
          <w:szCs w:val="32"/>
          <w:highlight w:val="none"/>
          <w:u w:val="none"/>
        </w:rPr>
      </w:pPr>
      <w:bookmarkStart w:id="71" w:name="heading_23"/>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color w:val="auto"/>
          <w:sz w:val="32"/>
          <w:szCs w:val="32"/>
          <w:highlight w:val="none"/>
          <w:u w:val="none"/>
        </w:rPr>
      </w:pPr>
      <w:bookmarkStart w:id="72" w:name="_Toc8396_WPSOffice_Level1"/>
      <w:r>
        <w:rPr>
          <w:rFonts w:hint="eastAsia" w:ascii="宋体" w:hAnsi="宋体" w:eastAsia="黑体" w:cs="黑体"/>
          <w:color w:val="auto"/>
          <w:sz w:val="32"/>
          <w:szCs w:val="32"/>
          <w:highlight w:val="none"/>
          <w:u w:val="none"/>
        </w:rPr>
        <w:t>第二章</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color w:val="auto"/>
          <w:sz w:val="32"/>
          <w:szCs w:val="32"/>
          <w:highlight w:val="none"/>
          <w:u w:val="none"/>
        </w:rPr>
        <w:t>总体要求</w:t>
      </w:r>
      <w:bookmarkEnd w:id="71"/>
      <w:bookmarkEnd w:id="72"/>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color w:val="auto"/>
          <w:sz w:val="32"/>
          <w:szCs w:val="32"/>
          <w:highlight w:val="none"/>
          <w:u w:val="none"/>
        </w:rPr>
      </w:pPr>
      <w:bookmarkStart w:id="73" w:name="heading_24"/>
      <w:bookmarkStart w:id="74" w:name="_Toc22153_WPSOffice_Level2"/>
      <w:r>
        <w:rPr>
          <w:rFonts w:hint="eastAsia" w:ascii="宋体" w:hAnsi="宋体" w:eastAsia="黑体" w:cs="黑体"/>
          <w:color w:val="auto"/>
          <w:sz w:val="32"/>
          <w:szCs w:val="32"/>
          <w:highlight w:val="none"/>
          <w:u w:val="none"/>
        </w:rPr>
        <w:t>第</w:t>
      </w:r>
      <w:r>
        <w:rPr>
          <w:rFonts w:hint="eastAsia" w:ascii="宋体" w:hAnsi="宋体" w:eastAsia="黑体" w:cs="黑体"/>
          <w:color w:val="auto"/>
          <w:sz w:val="32"/>
          <w:szCs w:val="32"/>
          <w:highlight w:val="none"/>
          <w:u w:val="none"/>
          <w:lang w:eastAsia="zh-CN"/>
        </w:rPr>
        <w:t>一</w:t>
      </w:r>
      <w:r>
        <w:rPr>
          <w:rFonts w:hint="eastAsia" w:ascii="宋体" w:hAnsi="宋体" w:eastAsia="黑体" w:cs="黑体"/>
          <w:color w:val="auto"/>
          <w:sz w:val="32"/>
          <w:szCs w:val="32"/>
          <w:highlight w:val="none"/>
          <w:u w:val="none"/>
        </w:rPr>
        <w:t>节</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color w:val="auto"/>
          <w:sz w:val="32"/>
          <w:szCs w:val="32"/>
          <w:highlight w:val="none"/>
          <w:u w:val="none"/>
        </w:rPr>
        <w:t>指导思想</w:t>
      </w:r>
      <w:bookmarkEnd w:id="73"/>
      <w:bookmarkEnd w:id="74"/>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以习近平新时代中国特色社会主义思想为指导，全面贯彻党的二十大和二十届</w:t>
      </w:r>
      <w:r>
        <w:rPr>
          <w:rFonts w:hint="eastAsia" w:ascii="宋体" w:hAnsi="宋体" w:eastAsia="方正仿宋简体" w:cs="方正仿宋简体"/>
          <w:color w:val="auto"/>
          <w:sz w:val="32"/>
          <w:szCs w:val="32"/>
          <w:highlight w:val="none"/>
          <w:u w:val="none"/>
          <w:lang w:val="en-US" w:eastAsia="zh-CN"/>
        </w:rPr>
        <w:t>历次</w:t>
      </w:r>
      <w:r>
        <w:rPr>
          <w:rFonts w:hint="eastAsia" w:ascii="宋体" w:hAnsi="宋体" w:eastAsia="方正仿宋简体" w:cs="方正仿宋简体"/>
          <w:color w:val="auto"/>
          <w:sz w:val="32"/>
          <w:szCs w:val="32"/>
          <w:highlight w:val="none"/>
          <w:u w:val="none"/>
        </w:rPr>
        <w:t>全会精神，完整准确全面贯彻新时代党的治疆方略，牢牢扭住社会稳定和长治久安总目标，立足霍尔果斯“一带一路”核心区重要支点、自贸试验区霍尔果斯片区、中哈合作核心口岸、沿边开放型经济试验区、边境旅游试验区</w:t>
      </w:r>
      <w:r>
        <w:rPr>
          <w:rFonts w:hint="eastAsia" w:ascii="宋体" w:hAnsi="宋体" w:eastAsia="方正仿宋简体" w:cs="方正仿宋简体"/>
          <w:color w:val="auto"/>
          <w:sz w:val="32"/>
          <w:szCs w:val="32"/>
          <w:highlight w:val="none"/>
          <w:u w:val="none"/>
          <w:lang w:eastAsia="zh-CN"/>
        </w:rPr>
        <w:t>“五大战略定位”</w:t>
      </w:r>
      <w:r>
        <w:rPr>
          <w:rFonts w:hint="eastAsia" w:ascii="宋体" w:hAnsi="宋体" w:eastAsia="方正仿宋简体" w:cs="方正仿宋简体"/>
          <w:color w:val="auto"/>
          <w:sz w:val="32"/>
          <w:szCs w:val="32"/>
          <w:highlight w:val="none"/>
          <w:u w:val="none"/>
        </w:rPr>
        <w:t>，以农业强、农村美、农民富为总目标，以保障粮食安全为底线，以产业升级为核心，以开放赋能为动力，以乡村建设为重点，以改革创新为抓手，以巩固拓展脱贫攻坚成果同乡村振兴有效衔接为重要任务，聚焦粮食安全保障、特色产业提质、开放农业发展、乡村建设升级、农村改革深化、绿色生态发展、衔接提质增效七大重点方向，构建“粮食稳、特色强、开放活、生态优、治理善、衔接实”的农业农村发展新格局，奋力打</w:t>
      </w:r>
      <w:r>
        <w:rPr>
          <w:rFonts w:hint="eastAsia" w:ascii="宋体" w:hAnsi="宋体" w:eastAsia="方正仿宋简体" w:cs="方正仿宋简体"/>
          <w:b w:val="0"/>
          <w:bCs w:val="0"/>
          <w:color w:val="auto"/>
          <w:sz w:val="32"/>
          <w:szCs w:val="32"/>
          <w:highlight w:val="none"/>
          <w:u w:val="none"/>
        </w:rPr>
        <w:t>造口岸型现代农业示范区、向西开放农产品加工基地、边境民族地区乡村振兴样板，</w:t>
      </w:r>
      <w:r>
        <w:rPr>
          <w:rFonts w:hint="eastAsia" w:ascii="宋体" w:hAnsi="宋体" w:eastAsia="方正仿宋简体" w:cs="方正仿宋简体"/>
          <w:color w:val="auto"/>
          <w:sz w:val="32"/>
          <w:szCs w:val="32"/>
          <w:highlight w:val="none"/>
          <w:u w:val="none"/>
        </w:rPr>
        <w:t>推动霍尔果斯市农业农村现代化取得实质性进展，推动巩固拓展脱贫攻坚成果同乡村振兴有效衔接走深走实。</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rPr>
          <w:rFonts w:hint="eastAsia" w:ascii="宋体" w:hAnsi="宋体" w:eastAsia="黑体" w:cs="黑体"/>
          <w:color w:val="auto"/>
          <w:sz w:val="32"/>
          <w:szCs w:val="32"/>
          <w:highlight w:val="none"/>
          <w:u w:val="none"/>
        </w:rPr>
      </w:pPr>
      <w:bookmarkStart w:id="75" w:name="heading_25"/>
      <w:bookmarkStart w:id="76" w:name="_Toc18451_WPSOffice_Level2"/>
      <w:r>
        <w:rPr>
          <w:rFonts w:hint="eastAsia" w:ascii="宋体" w:hAnsi="宋体" w:eastAsia="黑体" w:cs="黑体"/>
          <w:color w:val="auto"/>
          <w:sz w:val="32"/>
          <w:szCs w:val="32"/>
          <w:highlight w:val="none"/>
          <w:u w:val="none"/>
        </w:rPr>
        <w:t>第二节</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color w:val="auto"/>
          <w:sz w:val="32"/>
          <w:szCs w:val="32"/>
          <w:highlight w:val="none"/>
          <w:u w:val="none"/>
        </w:rPr>
        <w:t>基本原则</w:t>
      </w:r>
      <w:bookmarkEnd w:id="75"/>
      <w:bookmarkEnd w:id="76"/>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77" w:name="heading_26"/>
      <w:r>
        <w:rPr>
          <w:rFonts w:hint="eastAsia" w:ascii="宋体" w:hAnsi="宋体" w:eastAsia="方正楷体简体" w:cs="方正楷体简体"/>
          <w:b/>
          <w:bCs/>
          <w:color w:val="auto"/>
          <w:sz w:val="32"/>
          <w:szCs w:val="32"/>
          <w:highlight w:val="none"/>
          <w:u w:val="none"/>
        </w:rPr>
        <w:t>（一）坚持党管</w:t>
      </w:r>
      <w:r>
        <w:rPr>
          <w:rFonts w:hint="eastAsia" w:ascii="宋体" w:hAnsi="宋体" w:eastAsia="方正楷体简体" w:cs="方正楷体简体"/>
          <w:b/>
          <w:bCs/>
          <w:color w:val="auto"/>
          <w:sz w:val="32"/>
          <w:szCs w:val="32"/>
          <w:highlight w:val="none"/>
          <w:u w:val="none"/>
          <w:lang w:eastAsia="zh-CN"/>
        </w:rPr>
        <w:t>“三农”</w:t>
      </w:r>
      <w:r>
        <w:rPr>
          <w:rFonts w:hint="eastAsia" w:ascii="宋体" w:hAnsi="宋体" w:eastAsia="方正楷体简体" w:cs="方正楷体简体"/>
          <w:b/>
          <w:bCs/>
          <w:color w:val="auto"/>
          <w:sz w:val="32"/>
          <w:szCs w:val="32"/>
          <w:highlight w:val="none"/>
          <w:u w:val="none"/>
        </w:rPr>
        <w:t>，保障安全</w:t>
      </w:r>
      <w:bookmarkEnd w:id="77"/>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把党的领导贯穿于农业农村发展全过程、各方面，强化各级党委对“三农”工作的全面领导，健全党委领导“三农”工作的体制机制，压实粮食安全党政同责和乡村振兴主体责任。严守耕地红线和永久基本农田底线，强化粮食生产保障，健全粮食安全保障体系，确保粮食和重要农产品供给安全，牢牢掌握粮食安全主动权。</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78" w:name="heading_27"/>
      <w:r>
        <w:rPr>
          <w:rFonts w:hint="eastAsia" w:ascii="宋体" w:hAnsi="宋体" w:eastAsia="方正楷体简体" w:cs="方正楷体简体"/>
          <w:b/>
          <w:bCs/>
          <w:color w:val="auto"/>
          <w:sz w:val="32"/>
          <w:szCs w:val="32"/>
          <w:highlight w:val="none"/>
          <w:u w:val="none"/>
        </w:rPr>
        <w:t>（二）坚持特色引领，提质增效</w:t>
      </w:r>
      <w:bookmarkEnd w:id="78"/>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立足霍尔果斯资源禀赋和口岸优势，因地制宜、扬长避短，重点发展家禽、特色果蔬、花卉苗木等优势特色产业，推动产业规模化、标准化、品牌化发展。聚焦产业链延伸、价值链提升，推动农业</w:t>
      </w:r>
      <w:r>
        <w:rPr>
          <w:rFonts w:hint="eastAsia" w:ascii="宋体" w:hAnsi="宋体" w:eastAsia="方正仿宋简体" w:cs="方正仿宋简体"/>
          <w:color w:val="auto"/>
          <w:sz w:val="32"/>
          <w:szCs w:val="32"/>
          <w:highlight w:val="none"/>
          <w:u w:val="none"/>
          <w:lang w:eastAsia="zh-CN"/>
        </w:rPr>
        <w:t>一二三产业融合</w:t>
      </w:r>
      <w:r>
        <w:rPr>
          <w:rFonts w:hint="eastAsia" w:ascii="宋体" w:hAnsi="宋体" w:eastAsia="方正仿宋简体" w:cs="方正仿宋简体"/>
          <w:color w:val="auto"/>
          <w:sz w:val="32"/>
          <w:szCs w:val="32"/>
          <w:highlight w:val="none"/>
          <w:u w:val="none"/>
        </w:rPr>
        <w:t>发展，加快农产品精深加工，提升农业质量效益和核心竞争力，实现从“种得好”向“卖得好”“效益好”转变。</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79" w:name="heading_28"/>
      <w:r>
        <w:rPr>
          <w:rFonts w:hint="eastAsia" w:ascii="宋体" w:hAnsi="宋体" w:eastAsia="方正楷体简体" w:cs="方正楷体简体"/>
          <w:b/>
          <w:bCs/>
          <w:color w:val="auto"/>
          <w:sz w:val="32"/>
          <w:szCs w:val="32"/>
          <w:highlight w:val="none"/>
          <w:u w:val="none"/>
        </w:rPr>
        <w:t>（三）坚持开放赋能，内外联动</w:t>
      </w:r>
      <w:bookmarkEnd w:id="79"/>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充分发挥霍尔果斯口岸区位优势，主动融入国内国际双循环发展格局，深化与中亚国家的农业合作，拓展农产品进出口渠道，建设跨境农业合作平台，构建“产地种植+跨境出口”的跨境农业产业链。依托自贸试验区霍尔果斯片区政</w:t>
      </w:r>
      <w:r>
        <w:rPr>
          <w:rFonts w:hint="eastAsia" w:ascii="宋体" w:hAnsi="宋体" w:eastAsia="方正仿宋简体" w:cs="方正仿宋简体"/>
          <w:color w:val="auto"/>
          <w:w w:val="99"/>
          <w:sz w:val="32"/>
          <w:szCs w:val="32"/>
          <w:highlight w:val="none"/>
          <w:u w:val="none"/>
        </w:rPr>
        <w:t>策优势，推动农业开放合作提质增效，打造向西开放农业高地。</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80" w:name="heading_29"/>
      <w:r>
        <w:rPr>
          <w:rFonts w:hint="eastAsia" w:ascii="宋体" w:hAnsi="宋体" w:eastAsia="方正楷体简体" w:cs="方正楷体简体"/>
          <w:b/>
          <w:bCs/>
          <w:color w:val="auto"/>
          <w:sz w:val="32"/>
          <w:szCs w:val="32"/>
          <w:highlight w:val="none"/>
          <w:u w:val="none"/>
        </w:rPr>
        <w:t>（四）坚持城乡融合，共建共享</w:t>
      </w:r>
      <w:bookmarkEnd w:id="80"/>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统筹城乡规划、产业发展、基础设施、公共服务、生态保护，推动城市要素向农村流动、农村资源向城市转化，缩小城乡差距。完善农村基础设施和公共服务体系，提升农村人居环境质量，促进城乡基本公共服务均等化，推动农民共享发展成果，实现城乡共同富裕。</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81" w:name="heading_30"/>
      <w:r>
        <w:rPr>
          <w:rFonts w:hint="eastAsia" w:ascii="宋体" w:hAnsi="宋体" w:eastAsia="方正楷体简体" w:cs="方正楷体简体"/>
          <w:b/>
          <w:bCs/>
          <w:color w:val="auto"/>
          <w:sz w:val="32"/>
          <w:szCs w:val="32"/>
          <w:highlight w:val="none"/>
          <w:u w:val="none"/>
        </w:rPr>
        <w:t>（五）坚持绿色低碳，生态优先</w:t>
      </w:r>
      <w:bookmarkEnd w:id="81"/>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践行绿水青山就是金山银山理念，坚持生态优先、绿色发展，把绿色低碳理念贯穿于农业生产、乡村建设、产业发展全过程。推进农业节水降耗、化肥农药减量增效，提升畜禽粪污资源化利用水平，分类施策推进农村生活污水治理，发展生态循环农业，加强农业生态保护和修复，防治农业面源污染，推动农业绿色转型，实现农业可持续发展。</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82" w:name="heading_31"/>
      <w:r>
        <w:rPr>
          <w:rFonts w:hint="eastAsia" w:ascii="宋体" w:hAnsi="宋体" w:eastAsia="方正楷体简体" w:cs="方正楷体简体"/>
          <w:b/>
          <w:bCs/>
          <w:color w:val="auto"/>
          <w:sz w:val="32"/>
          <w:szCs w:val="32"/>
          <w:highlight w:val="none"/>
          <w:u w:val="none"/>
        </w:rPr>
        <w:t>（六）坚持改革创新，激发活力</w:t>
      </w:r>
      <w:bookmarkEnd w:id="82"/>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深化农村改革，破除体制机制障碍，健全农村土地制度、集体产权制度、农业经营体系等，激发农村发展内生动力。强化科技赋能，引进推广先进农业技术和装备，培育新型农业经营主体，完善农业社会化服务体系，推动农业科技创新与产业发展深度融合，为农业农村发展注入新活力。</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83" w:name="heading_32"/>
      <w:r>
        <w:rPr>
          <w:rFonts w:hint="eastAsia" w:ascii="宋体" w:hAnsi="宋体" w:eastAsia="方正楷体简体" w:cs="方正楷体简体"/>
          <w:b/>
          <w:bCs/>
          <w:color w:val="auto"/>
          <w:sz w:val="32"/>
          <w:szCs w:val="32"/>
          <w:highlight w:val="none"/>
          <w:u w:val="none"/>
        </w:rPr>
        <w:t>（七）坚持民族团结，共建共享</w:t>
      </w:r>
      <w:bookmarkEnd w:id="83"/>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深入贯彻党的民族政策，坚持各民族共同团结奋斗、共同繁荣发展，把民族团结进步融入农业农村发展各环节。尊重和保护少数民族传统文化，推动基础设施完善、公共服务提升，</w:t>
      </w:r>
      <w:r>
        <w:rPr>
          <w:rFonts w:hint="eastAsia" w:ascii="宋体" w:hAnsi="宋体" w:eastAsia="方正仿宋简体" w:cs="方正仿宋简体"/>
          <w:color w:val="auto"/>
          <w:w w:val="95"/>
          <w:sz w:val="32"/>
          <w:szCs w:val="32"/>
          <w:highlight w:val="none"/>
          <w:u w:val="none"/>
        </w:rPr>
        <w:t>促进各民族群众共同增收、共同富裕，</w:t>
      </w:r>
      <w:r>
        <w:rPr>
          <w:rFonts w:hint="eastAsia" w:ascii="宋体" w:hAnsi="宋体" w:eastAsia="方正仿宋简体" w:cs="方正仿宋简体"/>
          <w:color w:val="auto"/>
          <w:w w:val="95"/>
          <w:sz w:val="32"/>
          <w:szCs w:val="32"/>
          <w:highlight w:val="none"/>
          <w:u w:val="none"/>
          <w:lang w:eastAsia="zh-CN"/>
        </w:rPr>
        <w:t>铸</w:t>
      </w:r>
      <w:r>
        <w:rPr>
          <w:rFonts w:hint="eastAsia" w:ascii="宋体" w:hAnsi="宋体" w:eastAsia="方正仿宋简体" w:cs="方正仿宋简体"/>
          <w:color w:val="auto"/>
          <w:w w:val="95"/>
          <w:sz w:val="32"/>
          <w:szCs w:val="32"/>
          <w:highlight w:val="none"/>
          <w:u w:val="none"/>
        </w:rPr>
        <w:t>牢中华民族共同体意识。</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84" w:name="heading_33"/>
      <w:r>
        <w:rPr>
          <w:rFonts w:hint="eastAsia" w:ascii="宋体" w:hAnsi="宋体" w:eastAsia="方正楷体简体" w:cs="方正楷体简体"/>
          <w:b/>
          <w:bCs/>
          <w:color w:val="auto"/>
          <w:sz w:val="32"/>
          <w:szCs w:val="32"/>
          <w:highlight w:val="none"/>
          <w:u w:val="none"/>
        </w:rPr>
        <w:t>（八）坚守衔接底线，稳步统筹推进</w:t>
      </w:r>
      <w:bookmarkEnd w:id="84"/>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严格落实各项帮扶政策，牢牢守住不发生规模性返贫底线，健全防止返贫动态监测和帮扶机制，统筹推进</w:t>
      </w:r>
      <w:r>
        <w:rPr>
          <w:rFonts w:hint="eastAsia" w:ascii="宋体" w:hAnsi="宋体" w:eastAsia="方正仿宋简体" w:cs="方正仿宋简体"/>
          <w:color w:val="auto"/>
          <w:sz w:val="32"/>
          <w:szCs w:val="32"/>
          <w:highlight w:val="none"/>
          <w:u w:val="none"/>
          <w:lang w:eastAsia="zh-CN"/>
        </w:rPr>
        <w:t>巩固拓展脱贫攻坚成果</w:t>
      </w:r>
      <w:r>
        <w:rPr>
          <w:rFonts w:hint="eastAsia" w:ascii="宋体" w:hAnsi="宋体" w:eastAsia="方正仿宋简体" w:cs="方正仿宋简体"/>
          <w:color w:val="auto"/>
          <w:sz w:val="32"/>
          <w:szCs w:val="32"/>
          <w:highlight w:val="none"/>
          <w:u w:val="none"/>
        </w:rPr>
        <w:t>与乡村振兴一体谋划、一体部署、一体落实。坚持输血与造血并重，强化产业赋能、就业增收、民生兜底，推动脱贫</w:t>
      </w:r>
      <w:r>
        <w:rPr>
          <w:rFonts w:hint="eastAsia" w:ascii="宋体" w:hAnsi="宋体" w:eastAsia="方正仿宋简体" w:cs="方正仿宋简体"/>
          <w:color w:val="auto"/>
          <w:sz w:val="32"/>
          <w:szCs w:val="32"/>
          <w:highlight w:val="none"/>
          <w:u w:val="none"/>
          <w:lang w:val="en-US" w:eastAsia="zh-CN"/>
        </w:rPr>
        <w:t>群众</w:t>
      </w:r>
      <w:r>
        <w:rPr>
          <w:rFonts w:hint="eastAsia" w:ascii="宋体" w:hAnsi="宋体" w:eastAsia="方正仿宋简体" w:cs="方正仿宋简体"/>
          <w:color w:val="auto"/>
          <w:sz w:val="32"/>
          <w:szCs w:val="32"/>
          <w:highlight w:val="none"/>
          <w:u w:val="none"/>
        </w:rPr>
        <w:t>发展内生动力持续提升，实现巩固拓展脱贫攻坚成果同乡村振兴有效衔接、平稳过渡、提质增效。</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rPr>
          <w:rFonts w:hint="eastAsia" w:ascii="宋体" w:hAnsi="宋体" w:eastAsia="黑体" w:cs="黑体"/>
          <w:b w:val="0"/>
          <w:bCs/>
          <w:color w:val="auto"/>
          <w:sz w:val="32"/>
          <w:szCs w:val="32"/>
          <w:highlight w:val="none"/>
          <w:u w:val="none"/>
        </w:rPr>
      </w:pPr>
      <w:bookmarkStart w:id="85" w:name="heading_34"/>
      <w:bookmarkStart w:id="86" w:name="_Toc24402_WPSOffice_Level2"/>
      <w:r>
        <w:rPr>
          <w:rFonts w:hint="eastAsia" w:ascii="宋体" w:hAnsi="宋体" w:eastAsia="黑体" w:cs="黑体"/>
          <w:b w:val="0"/>
          <w:bCs/>
          <w:color w:val="auto"/>
          <w:sz w:val="32"/>
          <w:szCs w:val="32"/>
          <w:highlight w:val="none"/>
          <w:u w:val="none"/>
        </w:rPr>
        <w:t>第</w:t>
      </w:r>
      <w:r>
        <w:rPr>
          <w:rFonts w:hint="eastAsia" w:ascii="宋体" w:hAnsi="宋体" w:eastAsia="黑体" w:cs="黑体"/>
          <w:b w:val="0"/>
          <w:bCs/>
          <w:color w:val="auto"/>
          <w:sz w:val="32"/>
          <w:szCs w:val="32"/>
          <w:highlight w:val="none"/>
          <w:u w:val="none"/>
          <w:lang w:eastAsia="zh-CN"/>
        </w:rPr>
        <w:t>三</w:t>
      </w:r>
      <w:r>
        <w:rPr>
          <w:rFonts w:hint="eastAsia" w:ascii="宋体" w:hAnsi="宋体" w:eastAsia="黑体" w:cs="黑体"/>
          <w:b w:val="0"/>
          <w:bCs/>
          <w:color w:val="auto"/>
          <w:sz w:val="32"/>
          <w:szCs w:val="32"/>
          <w:highlight w:val="none"/>
          <w:u w:val="none"/>
        </w:rPr>
        <w:t>节</w:t>
      </w:r>
      <w:r>
        <w:rPr>
          <w:rFonts w:hint="eastAsia" w:ascii="宋体" w:hAnsi="宋体" w:eastAsia="黑体" w:cs="黑体"/>
          <w:b w:val="0"/>
          <w:bCs/>
          <w:color w:val="auto"/>
          <w:sz w:val="32"/>
          <w:szCs w:val="32"/>
          <w:highlight w:val="none"/>
          <w:u w:val="none"/>
          <w:lang w:val="en-US" w:eastAsia="zh-CN"/>
        </w:rPr>
        <w:t xml:space="preserve"> </w:t>
      </w:r>
      <w:r>
        <w:rPr>
          <w:rFonts w:hint="eastAsia" w:ascii="宋体" w:hAnsi="宋体" w:eastAsia="黑体" w:cs="黑体"/>
          <w:b w:val="0"/>
          <w:bCs/>
          <w:color w:val="auto"/>
          <w:sz w:val="32"/>
          <w:szCs w:val="32"/>
          <w:highlight w:val="none"/>
          <w:u w:val="none"/>
        </w:rPr>
        <w:t>发展目标（2026</w:t>
      </w:r>
      <w:r>
        <w:rPr>
          <w:rFonts w:hint="eastAsia" w:ascii="宋体" w:hAnsi="宋体" w:eastAsia="黑体" w:cs="黑体"/>
          <w:b w:val="0"/>
          <w:bCs/>
          <w:color w:val="auto"/>
          <w:sz w:val="32"/>
          <w:szCs w:val="32"/>
          <w:highlight w:val="none"/>
          <w:u w:val="none"/>
          <w:lang w:eastAsia="zh-CN"/>
        </w:rPr>
        <w:t>—</w:t>
      </w:r>
      <w:r>
        <w:rPr>
          <w:rFonts w:hint="eastAsia" w:ascii="宋体" w:hAnsi="宋体" w:eastAsia="黑体" w:cs="黑体"/>
          <w:b w:val="0"/>
          <w:bCs/>
          <w:color w:val="auto"/>
          <w:sz w:val="32"/>
          <w:szCs w:val="32"/>
          <w:highlight w:val="none"/>
          <w:u w:val="none"/>
        </w:rPr>
        <w:t>2030年）</w:t>
      </w:r>
      <w:bookmarkEnd w:id="85"/>
      <w:bookmarkEnd w:id="86"/>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围绕“农业强、农村美、农民富”总目标，立足霍尔果斯市农业农村发展实际，紧扣巩固拓展脱贫攻坚成果同乡村振兴有效衔接要求，明确“十五五”时期农业农村发展核心指标和发展愿景，分阶段、有步骤推进农业农村现代化建设，确保到2030年实现农业农村高质量发展，有效衔接取得显著成效。</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87" w:name="heading_35"/>
      <w:r>
        <w:rPr>
          <w:rFonts w:hint="eastAsia" w:ascii="宋体" w:hAnsi="宋体" w:eastAsia="方正楷体简体" w:cs="方正楷体简体"/>
          <w:b/>
          <w:bCs/>
          <w:color w:val="auto"/>
          <w:sz w:val="32"/>
          <w:szCs w:val="32"/>
          <w:highlight w:val="none"/>
          <w:u w:val="none"/>
        </w:rPr>
        <w:t>（一）核心指标</w:t>
      </w:r>
      <w:bookmarkEnd w:id="87"/>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聚焦粮食安全、产业发展、乡村建设、农民增收、生态保护、衔接提质六大领域，设定</w:t>
      </w:r>
      <w:r>
        <w:rPr>
          <w:rFonts w:hint="eastAsia" w:ascii="宋体" w:hAnsi="宋体" w:eastAsia="方正仿宋简体" w:cs="方正仿宋简体"/>
          <w:color w:val="auto"/>
          <w:sz w:val="32"/>
          <w:szCs w:val="32"/>
          <w:highlight w:val="none"/>
          <w:u w:val="none"/>
          <w:lang w:val="en-US" w:eastAsia="zh-CN"/>
        </w:rPr>
        <w:t>19</w:t>
      </w:r>
      <w:r>
        <w:rPr>
          <w:rFonts w:hint="eastAsia" w:ascii="宋体" w:hAnsi="宋体" w:eastAsia="方正仿宋简体" w:cs="方正仿宋简体"/>
          <w:color w:val="auto"/>
          <w:sz w:val="32"/>
          <w:szCs w:val="32"/>
          <w:highlight w:val="none"/>
          <w:u w:val="none"/>
        </w:rPr>
        <w:t>项核心指标，确保规划目标可量化、可考核、可实现。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color w:val="auto"/>
          <w:sz w:val="32"/>
          <w:szCs w:val="32"/>
          <w:highlight w:val="none"/>
          <w:u w:val="none"/>
          <w:lang w:val="en-US" w:eastAsia="zh-CN"/>
        </w:rPr>
      </w:pPr>
      <w:bookmarkStart w:id="88" w:name="_Toc14240_WPSOffice_Level1"/>
      <w:r>
        <w:rPr>
          <w:rFonts w:hint="eastAsia" w:ascii="宋体" w:hAnsi="宋体" w:eastAsia="黑体" w:cs="黑体"/>
          <w:color w:val="auto"/>
          <w:sz w:val="32"/>
          <w:szCs w:val="32"/>
          <w:highlight w:val="none"/>
          <w:u w:val="none"/>
          <w:lang w:eastAsia="zh-CN"/>
        </w:rPr>
        <w:t>“</w:t>
      </w:r>
      <w:r>
        <w:rPr>
          <w:rFonts w:hint="eastAsia" w:ascii="宋体" w:hAnsi="宋体" w:eastAsia="黑体" w:cs="黑体"/>
          <w:color w:val="auto"/>
          <w:sz w:val="32"/>
          <w:szCs w:val="32"/>
          <w:highlight w:val="none"/>
          <w:u w:val="none"/>
          <w:lang w:val="en-US" w:eastAsia="zh-CN"/>
        </w:rPr>
        <w:t>十五五</w:t>
      </w:r>
      <w:r>
        <w:rPr>
          <w:rFonts w:hint="eastAsia" w:ascii="宋体" w:hAnsi="宋体" w:eastAsia="黑体" w:cs="黑体"/>
          <w:color w:val="auto"/>
          <w:sz w:val="32"/>
          <w:szCs w:val="32"/>
          <w:highlight w:val="none"/>
          <w:u w:val="none"/>
          <w:lang w:eastAsia="zh-CN"/>
        </w:rPr>
        <w:t>”</w:t>
      </w:r>
      <w:r>
        <w:rPr>
          <w:rFonts w:hint="eastAsia" w:ascii="宋体" w:hAnsi="宋体" w:eastAsia="黑体" w:cs="黑体"/>
          <w:color w:val="auto"/>
          <w:sz w:val="32"/>
          <w:szCs w:val="32"/>
          <w:highlight w:val="none"/>
          <w:u w:val="none"/>
          <w:lang w:val="en-US" w:eastAsia="zh-CN"/>
        </w:rPr>
        <w:t>农业农村现代化主要指标</w:t>
      </w:r>
      <w:bookmarkEnd w:id="88"/>
    </w:p>
    <w:tbl>
      <w:tblPr>
        <w:tblStyle w:val="5"/>
        <w:tblW w:w="94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821"/>
        <w:gridCol w:w="1727"/>
        <w:gridCol w:w="1894"/>
        <w:gridCol w:w="1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blHeader/>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b/>
                <w:bCs/>
                <w:color w:val="auto"/>
                <w:sz w:val="24"/>
                <w:szCs w:val="24"/>
                <w:highlight w:val="none"/>
                <w:u w:val="none"/>
                <w:vertAlign w:val="baseline"/>
                <w:lang w:val="en-US" w:eastAsia="zh-CN"/>
              </w:rPr>
            </w:pPr>
            <w:r>
              <w:rPr>
                <w:rFonts w:hint="eastAsia" w:ascii="宋体" w:hAnsi="宋体" w:eastAsia="方正仿宋简体" w:cs="方正仿宋简体"/>
                <w:b/>
                <w:bCs/>
                <w:color w:val="auto"/>
                <w:sz w:val="24"/>
                <w:szCs w:val="24"/>
                <w:highlight w:val="none"/>
                <w:u w:val="none"/>
                <w:vertAlign w:val="baseline"/>
                <w:lang w:val="en-US" w:eastAsia="zh-CN"/>
              </w:rPr>
              <w:t>序号</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b/>
                <w:bCs/>
                <w:color w:val="auto"/>
                <w:sz w:val="24"/>
                <w:szCs w:val="24"/>
                <w:highlight w:val="none"/>
                <w:u w:val="none"/>
                <w:vertAlign w:val="baseline"/>
                <w:lang w:val="en-US" w:eastAsia="zh-CN"/>
              </w:rPr>
            </w:pPr>
            <w:r>
              <w:rPr>
                <w:rFonts w:hint="eastAsia" w:ascii="宋体" w:hAnsi="宋体" w:eastAsia="方正仿宋简体" w:cs="方正仿宋简体"/>
                <w:b/>
                <w:bCs/>
                <w:color w:val="auto"/>
                <w:sz w:val="24"/>
                <w:szCs w:val="24"/>
                <w:highlight w:val="none"/>
                <w:u w:val="none"/>
                <w:vertAlign w:val="baseline"/>
                <w:lang w:val="en-US" w:eastAsia="zh-CN"/>
              </w:rPr>
              <w:t>指标名称</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b/>
                <w:bCs/>
                <w:color w:val="auto"/>
                <w:sz w:val="24"/>
                <w:szCs w:val="24"/>
                <w:highlight w:val="none"/>
                <w:u w:val="none"/>
                <w:vertAlign w:val="baseline"/>
                <w:lang w:val="en-US" w:eastAsia="zh-CN"/>
              </w:rPr>
            </w:pPr>
            <w:r>
              <w:rPr>
                <w:rFonts w:hint="eastAsia" w:ascii="宋体" w:hAnsi="宋体" w:eastAsia="方正仿宋简体" w:cs="方正仿宋简体"/>
                <w:b/>
                <w:bCs/>
                <w:color w:val="auto"/>
                <w:sz w:val="24"/>
                <w:szCs w:val="24"/>
                <w:highlight w:val="none"/>
                <w:u w:val="none"/>
                <w:vertAlign w:val="baseline"/>
                <w:lang w:val="en-US" w:eastAsia="zh-CN"/>
              </w:rPr>
              <w:t>2025年</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b/>
                <w:bCs/>
                <w:color w:val="auto"/>
                <w:sz w:val="24"/>
                <w:szCs w:val="24"/>
                <w:highlight w:val="none"/>
                <w:u w:val="none"/>
                <w:vertAlign w:val="baseline"/>
                <w:lang w:val="en-US" w:eastAsia="zh-CN"/>
              </w:rPr>
            </w:pPr>
            <w:r>
              <w:rPr>
                <w:rFonts w:hint="eastAsia" w:ascii="宋体" w:hAnsi="宋体" w:eastAsia="方正仿宋简体" w:cs="方正仿宋简体"/>
                <w:b/>
                <w:bCs/>
                <w:color w:val="auto"/>
                <w:sz w:val="24"/>
                <w:szCs w:val="24"/>
                <w:highlight w:val="none"/>
                <w:u w:val="none"/>
                <w:vertAlign w:val="baseline"/>
                <w:lang w:val="en-US" w:eastAsia="zh-CN"/>
              </w:rPr>
              <w:t>2030年</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b/>
                <w:bCs/>
                <w:color w:val="auto"/>
                <w:sz w:val="24"/>
                <w:szCs w:val="24"/>
                <w:highlight w:val="none"/>
                <w:u w:val="none"/>
                <w:vertAlign w:val="baseline"/>
                <w:lang w:val="en-US" w:eastAsia="zh-CN"/>
              </w:rPr>
            </w:pPr>
            <w:r>
              <w:rPr>
                <w:rFonts w:hint="eastAsia" w:ascii="宋体" w:hAnsi="宋体" w:eastAsia="方正仿宋简体" w:cs="方正仿宋简体"/>
                <w:b/>
                <w:bCs/>
                <w:color w:val="auto"/>
                <w:sz w:val="24"/>
                <w:szCs w:val="24"/>
                <w:highlight w:val="none"/>
                <w:u w:val="none"/>
                <w:vertAlign w:val="baseline"/>
                <w:lang w:val="en-US" w:eastAsia="zh-CN"/>
              </w:rPr>
              <w:t>指标属性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i w:val="0"/>
                <w:iCs w:val="0"/>
                <w:color w:val="auto"/>
                <w:kern w:val="0"/>
                <w:sz w:val="24"/>
                <w:szCs w:val="24"/>
                <w:highlight w:val="none"/>
                <w:u w:val="none"/>
                <w:lang w:val="en-US" w:eastAsia="zh-CN" w:bidi="ar"/>
              </w:rPr>
              <w:t>粮食产量</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7.55万吨</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8.</w:t>
            </w:r>
            <w:r>
              <w:rPr>
                <w:rFonts w:hint="eastAsia" w:ascii="宋体" w:hAnsi="宋体" w:eastAsia="方正仿宋简体" w:cs="方正仿宋简体"/>
                <w:color w:val="auto"/>
                <w:sz w:val="21"/>
                <w:szCs w:val="21"/>
                <w:highlight w:val="none"/>
                <w:u w:val="none"/>
                <w:vertAlign w:val="baseline"/>
                <w:lang w:val="en-US" w:eastAsia="zh-CN"/>
              </w:rPr>
              <w:t>58</w:t>
            </w:r>
            <w:r>
              <w:rPr>
                <w:rFonts w:hint="eastAsia" w:ascii="宋体" w:hAnsi="宋体" w:eastAsia="方正仿宋简体" w:cs="方正仿宋简体"/>
                <w:color w:val="auto"/>
                <w:sz w:val="21"/>
                <w:szCs w:val="21"/>
                <w:highlight w:val="none"/>
                <w:u w:val="none"/>
                <w:vertAlign w:val="baseline"/>
              </w:rPr>
              <w:t>万吨</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vertAlign w:val="baseline"/>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2</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i w:val="0"/>
                <w:iCs w:val="0"/>
                <w:color w:val="auto"/>
                <w:kern w:val="0"/>
                <w:sz w:val="24"/>
                <w:szCs w:val="24"/>
                <w:highlight w:val="none"/>
                <w:u w:val="none"/>
                <w:lang w:val="en-US" w:eastAsia="zh-CN" w:bidi="ar"/>
              </w:rPr>
              <w:t>肉类总产量</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2.53万吨</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lang w:val="en-US" w:eastAsia="zh-CN"/>
              </w:rPr>
              <w:t>5</w:t>
            </w:r>
            <w:r>
              <w:rPr>
                <w:rFonts w:hint="eastAsia" w:ascii="宋体" w:hAnsi="宋体" w:eastAsia="方正仿宋简体" w:cs="方正仿宋简体"/>
                <w:color w:val="auto"/>
                <w:sz w:val="21"/>
                <w:szCs w:val="21"/>
                <w:highlight w:val="none"/>
                <w:u w:val="none"/>
                <w:vertAlign w:val="baseline"/>
              </w:rPr>
              <w:t>万吨</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3</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i w:val="0"/>
                <w:iCs w:val="0"/>
                <w:color w:val="auto"/>
                <w:kern w:val="0"/>
                <w:sz w:val="24"/>
                <w:szCs w:val="24"/>
                <w:highlight w:val="none"/>
                <w:u w:val="none"/>
                <w:lang w:val="en-US" w:eastAsia="zh-CN" w:bidi="ar"/>
              </w:rPr>
              <w:t>果品总产量</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4.</w:t>
            </w:r>
            <w:r>
              <w:rPr>
                <w:rFonts w:hint="eastAsia" w:ascii="宋体" w:hAnsi="宋体" w:eastAsia="方正仿宋简体" w:cs="方正仿宋简体"/>
                <w:color w:val="auto"/>
                <w:sz w:val="21"/>
                <w:szCs w:val="21"/>
                <w:highlight w:val="none"/>
                <w:u w:val="none"/>
                <w:vertAlign w:val="baseline"/>
                <w:lang w:val="en-US" w:eastAsia="zh-CN"/>
              </w:rPr>
              <w:t>26</w:t>
            </w:r>
            <w:r>
              <w:rPr>
                <w:rFonts w:hint="eastAsia" w:ascii="宋体" w:hAnsi="宋体" w:eastAsia="方正仿宋简体" w:cs="方正仿宋简体"/>
                <w:color w:val="auto"/>
                <w:sz w:val="21"/>
                <w:szCs w:val="21"/>
                <w:highlight w:val="none"/>
                <w:u w:val="none"/>
                <w:vertAlign w:val="baseline"/>
              </w:rPr>
              <w:t>万吨</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4.3万吨</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4</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i w:val="0"/>
                <w:iCs w:val="0"/>
                <w:color w:val="auto"/>
                <w:kern w:val="0"/>
                <w:sz w:val="24"/>
                <w:szCs w:val="24"/>
                <w:highlight w:val="none"/>
                <w:u w:val="none"/>
                <w:lang w:val="en-US" w:eastAsia="zh-CN" w:bidi="ar"/>
              </w:rPr>
              <w:t>高效节水面积覆盖率</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68%</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75%</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5</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i w:val="0"/>
                <w:iCs w:val="0"/>
                <w:color w:val="auto"/>
                <w:kern w:val="0"/>
                <w:sz w:val="24"/>
                <w:szCs w:val="24"/>
                <w:highlight w:val="none"/>
                <w:u w:val="none"/>
                <w:lang w:val="en-US" w:eastAsia="zh-CN" w:bidi="ar"/>
              </w:rPr>
              <w:t>农业灌溉水有效利用系数</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0.61</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lang w:val="en-US" w:eastAsia="zh-CN"/>
              </w:rPr>
            </w:pPr>
            <w:r>
              <w:rPr>
                <w:rFonts w:hint="eastAsia" w:ascii="宋体" w:hAnsi="宋体" w:eastAsia="方正仿宋简体" w:cs="方正仿宋简体"/>
                <w:color w:val="auto"/>
                <w:sz w:val="21"/>
                <w:szCs w:val="21"/>
                <w:highlight w:val="none"/>
                <w:u w:val="none"/>
                <w:vertAlign w:val="baseline"/>
              </w:rPr>
              <w:t>0.6</w:t>
            </w:r>
            <w:r>
              <w:rPr>
                <w:rFonts w:hint="eastAsia" w:ascii="宋体" w:hAnsi="宋体" w:eastAsia="方正仿宋简体" w:cs="方正仿宋简体"/>
                <w:color w:val="auto"/>
                <w:sz w:val="21"/>
                <w:szCs w:val="21"/>
                <w:highlight w:val="none"/>
                <w:u w:val="none"/>
                <w:vertAlign w:val="baseline"/>
                <w:lang w:val="en-US" w:eastAsia="zh-CN"/>
              </w:rPr>
              <w:t>4</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6</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家禽年出栏</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1281万羽</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lang w:val="en-US" w:eastAsia="zh-CN"/>
              </w:rPr>
              <w:t>3</w:t>
            </w:r>
            <w:r>
              <w:rPr>
                <w:rFonts w:hint="eastAsia" w:ascii="宋体" w:hAnsi="宋体" w:eastAsia="方正仿宋简体" w:cs="方正仿宋简体"/>
                <w:color w:val="auto"/>
                <w:sz w:val="21"/>
                <w:szCs w:val="21"/>
                <w:highlight w:val="none"/>
                <w:u w:val="none"/>
                <w:vertAlign w:val="baseline"/>
              </w:rPr>
              <w:t>000万羽</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7</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家禽全产业链年产值</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10.9亿元</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lang w:val="en-US" w:eastAsia="zh-CN"/>
              </w:rPr>
              <w:t>20</w:t>
            </w:r>
            <w:r>
              <w:rPr>
                <w:rFonts w:hint="eastAsia" w:ascii="宋体" w:hAnsi="宋体" w:eastAsia="方正仿宋简体" w:cs="方正仿宋简体"/>
                <w:color w:val="auto"/>
                <w:sz w:val="21"/>
                <w:szCs w:val="21"/>
                <w:highlight w:val="none"/>
                <w:u w:val="none"/>
                <w:vertAlign w:val="baseline"/>
              </w:rPr>
              <w:t>亿元</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8</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农村天然气普及率</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39.42%</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lang w:val="en-US" w:eastAsia="zh-CN"/>
              </w:rPr>
              <w:t>52.67</w:t>
            </w:r>
            <w:r>
              <w:rPr>
                <w:rFonts w:hint="eastAsia" w:ascii="宋体" w:hAnsi="宋体" w:eastAsia="方正仿宋简体" w:cs="方正仿宋简体"/>
                <w:color w:val="auto"/>
                <w:sz w:val="21"/>
                <w:szCs w:val="21"/>
                <w:highlight w:val="none"/>
                <w:u w:val="none"/>
                <w:vertAlign w:val="baseline"/>
              </w:rPr>
              <w:t>%</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9</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农村卫生厕所普及率</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89.54%</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100%</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10</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农村生活污水治理（管控）率</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61.53%</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65%以上</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11</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乡村医生中具备执业（助理）医师资格占比</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45.24%</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稳定在45%以上</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12</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乡（街道）（街道）区域养老服务中心服务覆盖率</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66%</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75%</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13</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畜禽粪污综合利用率</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85%</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90%</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14</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农产品质量安全例行监测总体合格率</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98%</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98%</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15</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新型农业经营主体带动农户比例</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55%</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65%</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16</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休闲农业经营主体个数</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26个</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1"/>
                <w:szCs w:val="21"/>
                <w:highlight w:val="none"/>
                <w:u w:val="none"/>
                <w:vertAlign w:val="baseline"/>
              </w:rPr>
            </w:pPr>
            <w:r>
              <w:rPr>
                <w:rFonts w:hint="eastAsia" w:ascii="宋体" w:hAnsi="宋体" w:eastAsia="方正仿宋简体" w:cs="方正仿宋简体"/>
                <w:color w:val="auto"/>
                <w:sz w:val="21"/>
                <w:szCs w:val="21"/>
                <w:highlight w:val="none"/>
                <w:u w:val="none"/>
                <w:vertAlign w:val="baseline"/>
              </w:rPr>
              <w:t>2</w:t>
            </w:r>
            <w:r>
              <w:rPr>
                <w:rFonts w:hint="eastAsia" w:ascii="宋体" w:hAnsi="宋体" w:eastAsia="方正仿宋简体" w:cs="方正仿宋简体"/>
                <w:color w:val="auto"/>
                <w:sz w:val="21"/>
                <w:szCs w:val="21"/>
                <w:highlight w:val="none"/>
                <w:u w:val="none"/>
                <w:vertAlign w:val="baseline"/>
                <w:lang w:val="en-US" w:eastAsia="zh-CN"/>
              </w:rPr>
              <w:t>8</w:t>
            </w:r>
            <w:r>
              <w:rPr>
                <w:rFonts w:hint="eastAsia" w:ascii="宋体" w:hAnsi="宋体" w:eastAsia="方正仿宋简体" w:cs="方正仿宋简体"/>
                <w:color w:val="auto"/>
                <w:sz w:val="21"/>
                <w:szCs w:val="21"/>
                <w:highlight w:val="none"/>
                <w:u w:val="none"/>
                <w:vertAlign w:val="baseline"/>
              </w:rPr>
              <w:t>个</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17</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农产品加工业与农业总产值</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vertAlign w:val="baseline"/>
              </w:rPr>
              <w:t>2.45:1</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vertAlign w:val="baseline"/>
              </w:rPr>
              <w:t>2.8:1</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18</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农产品加工转化率</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vertAlign w:val="baseline"/>
              </w:rPr>
              <w:t>——</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vertAlign w:val="baseline"/>
              </w:rPr>
              <w:t>7</w:t>
            </w:r>
            <w:r>
              <w:rPr>
                <w:rFonts w:hint="eastAsia" w:ascii="宋体" w:hAnsi="宋体" w:eastAsia="方正仿宋简体" w:cs="方正仿宋简体"/>
                <w:color w:val="auto"/>
                <w:sz w:val="24"/>
                <w:szCs w:val="24"/>
                <w:highlight w:val="none"/>
                <w:u w:val="none"/>
                <w:vertAlign w:val="baseline"/>
                <w:lang w:val="en-US" w:eastAsia="zh-CN"/>
              </w:rPr>
              <w:t>6</w:t>
            </w:r>
            <w:r>
              <w:rPr>
                <w:rFonts w:hint="eastAsia" w:ascii="宋体" w:hAnsi="宋体" w:eastAsia="方正仿宋简体" w:cs="方正仿宋简体"/>
                <w:color w:val="auto"/>
                <w:sz w:val="24"/>
                <w:szCs w:val="24"/>
                <w:highlight w:val="none"/>
                <w:u w:val="none"/>
                <w:vertAlign w:val="baseline"/>
              </w:rPr>
              <w:t>%</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53"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lang w:val="en-US" w:eastAsia="zh-CN"/>
              </w:rPr>
            </w:pPr>
            <w:r>
              <w:rPr>
                <w:rFonts w:hint="eastAsia" w:ascii="宋体" w:hAnsi="宋体" w:eastAsia="方正仿宋简体" w:cs="方正仿宋简体"/>
                <w:color w:val="auto"/>
                <w:sz w:val="24"/>
                <w:szCs w:val="24"/>
                <w:highlight w:val="none"/>
                <w:u w:val="none"/>
                <w:vertAlign w:val="baseline"/>
                <w:lang w:val="en-US" w:eastAsia="zh-CN"/>
              </w:rPr>
              <w:t>19</w:t>
            </w:r>
          </w:p>
        </w:tc>
        <w:tc>
          <w:tcPr>
            <w:tcW w:w="3821" w:type="dxa"/>
            <w:vAlign w:val="center"/>
          </w:tcPr>
          <w:p>
            <w:pPr>
              <w:snapToGrid w:val="0"/>
              <w:ind w:left="0" w:leftChars="0" w:right="0" w:rightChars="0" w:firstLine="0" w:firstLineChars="0"/>
              <w:jc w:val="left"/>
              <w:rPr>
                <w:rFonts w:hint="eastAsia" w:ascii="宋体" w:hAnsi="宋体" w:eastAsia="方正仿宋简体" w:cs="方正仿宋简体"/>
                <w:i w:val="0"/>
                <w:iCs w:val="0"/>
                <w:color w:val="auto"/>
                <w:kern w:val="0"/>
                <w:sz w:val="24"/>
                <w:szCs w:val="24"/>
                <w:highlight w:val="none"/>
                <w:u w:val="none"/>
                <w:lang w:val="en-US" w:eastAsia="zh-CN" w:bidi="ar"/>
              </w:rPr>
            </w:pPr>
            <w:r>
              <w:rPr>
                <w:rFonts w:hint="eastAsia" w:ascii="宋体" w:hAnsi="宋体" w:eastAsia="方正仿宋简体" w:cs="方正仿宋简体"/>
                <w:i w:val="0"/>
                <w:iCs w:val="0"/>
                <w:color w:val="auto"/>
                <w:kern w:val="0"/>
                <w:sz w:val="24"/>
                <w:szCs w:val="24"/>
                <w:highlight w:val="none"/>
                <w:u w:val="none"/>
                <w:lang w:val="en-US" w:eastAsia="zh-CN" w:bidi="ar"/>
              </w:rPr>
              <w:t>农村居民人均可支配收入增速</w:t>
            </w:r>
          </w:p>
        </w:tc>
        <w:tc>
          <w:tcPr>
            <w:tcW w:w="1727"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vertAlign w:val="baseline"/>
              </w:rPr>
              <w:t>8</w:t>
            </w:r>
            <w:r>
              <w:rPr>
                <w:rFonts w:hint="eastAsia" w:ascii="宋体" w:hAnsi="宋体" w:eastAsia="方正仿宋简体" w:cs="方正仿宋简体"/>
                <w:color w:val="auto"/>
                <w:sz w:val="24"/>
                <w:szCs w:val="24"/>
                <w:highlight w:val="none"/>
                <w:u w:val="none"/>
                <w:vertAlign w:val="baseline"/>
                <w:lang w:eastAsia="zh-CN"/>
              </w:rPr>
              <w:t>.</w:t>
            </w:r>
            <w:r>
              <w:rPr>
                <w:rFonts w:hint="eastAsia" w:ascii="宋体" w:hAnsi="宋体" w:eastAsia="方正仿宋简体" w:cs="方正仿宋简体"/>
                <w:color w:val="auto"/>
                <w:sz w:val="24"/>
                <w:szCs w:val="24"/>
                <w:highlight w:val="none"/>
                <w:u w:val="none"/>
                <w:vertAlign w:val="baseline"/>
                <w:lang w:val="en-US" w:eastAsia="zh-CN"/>
              </w:rPr>
              <w:t>9</w:t>
            </w:r>
            <w:r>
              <w:rPr>
                <w:rFonts w:hint="eastAsia" w:ascii="宋体" w:hAnsi="宋体" w:eastAsia="方正仿宋简体" w:cs="方正仿宋简体"/>
                <w:color w:val="auto"/>
                <w:sz w:val="24"/>
                <w:szCs w:val="24"/>
                <w:highlight w:val="none"/>
                <w:u w:val="none"/>
                <w:vertAlign w:val="baseline"/>
              </w:rPr>
              <w:t>%</w:t>
            </w:r>
          </w:p>
        </w:tc>
        <w:tc>
          <w:tcPr>
            <w:tcW w:w="1894"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vertAlign w:val="baseline"/>
              </w:rPr>
              <w:t>7%</w:t>
            </w:r>
          </w:p>
        </w:tc>
        <w:tc>
          <w:tcPr>
            <w:tcW w:w="1278" w:type="dxa"/>
            <w:vAlign w:val="center"/>
          </w:tcPr>
          <w:p>
            <w:pPr>
              <w:snapToGrid w:val="0"/>
              <w:ind w:left="0" w:leftChars="0" w:right="0" w:rightChars="0" w:firstLine="0" w:firstLineChars="0"/>
              <w:jc w:val="center"/>
              <w:rPr>
                <w:rFonts w:hint="eastAsia" w:ascii="宋体" w:hAnsi="宋体" w:eastAsia="方正仿宋简体" w:cs="方正仿宋简体"/>
                <w:color w:val="auto"/>
                <w:sz w:val="24"/>
                <w:szCs w:val="24"/>
                <w:highlight w:val="none"/>
                <w:u w:val="none"/>
                <w:vertAlign w:val="baseline"/>
              </w:rPr>
            </w:pPr>
            <w:r>
              <w:rPr>
                <w:rFonts w:hint="eastAsia" w:ascii="宋体" w:hAnsi="宋体" w:eastAsia="方正仿宋简体" w:cs="方正仿宋简体"/>
                <w:color w:val="auto"/>
                <w:sz w:val="24"/>
                <w:szCs w:val="24"/>
                <w:highlight w:val="none"/>
                <w:u w:val="none"/>
              </w:rPr>
              <w:t>预期性</w:t>
            </w:r>
          </w:p>
        </w:tc>
      </w:tr>
    </w:tbl>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楷体简体" w:cs="方正楷体简体"/>
          <w:b/>
          <w:bCs/>
          <w:color w:val="auto"/>
          <w:sz w:val="32"/>
          <w:szCs w:val="32"/>
          <w:highlight w:val="none"/>
          <w:u w:val="none"/>
        </w:rPr>
      </w:pPr>
      <w:bookmarkStart w:id="89" w:name="heading_36"/>
      <w:r>
        <w:rPr>
          <w:rFonts w:hint="eastAsia" w:ascii="宋体" w:hAnsi="宋体" w:eastAsia="方正楷体简体" w:cs="方正楷体简体"/>
          <w:b/>
          <w:bCs/>
          <w:color w:val="auto"/>
          <w:sz w:val="32"/>
          <w:szCs w:val="32"/>
          <w:highlight w:val="none"/>
          <w:u w:val="none"/>
        </w:rPr>
        <w:t>（二）发展愿景</w:t>
      </w:r>
      <w:bookmarkEnd w:id="89"/>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90" w:name="heading_37"/>
      <w:r>
        <w:rPr>
          <w:rFonts w:hint="eastAsia" w:ascii="宋体" w:hAnsi="宋体" w:eastAsia="方正仿宋简体" w:cs="方正仿宋简体"/>
          <w:b/>
          <w:bCs/>
          <w:color w:val="auto"/>
          <w:sz w:val="32"/>
          <w:szCs w:val="32"/>
          <w:highlight w:val="none"/>
          <w:u w:val="none"/>
        </w:rPr>
        <w:t>农业现代化水平显著提升</w:t>
      </w:r>
      <w:bookmarkEnd w:id="90"/>
      <w:r>
        <w:rPr>
          <w:rFonts w:hint="eastAsia" w:ascii="宋体" w:hAnsi="宋体" w:eastAsia="方正仿宋简体" w:cs="方正仿宋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粮食产能持续稳固，高标准农田实现全覆盖。特色产业集群发展壮大，家禽、特色果蔬、花卉苗木等产业实现规模化、标准化、品牌化发展，农产品精深加工率大幅提升，形成“产加销”一体化产业链。开放农业形成规模，跨境农业合作深入推进，农产品出口额大幅增长，建</w:t>
      </w:r>
      <w:r>
        <w:rPr>
          <w:rFonts w:hint="eastAsia" w:ascii="宋体" w:hAnsi="宋体" w:eastAsia="方正仿宋简体" w:cs="方正仿宋简体"/>
          <w:color w:val="auto"/>
          <w:spacing w:val="-20"/>
          <w:sz w:val="32"/>
          <w:szCs w:val="32"/>
          <w:highlight w:val="none"/>
          <w:u w:val="none"/>
        </w:rPr>
        <w:t>成自治区现代农业</w:t>
      </w:r>
      <w:r>
        <w:rPr>
          <w:rFonts w:hint="eastAsia" w:ascii="宋体" w:hAnsi="宋体" w:eastAsia="方正仿宋简体" w:cs="方正仿宋简体"/>
          <w:color w:val="auto"/>
          <w:spacing w:val="-20"/>
          <w:sz w:val="32"/>
          <w:szCs w:val="32"/>
          <w:highlight w:val="none"/>
          <w:u w:val="none"/>
          <w:lang w:val="en-US" w:eastAsia="zh-CN"/>
        </w:rPr>
        <w:t>科技示范园</w:t>
      </w:r>
      <w:r>
        <w:rPr>
          <w:rFonts w:hint="eastAsia" w:ascii="宋体" w:hAnsi="宋体" w:eastAsia="方正仿宋简体" w:cs="方正仿宋简体"/>
          <w:color w:val="auto"/>
          <w:spacing w:val="-20"/>
          <w:sz w:val="32"/>
          <w:szCs w:val="32"/>
          <w:highlight w:val="none"/>
          <w:u w:val="none"/>
        </w:rPr>
        <w:t>和向西开放农产品加工出口基地。</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b/>
          <w:bCs/>
          <w:color w:val="auto"/>
          <w:sz w:val="32"/>
          <w:szCs w:val="32"/>
          <w:highlight w:val="none"/>
          <w:u w:val="none"/>
        </w:rPr>
      </w:pPr>
      <w:bookmarkStart w:id="91" w:name="heading_38"/>
      <w:r>
        <w:rPr>
          <w:rFonts w:hint="eastAsia" w:ascii="宋体" w:hAnsi="宋体" w:eastAsia="方正仿宋简体" w:cs="方正仿宋简体"/>
          <w:b/>
          <w:bCs/>
          <w:color w:val="auto"/>
          <w:sz w:val="32"/>
          <w:szCs w:val="32"/>
          <w:highlight w:val="none"/>
          <w:u w:val="none"/>
        </w:rPr>
        <w:t>乡村振兴全面推进</w:t>
      </w:r>
      <w:bookmarkEnd w:id="91"/>
      <w:r>
        <w:rPr>
          <w:rFonts w:hint="eastAsia" w:ascii="宋体" w:hAnsi="宋体" w:eastAsia="方正仿宋简体" w:cs="方正仿宋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农村基础设施全面完善，农村道路、供水、供电、供气、通信等基础设施实现全覆盖、高品质，数字乡村建设成效显著。农村人居环境持续优化，农村厕所革命、污水垃圾治理、村容村貌提升取得决定性成效，建成一批宜居宜业和美乡村。乡村治理体系更加完善，自治、法治、德治相结合的乡村治理格局基本形成，基层治理精细化、信息化水平大幅提升。民族文化繁荣</w:t>
      </w:r>
      <w:r>
        <w:rPr>
          <w:rFonts w:hint="eastAsia" w:ascii="宋体" w:hAnsi="宋体" w:eastAsia="方正仿宋简体" w:cs="方正仿宋简体"/>
          <w:b w:val="0"/>
          <w:bCs w:val="0"/>
          <w:color w:val="auto"/>
          <w:sz w:val="32"/>
          <w:szCs w:val="32"/>
          <w:highlight w:val="none"/>
          <w:u w:val="none"/>
        </w:rPr>
        <w:t>发展，民族团结进步事业深入推进，建成边境民族地区乡村振兴样板。</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92" w:name="heading_39"/>
      <w:r>
        <w:rPr>
          <w:rFonts w:hint="eastAsia" w:ascii="宋体" w:hAnsi="宋体" w:eastAsia="方正仿宋简体" w:cs="方正仿宋简体"/>
          <w:b/>
          <w:bCs/>
          <w:color w:val="auto"/>
          <w:sz w:val="32"/>
          <w:szCs w:val="32"/>
          <w:highlight w:val="none"/>
          <w:u w:val="none"/>
        </w:rPr>
        <w:t>农民生活品质全面提高</w:t>
      </w:r>
      <w:bookmarkEnd w:id="92"/>
      <w:r>
        <w:rPr>
          <w:rFonts w:hint="eastAsia" w:ascii="宋体" w:hAnsi="宋体" w:eastAsia="方正仿宋简体" w:cs="方正仿宋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农村居民人均可支配收入持续快速增长，收入结构不断优化，工资性收入、经营性收入、财产性收入占比显著提升，城乡居民收入差距明显缩小。脱贫户、监测户收入增速持续高于农村居民平均水平，低收入群体生活得到有效保障。农民就业渠道持续拓宽，就业质量不断提升，社会保障体系更加完善，农村养老、医疗、教育等公共服务水平与城市差距大幅缩小。农民素质不断提升，文明素养、法治意识显著增强，生活便利度、幸福感、获得感持续提升，共同富裕取得实质性进展。</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93" w:name="heading_40"/>
      <w:r>
        <w:rPr>
          <w:rFonts w:hint="eastAsia" w:ascii="宋体" w:hAnsi="宋体" w:eastAsia="方正仿宋简体" w:cs="方正仿宋简体"/>
          <w:b/>
          <w:bCs/>
          <w:color w:val="auto"/>
          <w:sz w:val="32"/>
          <w:szCs w:val="32"/>
          <w:highlight w:val="none"/>
          <w:u w:val="none"/>
        </w:rPr>
        <w:t>有效衔接成效显著</w:t>
      </w:r>
      <w:bookmarkEnd w:id="93"/>
      <w:r>
        <w:rPr>
          <w:rFonts w:hint="eastAsia" w:ascii="宋体" w:hAnsi="宋体" w:eastAsia="方正仿宋简体" w:cs="方正仿宋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eastAsia="zh-CN"/>
        </w:rPr>
        <w:t>巩固拓展脱贫攻坚成果</w:t>
      </w:r>
      <w:r>
        <w:rPr>
          <w:rFonts w:hint="eastAsia" w:ascii="宋体" w:hAnsi="宋体" w:eastAsia="方正仿宋简体" w:cs="方正仿宋简体"/>
          <w:color w:val="auto"/>
          <w:sz w:val="32"/>
          <w:szCs w:val="32"/>
          <w:highlight w:val="none"/>
          <w:u w:val="none"/>
        </w:rPr>
        <w:t>长效机制更加健全，防止返贫监测帮扶体系更加精准高效，不发生规模性返贫底线</w:t>
      </w:r>
      <w:r>
        <w:rPr>
          <w:rFonts w:hint="eastAsia" w:ascii="宋体" w:hAnsi="宋体" w:eastAsia="方正仿宋简体" w:cs="方正仿宋简体"/>
          <w:color w:val="auto"/>
          <w:sz w:val="32"/>
          <w:szCs w:val="32"/>
          <w:highlight w:val="none"/>
          <w:u w:val="none"/>
          <w:lang w:eastAsia="zh-CN"/>
        </w:rPr>
        <w:t>守得更牢</w:t>
      </w:r>
      <w:r>
        <w:rPr>
          <w:rFonts w:hint="eastAsia" w:ascii="宋体" w:hAnsi="宋体" w:eastAsia="方正仿宋简体" w:cs="方正仿宋简体"/>
          <w:color w:val="auto"/>
          <w:sz w:val="32"/>
          <w:szCs w:val="32"/>
          <w:highlight w:val="none"/>
          <w:u w:val="none"/>
        </w:rPr>
        <w:t>。村</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社区</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产业基础更加稳固，产业链条更加完善，可持续增收能力显著提升。低收入群体技能水平不断提升，就业稳定性持续增强，扶志扶智成效显著，脱贫群众内生发展动力全面激</w:t>
      </w:r>
      <w:r>
        <w:rPr>
          <w:rFonts w:hint="eastAsia" w:ascii="宋体" w:hAnsi="宋体" w:eastAsia="方正仿宋简体" w:cs="方正仿宋简体"/>
          <w:color w:val="auto"/>
          <w:w w:val="95"/>
          <w:sz w:val="32"/>
          <w:szCs w:val="32"/>
          <w:highlight w:val="none"/>
          <w:u w:val="none"/>
        </w:rPr>
        <w:t>发，巩固拓展脱贫攻坚成果同乡村振兴实现深度融合、无缝衔接。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bookmarkStart w:id="94" w:name="heading_41"/>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bookmarkStart w:id="95" w:name="_Toc22153_WPSOffice_Level1"/>
      <w:r>
        <w:rPr>
          <w:rFonts w:hint="eastAsia" w:ascii="宋体" w:hAnsi="宋体" w:eastAsia="黑体" w:cs="黑体"/>
          <w:b w:val="0"/>
          <w:bCs/>
          <w:color w:val="auto"/>
          <w:sz w:val="32"/>
          <w:szCs w:val="32"/>
          <w:highlight w:val="none"/>
          <w:u w:val="none"/>
        </w:rPr>
        <w:t>第三章</w:t>
      </w:r>
      <w:bookmarkEnd w:id="94"/>
      <w:bookmarkStart w:id="96" w:name="heading_42"/>
      <w:r>
        <w:rPr>
          <w:rFonts w:hint="eastAsia" w:ascii="宋体" w:hAnsi="宋体" w:eastAsia="黑体" w:cs="黑体"/>
          <w:b w:val="0"/>
          <w:bCs/>
          <w:color w:val="auto"/>
          <w:sz w:val="32"/>
          <w:szCs w:val="32"/>
          <w:highlight w:val="none"/>
          <w:u w:val="none"/>
          <w:lang w:val="en-US" w:eastAsia="zh-CN"/>
        </w:rPr>
        <w:t xml:space="preserve"> </w:t>
      </w:r>
      <w:r>
        <w:rPr>
          <w:rFonts w:hint="eastAsia" w:ascii="宋体" w:hAnsi="宋体" w:eastAsia="黑体" w:cs="黑体"/>
          <w:b w:val="0"/>
          <w:bCs/>
          <w:color w:val="auto"/>
          <w:sz w:val="32"/>
          <w:szCs w:val="32"/>
          <w:highlight w:val="none"/>
          <w:u w:val="none"/>
        </w:rPr>
        <w:t>筑牢粮食安全底线，提升农业综合生产能力</w:t>
      </w:r>
      <w:bookmarkEnd w:id="95"/>
      <w:bookmarkEnd w:id="96"/>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始终把保障粮食安全作为首要</w:t>
      </w:r>
      <w:r>
        <w:rPr>
          <w:rFonts w:hint="eastAsia" w:ascii="宋体" w:hAnsi="宋体" w:eastAsia="方正仿宋简体" w:cs="方正仿宋简体"/>
          <w:color w:val="auto"/>
          <w:sz w:val="32"/>
          <w:szCs w:val="32"/>
          <w:highlight w:val="none"/>
          <w:u w:val="none"/>
          <w:lang w:eastAsia="zh-CN"/>
        </w:rPr>
        <w:t>政治</w:t>
      </w:r>
      <w:r>
        <w:rPr>
          <w:rFonts w:hint="eastAsia" w:ascii="宋体" w:hAnsi="宋体" w:eastAsia="方正仿宋简体" w:cs="方正仿宋简体"/>
          <w:color w:val="auto"/>
          <w:sz w:val="32"/>
          <w:szCs w:val="32"/>
          <w:highlight w:val="none"/>
          <w:u w:val="none"/>
        </w:rPr>
        <w:t>任务，严守耕地红线，强化科技支撑，完善基础设施，提升粮食综合生产能力，确保粮食供给安全、质量安全。</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rPr>
          <w:rFonts w:hint="eastAsia" w:ascii="宋体" w:hAnsi="宋体" w:eastAsia="黑体" w:cs="黑体"/>
          <w:b w:val="0"/>
          <w:bCs/>
          <w:color w:val="auto"/>
          <w:sz w:val="32"/>
          <w:szCs w:val="32"/>
          <w:highlight w:val="none"/>
          <w:u w:val="none"/>
        </w:rPr>
      </w:pPr>
      <w:bookmarkStart w:id="97" w:name="heading_43"/>
      <w:bookmarkStart w:id="98" w:name="_Toc4588_WPSOffice_Level2"/>
      <w:r>
        <w:rPr>
          <w:rFonts w:hint="eastAsia" w:ascii="宋体" w:hAnsi="宋体" w:eastAsia="黑体" w:cs="黑体"/>
          <w:b w:val="0"/>
          <w:bCs/>
          <w:color w:val="auto"/>
          <w:sz w:val="32"/>
          <w:szCs w:val="32"/>
          <w:highlight w:val="none"/>
          <w:u w:val="none"/>
          <w:lang w:val="en-US" w:eastAsia="zh-CN"/>
        </w:rPr>
        <w:t xml:space="preserve">第一节 </w:t>
      </w:r>
      <w:r>
        <w:rPr>
          <w:rFonts w:hint="eastAsia" w:ascii="宋体" w:hAnsi="宋体" w:eastAsia="黑体" w:cs="黑体"/>
          <w:b w:val="0"/>
          <w:bCs/>
          <w:color w:val="auto"/>
          <w:sz w:val="32"/>
          <w:szCs w:val="32"/>
          <w:highlight w:val="none"/>
          <w:u w:val="none"/>
        </w:rPr>
        <w:t>严守耕地保护红线，稳定粮食播种面积</w:t>
      </w:r>
      <w:bookmarkEnd w:id="97"/>
      <w:bookmarkEnd w:id="98"/>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强化耕地保护责任</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严格落实耕地保护党政同责，健全耕地保护目标责任制，将耕地保护任务分解到乡（街道）、村（社区），明确责任主体，强化考核问责，确保全市耕地保有量不减少、质量有提升。严守永久基本农田特殊保护红线，永久基本农田重点用于发展粮食生产，坚决遏制耕地“非粮化”、严控“非农化”，严禁违规占用永久基本农田发展林果业、挖塘养鱼等。</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稳定粮食播种面积</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全面落实粮食安全党政同责，坚持产量产能、生产生态、增产增收一起抓，坚持稳面积、优结构、攻单产、提产能，扎实推进粮食产能提升行动，深入实施粮油等主要作物大面积单产提升行动，加大良田良种良机良法集成推广应用，大力开展“百亩攻关、千亩创建、万亩示范”</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引导农户合理安排种植计划，鼓励农户多种粮、种好粮，落实粮食生产补贴政策，提高农户种粮积极性。全市粮食播种面积持续稳定在</w:t>
      </w:r>
      <w:r>
        <w:rPr>
          <w:rFonts w:hint="eastAsia" w:ascii="宋体" w:hAnsi="宋体" w:eastAsia="方正仿宋简体" w:cs="方正仿宋简体"/>
          <w:color w:val="auto"/>
          <w:sz w:val="32"/>
          <w:szCs w:val="32"/>
          <w:highlight w:val="none"/>
          <w:u w:val="none"/>
          <w:lang w:val="en-US" w:eastAsia="zh-CN"/>
        </w:rPr>
        <w:t>9</w:t>
      </w:r>
      <w:r>
        <w:rPr>
          <w:rFonts w:hint="eastAsia" w:ascii="宋体" w:hAnsi="宋体" w:eastAsia="方正仿宋简体" w:cs="方正仿宋简体"/>
          <w:color w:val="auto"/>
          <w:sz w:val="32"/>
          <w:szCs w:val="32"/>
          <w:highlight w:val="none"/>
          <w:u w:val="none"/>
        </w:rPr>
        <w:t>万亩</w:t>
      </w:r>
      <w:r>
        <w:rPr>
          <w:rFonts w:hint="eastAsia" w:ascii="宋体" w:hAnsi="宋体" w:eastAsia="方正仿宋简体" w:cs="方正仿宋简体"/>
          <w:color w:val="auto"/>
          <w:sz w:val="32"/>
          <w:szCs w:val="32"/>
          <w:highlight w:val="none"/>
          <w:u w:val="none"/>
          <w:lang w:val="en-US" w:eastAsia="zh-CN"/>
        </w:rPr>
        <w:t>左右</w:t>
      </w:r>
      <w:r>
        <w:rPr>
          <w:rFonts w:hint="eastAsia" w:ascii="宋体" w:hAnsi="宋体" w:eastAsia="方正仿宋简体" w:cs="方正仿宋简体"/>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三</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提升耕地质量</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实施耕地质量保护与提升行动，推进耕地地力培肥，推广秸秆还田、绿肥种植、测土配方施肥等技术，提升耕地有机质含量和土壤肥力。加大盐碱地改良力度，“十五五”期间改良盐碱地</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石头地1</w:t>
      </w:r>
      <w:r>
        <w:rPr>
          <w:rFonts w:hint="eastAsia" w:ascii="宋体" w:hAnsi="宋体" w:eastAsia="方正仿宋简体" w:cs="方正仿宋简体"/>
          <w:color w:val="auto"/>
          <w:sz w:val="32"/>
          <w:szCs w:val="32"/>
          <w:highlight w:val="none"/>
          <w:u w:val="none"/>
        </w:rPr>
        <w:t>万亩，重点改良</w:t>
      </w:r>
      <w:r>
        <w:rPr>
          <w:rFonts w:hint="eastAsia" w:ascii="宋体" w:hAnsi="宋体" w:eastAsia="方正仿宋简体" w:cs="方正仿宋简体"/>
          <w:color w:val="auto"/>
          <w:sz w:val="32"/>
          <w:szCs w:val="32"/>
          <w:highlight w:val="none"/>
          <w:u w:val="none"/>
          <w:lang w:val="en-US" w:eastAsia="zh-CN"/>
        </w:rPr>
        <w:t>兴城街道</w:t>
      </w:r>
      <w:r>
        <w:rPr>
          <w:rFonts w:hint="eastAsia" w:ascii="宋体" w:hAnsi="宋体" w:eastAsia="方正仿宋简体" w:cs="方正仿宋简体"/>
          <w:color w:val="auto"/>
          <w:sz w:val="32"/>
          <w:szCs w:val="32"/>
          <w:highlight w:val="none"/>
          <w:u w:val="none"/>
        </w:rPr>
        <w:t>、伊车嘎善锡伯族乡等区域的盐碱地</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石头地</w:t>
      </w:r>
      <w:r>
        <w:rPr>
          <w:rFonts w:hint="eastAsia" w:ascii="宋体" w:hAnsi="宋体" w:eastAsia="方正仿宋简体" w:cs="方正仿宋简体"/>
          <w:color w:val="auto"/>
          <w:sz w:val="32"/>
          <w:szCs w:val="32"/>
          <w:highlight w:val="none"/>
          <w:u w:val="none"/>
        </w:rPr>
        <w:t>，通过工程改良、生物改良、农艺改良相结合的方式，提升</w:t>
      </w:r>
      <w:r>
        <w:rPr>
          <w:rFonts w:hint="eastAsia" w:ascii="宋体" w:hAnsi="宋体" w:eastAsia="方正仿宋简体" w:cs="方正仿宋简体"/>
          <w:color w:val="auto"/>
          <w:sz w:val="32"/>
          <w:szCs w:val="32"/>
          <w:highlight w:val="none"/>
          <w:u w:val="none"/>
          <w:lang w:val="en-US" w:eastAsia="zh-CN"/>
        </w:rPr>
        <w:t>耕地综合</w:t>
      </w:r>
      <w:r>
        <w:rPr>
          <w:rFonts w:hint="eastAsia" w:ascii="宋体" w:hAnsi="宋体" w:eastAsia="方正仿宋简体" w:cs="方正仿宋简体"/>
          <w:color w:val="auto"/>
          <w:sz w:val="32"/>
          <w:szCs w:val="32"/>
          <w:highlight w:val="none"/>
          <w:u w:val="none"/>
        </w:rPr>
        <w:t>利用效率。</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rPr>
          <w:rFonts w:hint="eastAsia" w:ascii="宋体" w:hAnsi="宋体" w:eastAsia="黑体" w:cs="黑体"/>
          <w:b w:val="0"/>
          <w:bCs w:val="0"/>
          <w:color w:val="auto"/>
          <w:sz w:val="32"/>
          <w:szCs w:val="32"/>
          <w:highlight w:val="none"/>
          <w:u w:val="none"/>
        </w:rPr>
      </w:pPr>
      <w:bookmarkStart w:id="99" w:name="heading_44"/>
      <w:bookmarkStart w:id="100" w:name="_Toc7503_WPSOffice_Level2"/>
      <w:r>
        <w:rPr>
          <w:rFonts w:hint="eastAsia" w:ascii="宋体" w:hAnsi="宋体" w:eastAsia="黑体" w:cs="黑体"/>
          <w:b w:val="0"/>
          <w:bCs w:val="0"/>
          <w:color w:val="auto"/>
          <w:sz w:val="32"/>
          <w:szCs w:val="32"/>
          <w:highlight w:val="none"/>
          <w:u w:val="none"/>
          <w:lang w:val="en-US" w:eastAsia="zh-CN"/>
        </w:rPr>
        <w:t xml:space="preserve">第二节 </w:t>
      </w:r>
      <w:r>
        <w:rPr>
          <w:rFonts w:hint="eastAsia" w:ascii="宋体" w:hAnsi="宋体" w:eastAsia="黑体" w:cs="黑体"/>
          <w:b w:val="0"/>
          <w:bCs w:val="0"/>
          <w:color w:val="auto"/>
          <w:sz w:val="32"/>
          <w:szCs w:val="32"/>
          <w:highlight w:val="none"/>
          <w:u w:val="none"/>
        </w:rPr>
        <w:t>推进高标准农田建设，完善农业基础设施</w:t>
      </w:r>
      <w:bookmarkEnd w:id="99"/>
      <w:bookmarkEnd w:id="100"/>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实施高标准农田提质增效工程</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“十五五”期间，新建高标准农田</w:t>
      </w:r>
      <w:r>
        <w:rPr>
          <w:rFonts w:hint="eastAsia" w:ascii="宋体" w:hAnsi="宋体" w:eastAsia="方正仿宋简体" w:cs="方正仿宋简体"/>
          <w:color w:val="auto"/>
          <w:sz w:val="32"/>
          <w:szCs w:val="32"/>
          <w:highlight w:val="none"/>
          <w:u w:val="none"/>
          <w:lang w:val="en-US" w:eastAsia="zh-CN"/>
        </w:rPr>
        <w:t>1.16</w:t>
      </w:r>
      <w:r>
        <w:rPr>
          <w:rFonts w:hint="eastAsia" w:ascii="宋体" w:hAnsi="宋体" w:eastAsia="方正仿宋简体" w:cs="方正仿宋简体"/>
          <w:color w:val="auto"/>
          <w:sz w:val="32"/>
          <w:szCs w:val="32"/>
          <w:highlight w:val="none"/>
          <w:u w:val="none"/>
        </w:rPr>
        <w:t>万亩，重点覆盖</w:t>
      </w:r>
      <w:r>
        <w:rPr>
          <w:rFonts w:hint="eastAsia" w:ascii="宋体" w:hAnsi="宋体" w:eastAsia="方正仿宋简体" w:cs="方正仿宋简体"/>
          <w:color w:val="auto"/>
          <w:sz w:val="32"/>
          <w:szCs w:val="32"/>
          <w:highlight w:val="none"/>
          <w:u w:val="none"/>
          <w:lang w:eastAsia="zh-CN"/>
        </w:rPr>
        <w:t>兴城街道</w:t>
      </w:r>
      <w:r>
        <w:rPr>
          <w:rFonts w:hint="eastAsia" w:ascii="宋体" w:hAnsi="宋体" w:eastAsia="方正仿宋简体" w:cs="方正仿宋简体"/>
          <w:color w:val="auto"/>
          <w:sz w:val="32"/>
          <w:szCs w:val="32"/>
          <w:highlight w:val="none"/>
          <w:u w:val="none"/>
        </w:rPr>
        <w:t>、伊车嘎善锡伯族乡等粮食主产区</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重点抓好田块整治、灌溉与排水、田间道路和电力设施配套等基础建设。大力推进滴灌、渠道防渗、水肥一体化等高效节水灌溉工程建设，完善灌区骨干渠系与田间末级渠系衔接工程。强化高标准农田全流程监管，聚焦田、土、水、路、林、电综合配套，严把设计、施工、监理、验收关口，完善建后管护长效机制，推动项目建设、管理、管护、使用一体化，确保项目建成一亩、见效一亩，持续发挥高</w:t>
      </w:r>
      <w:r>
        <w:rPr>
          <w:rFonts w:hint="eastAsia" w:ascii="宋体" w:hAnsi="宋体" w:eastAsia="方正仿宋简体" w:cs="方正仿宋简体"/>
          <w:color w:val="auto"/>
          <w:w w:val="95"/>
          <w:sz w:val="32"/>
          <w:szCs w:val="32"/>
          <w:highlight w:val="none"/>
          <w:u w:val="none"/>
          <w:lang w:val="en-US" w:eastAsia="zh-CN"/>
        </w:rPr>
        <w:t>标准农田在保障粮食安全、提升农业综合生产能力中的核心作用。</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完善农田水利设施</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优化水资源配置，推进农业节水改造，实施滴灌、喷灌等节水灌溉工程，“十五五”期间</w:t>
      </w:r>
      <w:r>
        <w:rPr>
          <w:rFonts w:hint="eastAsia" w:ascii="宋体" w:hAnsi="宋体" w:eastAsia="方正仿宋简体" w:cs="方正仿宋简体"/>
          <w:color w:val="auto"/>
          <w:sz w:val="32"/>
          <w:szCs w:val="32"/>
          <w:highlight w:val="none"/>
          <w:u w:val="none"/>
          <w:lang w:eastAsia="zh-CN"/>
        </w:rPr>
        <w:t>农田灌溉水有效利用系数</w:t>
      </w:r>
      <w:r>
        <w:rPr>
          <w:rFonts w:hint="eastAsia" w:ascii="宋体" w:hAnsi="宋体" w:eastAsia="方正仿宋简体" w:cs="方正仿宋简体"/>
          <w:color w:val="auto"/>
          <w:sz w:val="32"/>
          <w:szCs w:val="32"/>
          <w:highlight w:val="none"/>
          <w:u w:val="none"/>
        </w:rPr>
        <w:t>达到</w:t>
      </w:r>
      <w:r>
        <w:rPr>
          <w:rFonts w:hint="eastAsia" w:ascii="宋体" w:hAnsi="宋体" w:eastAsia="方正仿宋简体" w:cs="方正仿宋简体"/>
          <w:color w:val="auto"/>
          <w:sz w:val="32"/>
          <w:szCs w:val="32"/>
          <w:highlight w:val="none"/>
          <w:u w:val="none"/>
          <w:lang w:val="en-US" w:eastAsia="zh-CN"/>
        </w:rPr>
        <w:t>0.64</w:t>
      </w:r>
      <w:r>
        <w:rPr>
          <w:rFonts w:hint="eastAsia" w:ascii="宋体" w:hAnsi="宋体" w:eastAsia="方正仿宋简体" w:cs="方正仿宋简体"/>
          <w:color w:val="auto"/>
          <w:sz w:val="32"/>
          <w:szCs w:val="32"/>
          <w:highlight w:val="none"/>
          <w:u w:val="none"/>
        </w:rPr>
        <w:t>。</w:t>
      </w:r>
      <w:r>
        <w:rPr>
          <w:rFonts w:hint="eastAsia" w:ascii="宋体" w:hAnsi="宋体" w:eastAsia="方正仿宋简体" w:cs="Times New Roman"/>
          <w:color w:val="auto"/>
          <w:sz w:val="32"/>
          <w:szCs w:val="32"/>
          <w:highlight w:val="none"/>
          <w:u w:val="none"/>
          <w:lang w:val="en-US" w:eastAsia="zh-CN"/>
        </w:rPr>
        <w:t>推进切德克苏引调水项目，</w:t>
      </w:r>
      <w:bookmarkStart w:id="101" w:name="OLE_LINK2"/>
      <w:r>
        <w:rPr>
          <w:rFonts w:hint="eastAsia" w:ascii="宋体" w:hAnsi="宋体" w:eastAsia="方正仿宋简体" w:cs="Times New Roman"/>
          <w:color w:val="auto"/>
          <w:sz w:val="32"/>
          <w:szCs w:val="32"/>
          <w:highlight w:val="none"/>
          <w:u w:val="none"/>
          <w:lang w:val="en-US" w:eastAsia="zh-CN"/>
        </w:rPr>
        <w:t>建设开根沟水库</w:t>
      </w:r>
      <w:bookmarkEnd w:id="101"/>
      <w:r>
        <w:rPr>
          <w:rFonts w:hint="eastAsia" w:ascii="宋体" w:hAnsi="宋体" w:eastAsia="方正仿宋简体" w:cs="Times New Roman"/>
          <w:color w:val="auto"/>
          <w:sz w:val="32"/>
          <w:szCs w:val="32"/>
          <w:highlight w:val="none"/>
          <w:u w:val="none"/>
          <w:lang w:val="en-US" w:eastAsia="zh-CN"/>
        </w:rPr>
        <w:t>、库鲁斯台水库等重大水资源调配工程，解决区域用水矛盾‌。开展霍开中型灌区续建配套与节水改造，提升灌溉保证率至90%以上，切实</w:t>
      </w:r>
      <w:r>
        <w:rPr>
          <w:rFonts w:hint="eastAsia" w:ascii="宋体" w:hAnsi="宋体" w:eastAsia="方正仿宋简体" w:cs="方正仿宋简体"/>
          <w:color w:val="auto"/>
          <w:sz w:val="32"/>
          <w:szCs w:val="32"/>
          <w:highlight w:val="none"/>
          <w:u w:val="none"/>
        </w:rPr>
        <w:t>减少水资源浪费，保障粮食生产用水需求。</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lang w:eastAsia="zh-CN"/>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三</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提升农业机械化水平</w:t>
      </w:r>
      <w:r>
        <w:rPr>
          <w:rFonts w:hint="eastAsia" w:ascii="宋体" w:hAnsi="宋体" w:eastAsia="方正楷体简体" w:cs="方正楷体简体"/>
          <w:b/>
          <w:bCs/>
          <w:color w:val="auto"/>
          <w:sz w:val="32"/>
          <w:szCs w:val="32"/>
          <w:highlight w:val="none"/>
          <w:u w:val="none"/>
          <w:lang w:eastAsia="zh-CN"/>
        </w:rPr>
        <w:t>。</w:t>
      </w:r>
      <w:bookmarkStart w:id="102" w:name="OLE_LINK14"/>
      <w:r>
        <w:rPr>
          <w:rFonts w:hint="eastAsia" w:ascii="宋体" w:hAnsi="宋体" w:eastAsia="方正仿宋简体" w:cs="方正仿宋简体"/>
          <w:color w:val="auto"/>
          <w:sz w:val="32"/>
          <w:szCs w:val="32"/>
          <w:highlight w:val="none"/>
          <w:u w:val="none"/>
          <w:lang w:val="en-US" w:eastAsia="zh-CN"/>
        </w:rPr>
        <w:t>推广高性能耕整地机械、播种机械，持续提高耕、整地、播种作业质量。</w:t>
      </w:r>
      <w:bookmarkEnd w:id="102"/>
      <w:r>
        <w:rPr>
          <w:rFonts w:hint="eastAsia" w:ascii="宋体" w:hAnsi="宋体" w:eastAsia="方正仿宋简体" w:cs="方正仿宋简体"/>
          <w:color w:val="auto"/>
          <w:sz w:val="32"/>
          <w:szCs w:val="32"/>
          <w:highlight w:val="none"/>
          <w:u w:val="none"/>
          <w:lang w:val="en-US" w:eastAsia="zh-CN"/>
        </w:rPr>
        <w:t>大力推广发展畜牧、特色林果、设施农业及特色种植等先进适用农业装备。进一步加强玉米密植精准调控技术农机装备支撑，推动机、艺、种、田匹配适应，推广农机智慧化、绿色化模式。</w:t>
      </w:r>
      <w:r>
        <w:rPr>
          <w:rFonts w:hint="eastAsia" w:ascii="宋体" w:hAnsi="宋体" w:eastAsia="方正仿宋简体" w:cs="方正仿宋简体"/>
          <w:color w:val="auto"/>
          <w:sz w:val="32"/>
          <w:szCs w:val="32"/>
          <w:highlight w:val="none"/>
          <w:u w:val="none"/>
        </w:rPr>
        <w:t>完善农业机械配套设施，提升农机作业效率和服务能力。2030年主要农作物耕种收综合机械化率达到99.</w:t>
      </w:r>
      <w:r>
        <w:rPr>
          <w:rFonts w:hint="eastAsia" w:ascii="宋体" w:hAnsi="宋体" w:eastAsia="方正仿宋简体" w:cs="方正仿宋简体"/>
          <w:color w:val="auto"/>
          <w:sz w:val="32"/>
          <w:szCs w:val="32"/>
          <w:highlight w:val="none"/>
          <w:u w:val="none"/>
          <w:lang w:val="en-US" w:eastAsia="zh-CN"/>
        </w:rPr>
        <w:t>9</w:t>
      </w:r>
      <w:r>
        <w:rPr>
          <w:rFonts w:hint="eastAsia" w:ascii="宋体" w:hAnsi="宋体" w:eastAsia="方正仿宋简体" w:cs="方正仿宋简体"/>
          <w:color w:val="auto"/>
          <w:sz w:val="32"/>
          <w:szCs w:val="32"/>
          <w:highlight w:val="none"/>
          <w:u w:val="none"/>
        </w:rPr>
        <w:t>%以上</w:t>
      </w:r>
      <w:r>
        <w:rPr>
          <w:rFonts w:hint="eastAsia" w:ascii="宋体" w:hAnsi="宋体" w:eastAsia="方正仿宋简体" w:cs="方正仿宋简体"/>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val="0"/>
          <w:color w:val="auto"/>
          <w:sz w:val="32"/>
          <w:szCs w:val="32"/>
          <w:highlight w:val="none"/>
          <w:u w:val="none"/>
        </w:rPr>
      </w:pPr>
      <w:bookmarkStart w:id="103" w:name="heading_45"/>
      <w:bookmarkStart w:id="104" w:name="_Toc11524_WPSOffice_Level2"/>
      <w:r>
        <w:rPr>
          <w:rFonts w:hint="eastAsia" w:ascii="宋体" w:hAnsi="宋体" w:eastAsia="黑体" w:cs="黑体"/>
          <w:b w:val="0"/>
          <w:bCs w:val="0"/>
          <w:color w:val="auto"/>
          <w:sz w:val="32"/>
          <w:szCs w:val="32"/>
          <w:highlight w:val="none"/>
          <w:u w:val="none"/>
          <w:lang w:val="en-US" w:eastAsia="zh-CN"/>
        </w:rPr>
        <w:t xml:space="preserve">第三节 </w:t>
      </w:r>
      <w:r>
        <w:rPr>
          <w:rFonts w:hint="eastAsia" w:ascii="宋体" w:hAnsi="宋体" w:eastAsia="黑体" w:cs="黑体"/>
          <w:b w:val="0"/>
          <w:bCs w:val="0"/>
          <w:color w:val="auto"/>
          <w:sz w:val="32"/>
          <w:szCs w:val="32"/>
          <w:highlight w:val="none"/>
          <w:u w:val="none"/>
        </w:rPr>
        <w:t>强化种业振兴与农技推广，提升粮食生产科技水平</w:t>
      </w:r>
      <w:bookmarkEnd w:id="103"/>
      <w:bookmarkEnd w:id="104"/>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105" w:name="OLE_LINK4"/>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实施种业振兴行动</w:t>
      </w:r>
      <w:bookmarkStart w:id="106" w:name="OLE_LINK5"/>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积极引进推广高产稳产、抗逆性强、品质优良、适配本地水土条件的小麦、玉米等粮食作物优良新品种，有序开展品种对比试验、样板示范与规模化推广工作。从严加强种子生产经营全链条质量监管，常态化开展</w:t>
      </w:r>
      <w:r>
        <w:rPr>
          <w:rFonts w:hint="eastAsia" w:ascii="宋体" w:hAnsi="宋体" w:eastAsia="方正仿宋简体" w:cs="方正仿宋简体"/>
          <w:color w:val="auto"/>
          <w:sz w:val="32"/>
          <w:szCs w:val="32"/>
          <w:highlight w:val="none"/>
          <w:u w:val="none"/>
          <w:lang w:eastAsia="zh-CN"/>
        </w:rPr>
        <w:t>农资市场执法</w:t>
      </w:r>
      <w:r>
        <w:rPr>
          <w:rFonts w:hint="eastAsia" w:ascii="宋体" w:hAnsi="宋体" w:eastAsia="方正仿宋简体" w:cs="方正仿宋简体"/>
          <w:color w:val="auto"/>
          <w:sz w:val="32"/>
          <w:szCs w:val="32"/>
          <w:highlight w:val="none"/>
          <w:u w:val="none"/>
        </w:rPr>
        <w:t>检查，切实防范种业风险，保障辖区种子质量安全，夯实粮食生产良种根基。</w:t>
      </w:r>
    </w:p>
    <w:bookmarkEnd w:id="105"/>
    <w:bookmarkEnd w:id="106"/>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推广先进农业技术</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推广玉米宽窄行种植、小麦套种玉米、地膜覆盖等高效种植模式，提升粮食单产水平，2030年小麦、玉米高产示范田面积达到3万亩，小麦</w:t>
      </w:r>
      <w:r>
        <w:rPr>
          <w:rFonts w:hint="eastAsia" w:ascii="宋体" w:hAnsi="宋体" w:eastAsia="方正仿宋简体" w:cs="方正仿宋简体"/>
          <w:color w:val="auto"/>
          <w:sz w:val="32"/>
          <w:szCs w:val="32"/>
          <w:highlight w:val="none"/>
          <w:u w:val="none"/>
          <w:lang w:eastAsia="zh-CN"/>
        </w:rPr>
        <w:t>平均</w:t>
      </w:r>
      <w:r>
        <w:rPr>
          <w:rFonts w:hint="eastAsia" w:ascii="宋体" w:hAnsi="宋体" w:eastAsia="方正仿宋简体" w:cs="方正仿宋简体"/>
          <w:color w:val="auto"/>
          <w:sz w:val="32"/>
          <w:szCs w:val="32"/>
          <w:highlight w:val="none"/>
          <w:u w:val="none"/>
        </w:rPr>
        <w:t>单产达到500公斤以上，玉米</w:t>
      </w:r>
      <w:r>
        <w:rPr>
          <w:rFonts w:hint="eastAsia" w:ascii="宋体" w:hAnsi="宋体" w:eastAsia="方正仿宋简体" w:cs="方正仿宋简体"/>
          <w:color w:val="auto"/>
          <w:sz w:val="32"/>
          <w:szCs w:val="32"/>
          <w:highlight w:val="none"/>
          <w:u w:val="none"/>
          <w:lang w:eastAsia="zh-CN"/>
        </w:rPr>
        <w:t>平均</w:t>
      </w:r>
      <w:r>
        <w:rPr>
          <w:rFonts w:hint="eastAsia" w:ascii="宋体" w:hAnsi="宋体" w:eastAsia="方正仿宋简体" w:cs="方正仿宋简体"/>
          <w:color w:val="auto"/>
          <w:sz w:val="32"/>
          <w:szCs w:val="32"/>
          <w:highlight w:val="none"/>
          <w:u w:val="none"/>
        </w:rPr>
        <w:t>单产达到</w:t>
      </w:r>
      <w:r>
        <w:rPr>
          <w:rFonts w:hint="eastAsia" w:ascii="宋体" w:hAnsi="宋体" w:eastAsia="方正仿宋简体" w:cs="方正仿宋简体"/>
          <w:color w:val="auto"/>
          <w:sz w:val="32"/>
          <w:szCs w:val="32"/>
          <w:highlight w:val="none"/>
          <w:u w:val="none"/>
          <w:lang w:val="en-US" w:eastAsia="zh-CN"/>
        </w:rPr>
        <w:t>10</w:t>
      </w:r>
      <w:r>
        <w:rPr>
          <w:rFonts w:hint="eastAsia" w:ascii="宋体" w:hAnsi="宋体" w:eastAsia="方正仿宋简体" w:cs="方正仿宋简体"/>
          <w:color w:val="auto"/>
          <w:sz w:val="32"/>
          <w:szCs w:val="32"/>
          <w:highlight w:val="none"/>
          <w:u w:val="none"/>
        </w:rPr>
        <w:t>00公斤以上。加强农业技术指导，健全农业技术推广体系，派遣农业技术人员深入田间地头，开展技术培训和指导服务，提高农户种植技术水平。</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b/>
          <w:bCs/>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三</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完善农业农村大数据平台。</w:t>
      </w:r>
      <w:r>
        <w:rPr>
          <w:rFonts w:hint="eastAsia" w:ascii="宋体" w:hAnsi="宋体" w:eastAsia="方正仿宋简体" w:cs="方正仿宋简体"/>
          <w:color w:val="auto"/>
          <w:sz w:val="32"/>
          <w:szCs w:val="32"/>
          <w:highlight w:val="none"/>
          <w:u w:val="none"/>
          <w:lang w:val="en-US" w:eastAsia="zh-CN"/>
        </w:rPr>
        <w:t>持续推动良种良法良机良田与数字化有机融合，集成应用“四情”（即：苗情、墒情、病虫情和灾情）监测、精准水肥药施用、智能农机装备、无人机等技术，提升耕种管收精准作业水平。用好新疆畜牧兽医大数据平台功能，加快实施“人工智能+”行动，构建覆盖“育种扩繁－养殖生产－疫病防控－加工销售”的畜牧产业数智化体系。推行智能化精准饲喂与生产管理技术。</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val="en-US" w:eastAsia="zh-CN"/>
        </w:rPr>
        <w:t>（四）</w:t>
      </w:r>
      <w:r>
        <w:rPr>
          <w:rFonts w:hint="eastAsia" w:ascii="宋体" w:hAnsi="宋体" w:eastAsia="方正楷体简体" w:cs="方正楷体简体"/>
          <w:b/>
          <w:bCs/>
          <w:color w:val="auto"/>
          <w:sz w:val="32"/>
          <w:szCs w:val="32"/>
          <w:highlight w:val="none"/>
          <w:u w:val="none"/>
        </w:rPr>
        <w:t>强化农业科技服务</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深化与江苏省、科研院所合作，引进先进农业技术和经营管理经验，推动农业科技创新与产业发展深度融合。建设农业科技示范园，推广无土栽培、智能温室、水肥一体化等先进技术，发挥示范引领作用，提升农业科技应用水平。</w:t>
      </w:r>
      <w:r>
        <w:rPr>
          <w:rFonts w:hint="eastAsia" w:ascii="宋体" w:hAnsi="宋体" w:eastAsia="方正仿宋简体" w:cs="方正仿宋简体"/>
          <w:color w:val="auto"/>
          <w:sz w:val="32"/>
          <w:szCs w:val="32"/>
          <w:highlight w:val="none"/>
          <w:u w:val="none"/>
          <w:lang w:val="en-US" w:eastAsia="zh-CN"/>
        </w:rPr>
        <w:t>稳定和加强基层农技推广队伍，完善基层农技推广服务体系。</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val="0"/>
          <w:color w:val="auto"/>
          <w:sz w:val="32"/>
          <w:szCs w:val="32"/>
          <w:highlight w:val="none"/>
          <w:u w:val="none"/>
        </w:rPr>
      </w:pPr>
      <w:bookmarkStart w:id="107" w:name="heading_46"/>
      <w:bookmarkStart w:id="108" w:name="_Toc22007_WPSOffice_Level2"/>
      <w:r>
        <w:rPr>
          <w:rFonts w:hint="eastAsia" w:ascii="宋体" w:hAnsi="宋体" w:eastAsia="黑体" w:cs="黑体"/>
          <w:b w:val="0"/>
          <w:bCs w:val="0"/>
          <w:color w:val="auto"/>
          <w:sz w:val="32"/>
          <w:szCs w:val="32"/>
          <w:highlight w:val="none"/>
          <w:u w:val="none"/>
          <w:lang w:val="en-US" w:eastAsia="zh-CN"/>
        </w:rPr>
        <w:t xml:space="preserve">第四节 </w:t>
      </w:r>
      <w:r>
        <w:rPr>
          <w:rFonts w:hint="eastAsia" w:ascii="宋体" w:hAnsi="宋体" w:eastAsia="黑体" w:cs="黑体"/>
          <w:b w:val="0"/>
          <w:bCs w:val="0"/>
          <w:color w:val="auto"/>
          <w:sz w:val="32"/>
          <w:szCs w:val="32"/>
          <w:highlight w:val="none"/>
          <w:u w:val="none"/>
        </w:rPr>
        <w:t>强化农业防灾减灾，保障粮食生产稳定</w:t>
      </w:r>
      <w:bookmarkEnd w:id="107"/>
      <w:bookmarkEnd w:id="108"/>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完善防灾减灾体系</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建立健全农业防灾减灾预警机制，加强与气象、水利、应急等部门合作，及时发布气象灾害、病虫害等预警信息，提升防灾减灾应急响应能力。完善农田防洪排涝设施，推进河道疏浚、排水渠道建设，提升农田抗涝能力</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加强抗旱设施建设，保障干旱时期粮食生产用水。</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加强病虫害绿色防控</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建设农作物病虫害绿色防控体系，推广生物防治、物理防治、生态防治等绿色防控技术，减少化肥农药使用，提升病虫害防控效果。建立病虫害监测预警网络，加强病虫害监测预报，及时开展病虫害防治，2030年农作物病虫害绿色防控覆盖率达到</w:t>
      </w:r>
      <w:r>
        <w:rPr>
          <w:rFonts w:hint="eastAsia" w:ascii="宋体" w:hAnsi="宋体" w:eastAsia="方正仿宋简体" w:cs="方正仿宋简体"/>
          <w:color w:val="auto"/>
          <w:sz w:val="32"/>
          <w:szCs w:val="32"/>
          <w:highlight w:val="none"/>
          <w:u w:val="none"/>
          <w:lang w:val="en-US" w:eastAsia="zh-CN"/>
        </w:rPr>
        <w:t>60</w:t>
      </w:r>
      <w:r>
        <w:rPr>
          <w:rFonts w:hint="eastAsia" w:ascii="宋体" w:hAnsi="宋体" w:eastAsia="方正仿宋简体" w:cs="方正仿宋简体"/>
          <w:color w:val="auto"/>
          <w:sz w:val="32"/>
          <w:szCs w:val="32"/>
          <w:highlight w:val="none"/>
          <w:u w:val="none"/>
        </w:rPr>
        <w:t>%以上，确保粮食生产不受重大病虫害影响。</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三</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提升应急处置能力</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制定农业防灾减灾应急预案，加强应急物资储备，储备种子、农药、化肥、农业机械等应急物资，建立应急物资储备库，确保灾害发生时能够及时调配使用。加强防灾减灾技术培训，</w:t>
      </w:r>
      <w:r>
        <w:rPr>
          <w:rFonts w:hint="eastAsia" w:ascii="宋体" w:hAnsi="宋体" w:eastAsia="方正仿宋简体" w:cs="方正仿宋简体"/>
          <w:color w:val="auto"/>
          <w:sz w:val="32"/>
          <w:szCs w:val="32"/>
          <w:highlight w:val="none"/>
          <w:u w:val="none"/>
          <w:lang w:eastAsia="zh-CN"/>
        </w:rPr>
        <w:t>增强</w:t>
      </w:r>
      <w:r>
        <w:rPr>
          <w:rFonts w:hint="eastAsia" w:ascii="宋体" w:hAnsi="宋体" w:eastAsia="方正仿宋简体" w:cs="方正仿宋简体"/>
          <w:color w:val="auto"/>
          <w:sz w:val="32"/>
          <w:szCs w:val="32"/>
          <w:highlight w:val="none"/>
          <w:u w:val="none"/>
        </w:rPr>
        <w:t>农户防灾减灾意识和应急处置能力，减少灾害造成的损失。</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bookmarkStart w:id="109" w:name="heading_47"/>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bookmarkStart w:id="110" w:name="_Toc18451_WPSOffice_Level1"/>
      <w:r>
        <w:rPr>
          <w:rFonts w:hint="eastAsia" w:ascii="宋体" w:hAnsi="宋体" w:eastAsia="黑体" w:cs="黑体"/>
          <w:b w:val="0"/>
          <w:bCs/>
          <w:color w:val="auto"/>
          <w:sz w:val="32"/>
          <w:szCs w:val="32"/>
          <w:highlight w:val="none"/>
          <w:u w:val="none"/>
          <w:lang w:val="en-US" w:eastAsia="zh-CN"/>
        </w:rPr>
        <w:t xml:space="preserve">第四章 </w:t>
      </w:r>
      <w:r>
        <w:rPr>
          <w:rFonts w:hint="eastAsia" w:ascii="宋体" w:hAnsi="宋体" w:eastAsia="黑体" w:cs="黑体"/>
          <w:b w:val="0"/>
          <w:bCs/>
          <w:color w:val="auto"/>
          <w:sz w:val="32"/>
          <w:szCs w:val="32"/>
          <w:highlight w:val="none"/>
          <w:u w:val="none"/>
        </w:rPr>
        <w:t>做强特色优势产业，构建现代农业产业体系</w:t>
      </w:r>
      <w:bookmarkEnd w:id="109"/>
      <w:bookmarkEnd w:id="110"/>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立足霍尔果斯资源禀赋，聚焦家禽、特色果蔬、花卉苗木等优势产业，推动产业规模化、标准化、品牌化发展，延伸产业链、完善供应链、提升价值链，构建“一主多辅、多元融合”的现代农业产业体系，带动农户（含脱贫户</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监测对象</w:t>
      </w:r>
      <w:r>
        <w:rPr>
          <w:rFonts w:hint="eastAsia" w:ascii="宋体" w:hAnsi="宋体" w:eastAsia="方正仿宋简体" w:cs="方正仿宋简体"/>
          <w:color w:val="auto"/>
          <w:sz w:val="32"/>
          <w:szCs w:val="32"/>
          <w:highlight w:val="none"/>
          <w:u w:val="none"/>
        </w:rPr>
        <w:t>）稳定增收。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bookmarkStart w:id="111" w:name="heading_48"/>
      <w:bookmarkStart w:id="112" w:name="_Toc18906_WPSOffice_Level2"/>
      <w:r>
        <w:rPr>
          <w:rFonts w:hint="eastAsia" w:ascii="宋体" w:hAnsi="宋体" w:eastAsia="黑体" w:cs="黑体"/>
          <w:b w:val="0"/>
          <w:bCs/>
          <w:color w:val="auto"/>
          <w:sz w:val="32"/>
          <w:szCs w:val="32"/>
          <w:highlight w:val="none"/>
          <w:u w:val="none"/>
          <w:lang w:val="en-US" w:eastAsia="zh-CN"/>
        </w:rPr>
        <w:t xml:space="preserve">第一节 </w:t>
      </w:r>
      <w:r>
        <w:rPr>
          <w:rFonts w:hint="eastAsia" w:ascii="宋体" w:hAnsi="宋体" w:eastAsia="黑体" w:cs="黑体"/>
          <w:b w:val="0"/>
          <w:bCs/>
          <w:color w:val="auto"/>
          <w:sz w:val="32"/>
          <w:szCs w:val="32"/>
          <w:highlight w:val="none"/>
          <w:u w:val="none"/>
        </w:rPr>
        <w:t>优势种植业：提质扩量，打造精品产业</w:t>
      </w:r>
      <w:bookmarkEnd w:id="111"/>
      <w:bookmarkEnd w:id="112"/>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楷体简体" w:cs="方正楷体简体"/>
          <w:b/>
          <w:bCs/>
          <w:color w:val="auto"/>
          <w:sz w:val="32"/>
          <w:szCs w:val="32"/>
          <w:highlight w:val="none"/>
          <w:u w:val="none"/>
        </w:rPr>
      </w:pPr>
      <w:bookmarkStart w:id="113" w:name="heading_49"/>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特色果蔬产业</w:t>
      </w:r>
      <w:bookmarkEnd w:id="113"/>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发展特色果蔬产业。</w:t>
      </w:r>
      <w:r>
        <w:rPr>
          <w:rFonts w:hint="eastAsia" w:ascii="宋体" w:hAnsi="宋体" w:eastAsia="方正仿宋简体" w:cs="方正仿宋简体"/>
          <w:color w:val="auto"/>
          <w:sz w:val="32"/>
          <w:szCs w:val="32"/>
          <w:highlight w:val="none"/>
          <w:u w:val="none"/>
        </w:rPr>
        <w:t>扩大特色果蔬种植规模，优化种植结构，重点发展番茄、蟠桃、西梅、樱桃、葡萄</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苹果</w:t>
      </w:r>
      <w:r>
        <w:rPr>
          <w:rFonts w:hint="eastAsia" w:ascii="宋体" w:hAnsi="宋体" w:eastAsia="方正仿宋简体" w:cs="方正仿宋简体"/>
          <w:color w:val="auto"/>
          <w:sz w:val="32"/>
          <w:szCs w:val="32"/>
          <w:highlight w:val="none"/>
          <w:u w:val="none"/>
        </w:rPr>
        <w:t>等特色果蔬，“十五五”期间</w:t>
      </w:r>
      <w:r>
        <w:rPr>
          <w:rFonts w:hint="eastAsia" w:ascii="宋体" w:hAnsi="宋体" w:eastAsia="方正仿宋简体" w:cs="方正仿宋简体"/>
          <w:color w:val="auto"/>
          <w:sz w:val="32"/>
          <w:szCs w:val="32"/>
          <w:highlight w:val="none"/>
          <w:u w:val="none"/>
          <w:lang w:val="en-US" w:eastAsia="zh-CN"/>
        </w:rPr>
        <w:t>谋划建设现代设施农业产业园项目、国基汇能霍尔果斯现代农业产业园清洁能源综合利用项目，果蔬种植面积达到4</w:t>
      </w:r>
      <w:r>
        <w:rPr>
          <w:rFonts w:hint="eastAsia" w:ascii="宋体" w:hAnsi="宋体" w:eastAsia="方正仿宋简体" w:cs="方正仿宋简体"/>
          <w:color w:val="auto"/>
          <w:sz w:val="32"/>
          <w:szCs w:val="32"/>
          <w:highlight w:val="none"/>
          <w:u w:val="none"/>
        </w:rPr>
        <w:t>万亩。推进果蔬标准化生产，制定完善果蔬种植技术规程，推广绿色种植技术，加强农产品质量安全监管，建立农产品质量追溯体系，确保果蔬产品质量安全。</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培育特色品牌体系。</w:t>
      </w:r>
      <w:r>
        <w:rPr>
          <w:rFonts w:hint="eastAsia" w:ascii="宋体" w:hAnsi="宋体" w:eastAsia="方正仿宋简体" w:cs="方正仿宋简体"/>
          <w:color w:val="auto"/>
          <w:sz w:val="32"/>
          <w:szCs w:val="32"/>
          <w:highlight w:val="none"/>
          <w:u w:val="none"/>
        </w:rPr>
        <w:t>打造区域公用品牌和特色产品品牌，重点培育“霍尔果”“西域龙珠”等区域公用品牌，提升品牌知名度和影响力。依托现代农业科技产业园，发展反季节蔬菜和高端果蔬种植，新增设施农业面积 500亩，实现果蔬周年供应，提升产品附加值。</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楷体简体" w:cs="方正楷体简体"/>
          <w:b/>
          <w:bCs/>
          <w:color w:val="auto"/>
          <w:sz w:val="32"/>
          <w:szCs w:val="32"/>
          <w:highlight w:val="none"/>
          <w:u w:val="none"/>
        </w:rPr>
      </w:pPr>
      <w:bookmarkStart w:id="114" w:name="heading_50"/>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花卉苗木产业</w:t>
      </w:r>
      <w:bookmarkEnd w:id="114"/>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壮大花卉苗木产业。</w:t>
      </w:r>
      <w:r>
        <w:rPr>
          <w:rFonts w:hint="eastAsia" w:ascii="宋体" w:hAnsi="宋体" w:eastAsia="方正仿宋简体" w:cs="方正仿宋简体"/>
          <w:color w:val="auto"/>
          <w:sz w:val="32"/>
          <w:szCs w:val="32"/>
          <w:highlight w:val="none"/>
          <w:u w:val="none"/>
        </w:rPr>
        <w:t>重点发展鲜切花、观赏苗木、宿根花卉等，</w:t>
      </w:r>
      <w:r>
        <w:rPr>
          <w:rFonts w:hint="eastAsia" w:ascii="宋体" w:hAnsi="宋体" w:eastAsia="方正仿宋简体" w:cs="方正仿宋简体"/>
          <w:color w:val="auto"/>
          <w:sz w:val="32"/>
          <w:szCs w:val="32"/>
          <w:highlight w:val="none"/>
          <w:u w:val="none"/>
          <w:lang w:val="en-US" w:eastAsia="zh-CN"/>
        </w:rPr>
        <w:t>提升打造</w:t>
      </w:r>
      <w:r>
        <w:rPr>
          <w:rFonts w:hint="eastAsia" w:ascii="宋体" w:hAnsi="宋体" w:eastAsia="方正仿宋简体" w:cs="方正仿宋简体"/>
          <w:color w:val="auto"/>
          <w:sz w:val="32"/>
          <w:szCs w:val="32"/>
          <w:highlight w:val="none"/>
          <w:u w:val="none"/>
        </w:rPr>
        <w:t>伊车嘎善锡伯族乡清泉花卉苗木基地，建设标准化花卉繁育温室和苗木培育基地。优先吸纳脱贫户、监测户参与花卉苗木种植、管护等工作，拓宽增收渠道。培育花卉苗木优良品种，引进推广玫瑰等鲜切花品种和白蜡、紫叶李、丁香等观赏苗木品种，提升花卉苗木品质和产量。</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延伸花卉苗木产业链条。</w:t>
      </w:r>
      <w:r>
        <w:rPr>
          <w:rFonts w:hint="eastAsia" w:ascii="宋体" w:hAnsi="宋体" w:eastAsia="方正仿宋简体" w:cs="方正仿宋简体"/>
          <w:color w:val="auto"/>
          <w:sz w:val="32"/>
          <w:szCs w:val="32"/>
          <w:highlight w:val="none"/>
          <w:u w:val="none"/>
        </w:rPr>
        <w:t>拓展花卉苗木销售渠道，依托霍尔果斯口岸优势，推动花卉苗木出口中亚，2030年</w:t>
      </w:r>
      <w:r>
        <w:rPr>
          <w:rFonts w:hint="eastAsia" w:ascii="宋体" w:hAnsi="宋体" w:eastAsia="方正仿宋简体" w:cs="方正仿宋简体"/>
          <w:color w:val="auto"/>
          <w:sz w:val="32"/>
          <w:szCs w:val="32"/>
          <w:highlight w:val="none"/>
          <w:u w:val="none"/>
          <w:lang w:eastAsia="zh-CN"/>
        </w:rPr>
        <w:t>实现花卉</w:t>
      </w:r>
      <w:r>
        <w:rPr>
          <w:rFonts w:hint="eastAsia" w:ascii="宋体" w:hAnsi="宋体" w:eastAsia="方正仿宋简体" w:cs="方正仿宋简体"/>
          <w:color w:val="auto"/>
          <w:sz w:val="32"/>
          <w:szCs w:val="32"/>
          <w:highlight w:val="none"/>
          <w:u w:val="none"/>
          <w:lang w:val="en-US" w:eastAsia="zh-CN"/>
        </w:rPr>
        <w:t>苗木出口量1600万株，</w:t>
      </w:r>
      <w:r>
        <w:rPr>
          <w:rFonts w:hint="eastAsia" w:ascii="宋体" w:hAnsi="宋体" w:eastAsia="方正仿宋简体" w:cs="方正仿宋简体"/>
          <w:color w:val="auto"/>
          <w:sz w:val="32"/>
          <w:szCs w:val="32"/>
          <w:highlight w:val="none"/>
          <w:u w:val="none"/>
        </w:rPr>
        <w:t>打造面向中亚的花卉苗木繁育出口基地。推动花卉苗木与乡村旅游融合发展，打造花卉观光园、苗木采摘园等业态，丰富乡村旅游内容。</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（三）魔芋产业。</w:t>
      </w:r>
      <w:r>
        <w:rPr>
          <w:rFonts w:hint="eastAsia" w:ascii="宋体" w:hAnsi="宋体" w:eastAsia="方正仿宋简体" w:cs="Times New Roman"/>
          <w:color w:val="auto"/>
          <w:sz w:val="32"/>
          <w:szCs w:val="32"/>
          <w:highlight w:val="none"/>
          <w:u w:val="none"/>
          <w:lang w:val="en-US" w:eastAsia="zh-CN"/>
        </w:rPr>
        <w:t>稳步扩大魔芋种植规模，强化种植技术指导与田间管理，推动魔芋种植规模达到2000亩以上，保障加工及外销原料稳定供应。紧盯魔芋食品、保健品、精粉生产等产品加工产业精准招商，完善加工配套体系，提升魔芋产品附加值与本地加工转化能力。深挖中亚等境外市场需求，搭建魔芋产品跨境出口渠道，实现魔芋产业“种植+加工+内销+出口”一体化发展，培育农业产业新的经济增长点。</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bookmarkStart w:id="115" w:name="heading_51"/>
      <w:bookmarkStart w:id="116" w:name="_Toc32044_WPSOffice_Level2"/>
      <w:r>
        <w:rPr>
          <w:rFonts w:hint="eastAsia" w:ascii="宋体" w:hAnsi="宋体" w:eastAsia="黑体" w:cs="黑体"/>
          <w:b w:val="0"/>
          <w:bCs/>
          <w:color w:val="auto"/>
          <w:sz w:val="32"/>
          <w:szCs w:val="32"/>
          <w:highlight w:val="none"/>
          <w:u w:val="none"/>
          <w:lang w:val="en-US" w:eastAsia="zh-CN"/>
        </w:rPr>
        <w:t xml:space="preserve">第二节 </w:t>
      </w:r>
      <w:r>
        <w:rPr>
          <w:rFonts w:hint="eastAsia" w:ascii="宋体" w:hAnsi="宋体" w:eastAsia="黑体" w:cs="黑体"/>
          <w:b w:val="0"/>
          <w:bCs/>
          <w:color w:val="auto"/>
          <w:sz w:val="32"/>
          <w:szCs w:val="32"/>
          <w:highlight w:val="none"/>
          <w:u w:val="none"/>
        </w:rPr>
        <w:t>精品畜牧业：全链发展，做强龙头产业</w:t>
      </w:r>
      <w:bookmarkEnd w:id="115"/>
      <w:bookmarkEnd w:id="116"/>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楷体简体" w:cs="方正楷体简体"/>
          <w:b/>
          <w:bCs/>
          <w:color w:val="auto"/>
          <w:sz w:val="32"/>
          <w:szCs w:val="32"/>
          <w:highlight w:val="none"/>
          <w:u w:val="none"/>
        </w:rPr>
      </w:pPr>
      <w:bookmarkStart w:id="117" w:name="heading_52"/>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家禽产业</w:t>
      </w:r>
      <w:bookmarkEnd w:id="117"/>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做强家禽基础产业链。</w:t>
      </w:r>
      <w:r>
        <w:rPr>
          <w:rFonts w:hint="eastAsia" w:ascii="宋体" w:hAnsi="宋体" w:eastAsia="方正仿宋简体" w:cs="方正仿宋简体"/>
          <w:color w:val="auto"/>
          <w:sz w:val="32"/>
          <w:szCs w:val="32"/>
          <w:highlight w:val="none"/>
          <w:u w:val="none"/>
        </w:rPr>
        <w:t>深化“链主企业+骨干企业+养殖场（户）”的产业发展模式，支持</w:t>
      </w:r>
      <w:r>
        <w:rPr>
          <w:rFonts w:hint="eastAsia" w:ascii="宋体" w:hAnsi="宋体" w:eastAsia="方正仿宋简体" w:cs="方正仿宋简体"/>
          <w:color w:val="auto"/>
          <w:sz w:val="32"/>
          <w:szCs w:val="32"/>
          <w:highlight w:val="none"/>
          <w:u w:val="none"/>
          <w:lang w:val="en-US" w:eastAsia="zh-CN"/>
        </w:rPr>
        <w:t>智成农业</w:t>
      </w:r>
      <w:r>
        <w:rPr>
          <w:rFonts w:hint="eastAsia" w:ascii="宋体" w:hAnsi="宋体" w:eastAsia="方正仿宋简体" w:cs="方正仿宋简体"/>
          <w:color w:val="auto"/>
          <w:sz w:val="32"/>
          <w:szCs w:val="32"/>
          <w:highlight w:val="none"/>
          <w:u w:val="none"/>
        </w:rPr>
        <w:t>、新帅食品等龙头企业扩能升级，建设标准化家禽养殖基地、屠宰加工基地、冷链物流基地和饲料生产基地，完善家禽全产业链布局。2030年家禽年</w:t>
      </w:r>
      <w:r>
        <w:rPr>
          <w:rFonts w:hint="eastAsia" w:ascii="宋体" w:hAnsi="宋体" w:eastAsia="方正仿宋简体" w:cs="方正仿宋简体"/>
          <w:color w:val="auto"/>
          <w:sz w:val="32"/>
          <w:szCs w:val="32"/>
          <w:highlight w:val="none"/>
          <w:u w:val="none"/>
          <w:lang w:val="en-US" w:eastAsia="zh-CN"/>
        </w:rPr>
        <w:t>出栏达到3000万羽，</w:t>
      </w:r>
      <w:r>
        <w:rPr>
          <w:rFonts w:hint="eastAsia" w:ascii="宋体" w:hAnsi="宋体" w:eastAsia="方正仿宋简体" w:cs="方正仿宋简体"/>
          <w:color w:val="auto"/>
          <w:sz w:val="32"/>
          <w:szCs w:val="32"/>
          <w:highlight w:val="none"/>
          <w:u w:val="none"/>
        </w:rPr>
        <w:t>家禽全产业链年产</w:t>
      </w:r>
      <w:r>
        <w:rPr>
          <w:rFonts w:hint="eastAsia" w:ascii="宋体" w:hAnsi="宋体" w:eastAsia="方正仿宋简体" w:cs="方正仿宋简体"/>
          <w:color w:val="auto"/>
          <w:sz w:val="32"/>
          <w:szCs w:val="32"/>
          <w:highlight w:val="none"/>
          <w:u w:val="none"/>
          <w:lang w:val="en-US" w:eastAsia="zh-CN"/>
        </w:rPr>
        <w:t>值突破20亿元</w:t>
      </w:r>
      <w:r>
        <w:rPr>
          <w:rFonts w:hint="eastAsia" w:ascii="宋体" w:hAnsi="宋体" w:eastAsia="方正仿宋简体" w:cs="方正仿宋简体"/>
          <w:color w:val="auto"/>
          <w:sz w:val="32"/>
          <w:szCs w:val="32"/>
          <w:highlight w:val="none"/>
          <w:u w:val="none"/>
        </w:rPr>
        <w:t>。鼓励龙头企业与脱贫户、监测户建立稳定利益联结，通过托管养殖、入股分红、务工就业等方式，带动低收入群体增收。</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拓展家禽配套产业。</w:t>
      </w:r>
      <w:r>
        <w:rPr>
          <w:rFonts w:hint="eastAsia" w:ascii="宋体" w:hAnsi="宋体" w:eastAsia="方正仿宋简体" w:cs="方正仿宋简体"/>
          <w:color w:val="auto"/>
          <w:sz w:val="32"/>
          <w:szCs w:val="32"/>
          <w:highlight w:val="none"/>
          <w:u w:val="none"/>
        </w:rPr>
        <w:t>延伸家禽产业链，发展家禽精深加工，开发熟食、预制菜、禽蛋制品等产品，提升产品附加值。推广生态养殖模式，加强家禽疫病防控，健全疫病防控体系，确保家禽产品质量安全。培育家禽产品品牌，推动白羽鸡等特色产品出口中亚，提升品牌国际影响力。发展宠物饲料、有机肥等配套产业，实现家禽产业循环发展。</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bookmarkStart w:id="118" w:name="heading_53"/>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特色养殖产业</w:t>
      </w:r>
      <w:bookmarkEnd w:id="118"/>
      <w:r>
        <w:rPr>
          <w:rFonts w:hint="eastAsia" w:ascii="宋体" w:hAnsi="宋体" w:eastAsia="方正楷体简体" w:cs="方正楷体简体"/>
          <w:b/>
          <w:bCs/>
          <w:color w:val="auto"/>
          <w:sz w:val="32"/>
          <w:szCs w:val="32"/>
          <w:highlight w:val="none"/>
          <w:u w:val="none"/>
          <w:lang w:eastAsia="zh-CN"/>
        </w:rPr>
        <w:t>。</w:t>
      </w:r>
      <w:r>
        <w:rPr>
          <w:rFonts w:hint="default" w:ascii="宋体" w:hAnsi="宋体" w:eastAsia="方正仿宋简体" w:cs="Times New Roman"/>
          <w:color w:val="auto"/>
          <w:sz w:val="32"/>
          <w:szCs w:val="32"/>
          <w:highlight w:val="none"/>
          <w:u w:val="none"/>
          <w:lang w:val="en-US" w:eastAsia="zh-CN"/>
        </w:rPr>
        <w:t>依托自治区“牧九条”政策红利，加快推进人工授精服务、羊“牧繁农育”，肉牛出疆等政策主体的落实</w:t>
      </w:r>
      <w:r>
        <w:rPr>
          <w:rFonts w:hint="eastAsia" w:ascii="宋体" w:hAnsi="宋体" w:eastAsia="方正仿宋简体" w:cs="方正仿宋简体"/>
          <w:color w:val="auto"/>
          <w:sz w:val="32"/>
          <w:szCs w:val="32"/>
          <w:highlight w:val="none"/>
          <w:u w:val="none"/>
        </w:rPr>
        <w:t>，</w:t>
      </w:r>
      <w:r>
        <w:rPr>
          <w:rFonts w:hint="default" w:ascii="宋体" w:hAnsi="宋体" w:eastAsia="方正仿宋简体" w:cs="Times New Roman"/>
          <w:color w:val="auto"/>
          <w:sz w:val="32"/>
          <w:szCs w:val="32"/>
          <w:highlight w:val="none"/>
          <w:u w:val="none"/>
          <w:lang w:val="en-US" w:eastAsia="zh-CN"/>
        </w:rPr>
        <w:t>力争培育多胎羊养殖示范基地1家，牛羊规模化育肥基地各1家</w:t>
      </w:r>
      <w:r>
        <w:rPr>
          <w:rFonts w:hint="eastAsia" w:ascii="宋体" w:hAnsi="宋体" w:eastAsia="方正仿宋简体" w:cs="Times New Roman"/>
          <w:color w:val="auto"/>
          <w:sz w:val="32"/>
          <w:szCs w:val="32"/>
          <w:highlight w:val="none"/>
          <w:u w:val="none"/>
          <w:lang w:val="en-US" w:eastAsia="zh-CN"/>
        </w:rPr>
        <w:t>。</w:t>
      </w:r>
      <w:r>
        <w:rPr>
          <w:rFonts w:hint="eastAsia" w:ascii="宋体" w:hAnsi="宋体" w:eastAsia="方正仿宋简体" w:cs="方正仿宋简体"/>
          <w:color w:val="auto"/>
          <w:sz w:val="32"/>
          <w:szCs w:val="32"/>
          <w:highlight w:val="none"/>
          <w:u w:val="none"/>
        </w:rPr>
        <w:t>优先扶持发展小规模特色养殖，给予技术指导和资金支持，提升自主增收能力。推广生态养殖模式，实行草畜平衡，发展林下养殖、秸秆养殖等模式，提升畜禽产品品质。加强畜禽品种改良，引进优良品种，开展品种改良技术推广，提升畜禽生产性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黑体" w:cs="黑体"/>
          <w:b w:val="0"/>
          <w:bCs/>
          <w:color w:val="auto"/>
          <w:sz w:val="32"/>
          <w:szCs w:val="32"/>
          <w:highlight w:val="none"/>
          <w:u w:val="none"/>
        </w:rPr>
      </w:pPr>
      <w:bookmarkStart w:id="119" w:name="heading_54"/>
      <w:bookmarkStart w:id="120" w:name="_Toc25787_WPSOffice_Level2"/>
      <w:r>
        <w:rPr>
          <w:rFonts w:hint="eastAsia" w:ascii="宋体" w:hAnsi="宋体" w:eastAsia="黑体" w:cs="黑体"/>
          <w:b w:val="0"/>
          <w:bCs/>
          <w:color w:val="auto"/>
          <w:sz w:val="32"/>
          <w:szCs w:val="32"/>
          <w:highlight w:val="none"/>
          <w:u w:val="none"/>
          <w:lang w:val="en-US" w:eastAsia="zh-CN"/>
        </w:rPr>
        <w:t xml:space="preserve">第三节 </w:t>
      </w:r>
      <w:r>
        <w:rPr>
          <w:rFonts w:hint="eastAsia" w:ascii="宋体" w:hAnsi="宋体" w:eastAsia="黑体" w:cs="黑体"/>
          <w:b w:val="0"/>
          <w:bCs/>
          <w:color w:val="auto"/>
          <w:sz w:val="32"/>
          <w:szCs w:val="32"/>
          <w:highlight w:val="none"/>
          <w:u w:val="none"/>
        </w:rPr>
        <w:t>农产品加工业：精深升级，延伸产业链条</w:t>
      </w:r>
      <w:bookmarkEnd w:id="119"/>
      <w:bookmarkEnd w:id="120"/>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楷体简体" w:cs="方正楷体简体"/>
          <w:b/>
          <w:bCs/>
          <w:color w:val="auto"/>
          <w:sz w:val="32"/>
          <w:szCs w:val="32"/>
          <w:highlight w:val="none"/>
          <w:u w:val="none"/>
        </w:rPr>
      </w:pPr>
      <w:bookmarkStart w:id="121" w:name="heading_55"/>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果蔬加工业</w:t>
      </w:r>
      <w:bookmarkEnd w:id="121"/>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发展果蔬精深加工。</w:t>
      </w:r>
      <w:r>
        <w:rPr>
          <w:rFonts w:hint="eastAsia" w:ascii="宋体" w:hAnsi="宋体" w:eastAsia="方正仿宋简体" w:cs="方正仿宋简体"/>
          <w:color w:val="auto"/>
          <w:sz w:val="32"/>
          <w:szCs w:val="32"/>
          <w:highlight w:val="none"/>
          <w:u w:val="none"/>
        </w:rPr>
        <w:t>聚焦番茄、西梅、</w:t>
      </w:r>
      <w:r>
        <w:rPr>
          <w:rFonts w:hint="eastAsia" w:ascii="宋体" w:hAnsi="宋体" w:eastAsia="方正仿宋简体" w:cs="方正仿宋简体"/>
          <w:color w:val="auto"/>
          <w:sz w:val="32"/>
          <w:szCs w:val="32"/>
          <w:highlight w:val="none"/>
          <w:u w:val="none"/>
          <w:lang w:val="en-US" w:eastAsia="zh-CN"/>
        </w:rPr>
        <w:t>树上干杏、苹果</w:t>
      </w:r>
      <w:r>
        <w:rPr>
          <w:rFonts w:hint="eastAsia" w:ascii="宋体" w:hAnsi="宋体" w:eastAsia="方正仿宋简体" w:cs="方正仿宋简体"/>
          <w:color w:val="auto"/>
          <w:sz w:val="32"/>
          <w:szCs w:val="32"/>
          <w:highlight w:val="none"/>
          <w:u w:val="none"/>
        </w:rPr>
        <w:t>等特色果蔬，</w:t>
      </w:r>
      <w:r>
        <w:rPr>
          <w:rFonts w:hint="eastAsia" w:ascii="宋体" w:hAnsi="宋体" w:eastAsia="方正仿宋简体" w:cs="方正仿宋简体"/>
          <w:color w:val="auto"/>
          <w:sz w:val="32"/>
          <w:szCs w:val="32"/>
          <w:highlight w:val="none"/>
          <w:u w:val="none"/>
          <w:lang w:val="en-US" w:eastAsia="zh-CN"/>
        </w:rPr>
        <w:t>积极</w:t>
      </w:r>
      <w:r>
        <w:rPr>
          <w:rFonts w:hint="eastAsia" w:ascii="宋体" w:hAnsi="宋体" w:eastAsia="方正仿宋简体" w:cs="方正仿宋简体"/>
          <w:color w:val="auto"/>
          <w:sz w:val="32"/>
          <w:szCs w:val="32"/>
          <w:highlight w:val="none"/>
          <w:u w:val="none"/>
        </w:rPr>
        <w:t>引进果蔬深加工企业，建设番茄制品、果干、果汁、果酱、果酒等加工生产线。推广先进加工技术，提升加工工艺水平，开发高端、绿色、健康的果蔬加工产品，满足不同消费者需求。</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提升果蔬综合效益。</w:t>
      </w:r>
      <w:r>
        <w:rPr>
          <w:rFonts w:hint="eastAsia" w:ascii="宋体" w:hAnsi="宋体" w:eastAsia="方正仿宋简体" w:cs="方正仿宋简体"/>
          <w:color w:val="auto"/>
          <w:sz w:val="32"/>
          <w:szCs w:val="32"/>
          <w:highlight w:val="none"/>
          <w:u w:val="none"/>
          <w:lang w:eastAsia="zh-CN"/>
        </w:rPr>
        <w:t>强化</w:t>
      </w:r>
      <w:r>
        <w:rPr>
          <w:rFonts w:hint="eastAsia" w:ascii="宋体" w:hAnsi="宋体" w:eastAsia="方正仿宋简体" w:cs="方正仿宋简体"/>
          <w:color w:val="auto"/>
          <w:sz w:val="32"/>
          <w:szCs w:val="32"/>
          <w:highlight w:val="none"/>
          <w:u w:val="none"/>
        </w:rPr>
        <w:t>加工废弃物综合利用，推动果蔬皮、渣等废弃物加工成饲料、有机肥、食品添加剂等产品，实现资源循环利用，提升产业综合效益。完善果蔬加工配套设施，建设原料仓储、成品仓储、冷链物流等设施，保障加工原料供应和产品运输，降低加工成本。</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宋体" w:hAnsi="宋体" w:eastAsia="方正仿宋简体" w:cs="方正仿宋简体"/>
          <w:color w:val="auto"/>
          <w:sz w:val="32"/>
          <w:szCs w:val="32"/>
          <w:highlight w:val="none"/>
          <w:u w:val="none"/>
          <w:lang w:val="en-US" w:eastAsia="zh-CN"/>
        </w:rPr>
      </w:pPr>
      <w:bookmarkStart w:id="122" w:name="heading_56"/>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畜禽加工业</w:t>
      </w:r>
      <w:bookmarkEnd w:id="122"/>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依托智成、新帅食品等龙头企业，推动畜禽加工业向精深化、多元化转型，重点发展家禽熟食、牛羊肉冷鲜分割、预制菜等深加工产品，</w:t>
      </w:r>
      <w:bookmarkStart w:id="123" w:name="OLE_LINK3"/>
      <w:r>
        <w:rPr>
          <w:rFonts w:hint="eastAsia" w:ascii="宋体" w:hAnsi="宋体" w:eastAsia="方正仿宋简体" w:cs="方正仿宋简体"/>
          <w:color w:val="auto"/>
          <w:sz w:val="32"/>
          <w:szCs w:val="32"/>
          <w:highlight w:val="none"/>
          <w:u w:val="none"/>
          <w:lang w:val="en-US" w:eastAsia="zh-CN"/>
        </w:rPr>
        <w:t>“十五五”期间新增畜禽深加工生产线2条，扩建标准化屠宰加工车间2个，配套建设低温冷藏、冷链配送设施2座、库容达到7.28万立方米，提升畜禽产品加工能力。</w:t>
      </w:r>
      <w:bookmarkEnd w:id="123"/>
      <w:r>
        <w:rPr>
          <w:rFonts w:hint="eastAsia" w:ascii="宋体" w:hAnsi="宋体" w:eastAsia="方正仿宋简体" w:cs="方正仿宋简体"/>
          <w:color w:val="auto"/>
          <w:sz w:val="32"/>
          <w:szCs w:val="32"/>
          <w:highlight w:val="none"/>
          <w:u w:val="none"/>
          <w:lang w:val="en-US" w:eastAsia="zh-CN"/>
        </w:rPr>
        <w:t>2030年畜禽产品精深加工率达到70%以上，实现从“屠宰分割”向“精深加工”的跨越，大幅提升产品附加值。严格落实畜禽产品质量安全标准，健全从养殖到加工、销售的全链条质量追溯体系，确保畜禽产品安全可控。</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eastAsia="黑体" w:cs="黑体"/>
          <w:b w:val="0"/>
          <w:bCs/>
          <w:color w:val="auto"/>
          <w:sz w:val="32"/>
          <w:szCs w:val="32"/>
          <w:highlight w:val="none"/>
          <w:u w:val="none"/>
        </w:rPr>
      </w:pPr>
      <w:bookmarkStart w:id="124" w:name="_Toc24108_WPSOffice_Level2"/>
      <w:r>
        <w:rPr>
          <w:rFonts w:hint="eastAsia" w:ascii="宋体" w:hAnsi="宋体" w:eastAsia="黑体" w:cs="黑体"/>
          <w:b w:val="0"/>
          <w:bCs/>
          <w:color w:val="auto"/>
          <w:sz w:val="32"/>
          <w:szCs w:val="32"/>
          <w:highlight w:val="none"/>
          <w:u w:val="none"/>
          <w:lang w:val="en-US" w:eastAsia="zh-CN"/>
        </w:rPr>
        <w:t xml:space="preserve">第四节 </w:t>
      </w:r>
      <w:r>
        <w:rPr>
          <w:rFonts w:hint="eastAsia" w:ascii="宋体" w:hAnsi="宋体" w:eastAsia="黑体" w:cs="黑体"/>
          <w:b w:val="0"/>
          <w:bCs/>
          <w:color w:val="auto"/>
          <w:sz w:val="32"/>
          <w:szCs w:val="32"/>
          <w:highlight w:val="none"/>
          <w:u w:val="none"/>
        </w:rPr>
        <w:t>一二三产融合：跨界赋能，实现多元增值</w:t>
      </w:r>
      <w:bookmarkEnd w:id="124"/>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楷体简体" w:cs="方正楷体简体"/>
          <w:b/>
          <w:bCs/>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农文旅融合发展</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打造乡村旅游业态。</w:t>
      </w:r>
      <w:r>
        <w:rPr>
          <w:rFonts w:hint="eastAsia" w:ascii="宋体" w:hAnsi="宋体" w:eastAsia="方正仿宋简体" w:cs="方正仿宋简体"/>
          <w:color w:val="auto"/>
          <w:sz w:val="32"/>
          <w:szCs w:val="32"/>
          <w:highlight w:val="none"/>
          <w:u w:val="none"/>
        </w:rPr>
        <w:t>依托锡伯族民俗文化、边境风光、田园景观等资源，打造伊车嘎善锡伯族乡乡村旅游示范带，整合采摘园、农家乐、民宿、民俗文化场馆等资源，发展乡村旅游、民俗旅游</w:t>
      </w:r>
      <w:r>
        <w:rPr>
          <w:rFonts w:hint="eastAsia" w:ascii="宋体" w:hAnsi="宋体" w:eastAsia="方正仿宋简体" w:cs="方正仿宋简体"/>
          <w:color w:val="auto"/>
          <w:sz w:val="32"/>
          <w:szCs w:val="32"/>
          <w:highlight w:val="none"/>
          <w:u w:val="none"/>
          <w:lang w:eastAsia="zh-CN"/>
        </w:rPr>
        <w:t>等休闲农业</w:t>
      </w:r>
      <w:r>
        <w:rPr>
          <w:rFonts w:hint="eastAsia" w:ascii="宋体" w:hAnsi="宋体" w:eastAsia="方正仿宋简体" w:cs="方正仿宋简体"/>
          <w:color w:val="auto"/>
          <w:sz w:val="32"/>
          <w:szCs w:val="32"/>
          <w:highlight w:val="none"/>
          <w:u w:val="none"/>
        </w:rPr>
        <w:t>。“十五五”期间，打造特色民宿</w:t>
      </w:r>
      <w:r>
        <w:rPr>
          <w:rFonts w:hint="eastAsia" w:ascii="宋体" w:hAnsi="宋体" w:eastAsia="方正仿宋简体" w:cs="方正仿宋简体"/>
          <w:color w:val="auto"/>
          <w:sz w:val="32"/>
          <w:szCs w:val="32"/>
          <w:highlight w:val="none"/>
          <w:u w:val="none"/>
          <w:lang w:val="en-US" w:eastAsia="zh-CN"/>
        </w:rPr>
        <w:t>5</w:t>
      </w:r>
      <w:r>
        <w:rPr>
          <w:rFonts w:hint="eastAsia" w:ascii="宋体" w:hAnsi="宋体" w:eastAsia="方正仿宋简体" w:cs="方正仿宋简体"/>
          <w:color w:val="auto"/>
          <w:sz w:val="32"/>
          <w:szCs w:val="32"/>
          <w:highlight w:val="none"/>
          <w:u w:val="none"/>
        </w:rPr>
        <w:t>家、精品农家乐</w:t>
      </w:r>
      <w:r>
        <w:rPr>
          <w:rFonts w:hint="eastAsia" w:ascii="宋体" w:hAnsi="宋体" w:eastAsia="方正仿宋简体" w:cs="方正仿宋简体"/>
          <w:color w:val="auto"/>
          <w:sz w:val="32"/>
          <w:szCs w:val="32"/>
          <w:highlight w:val="none"/>
          <w:u w:val="none"/>
          <w:lang w:val="en-US" w:eastAsia="zh-CN"/>
        </w:rPr>
        <w:t>5</w:t>
      </w:r>
      <w:r>
        <w:rPr>
          <w:rFonts w:hint="eastAsia" w:ascii="宋体" w:hAnsi="宋体" w:eastAsia="方正仿宋简体" w:cs="方正仿宋简体"/>
          <w:color w:val="auto"/>
          <w:sz w:val="32"/>
          <w:szCs w:val="32"/>
          <w:highlight w:val="none"/>
          <w:u w:val="none"/>
        </w:rPr>
        <w:t>家、采摘园</w:t>
      </w:r>
      <w:r>
        <w:rPr>
          <w:rFonts w:hint="eastAsia" w:ascii="宋体" w:hAnsi="宋体" w:eastAsia="方正仿宋简体" w:cs="方正仿宋简体"/>
          <w:color w:val="auto"/>
          <w:sz w:val="32"/>
          <w:szCs w:val="32"/>
          <w:highlight w:val="none"/>
          <w:u w:val="none"/>
          <w:lang w:val="en-US" w:eastAsia="zh-CN"/>
        </w:rPr>
        <w:t>2</w:t>
      </w:r>
      <w:r>
        <w:rPr>
          <w:rFonts w:hint="eastAsia" w:ascii="宋体" w:hAnsi="宋体" w:eastAsia="方正仿宋简体" w:cs="方正仿宋简体"/>
          <w:color w:val="auto"/>
          <w:sz w:val="32"/>
          <w:szCs w:val="32"/>
          <w:highlight w:val="none"/>
          <w:u w:val="none"/>
        </w:rPr>
        <w:t>个，建设锡伯族民俗文化体验园、边境风情观光带等景点，丰富乡村旅游内容。</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做强乡村旅游经济。</w:t>
      </w:r>
      <w:r>
        <w:rPr>
          <w:rFonts w:hint="eastAsia" w:ascii="宋体" w:hAnsi="宋体" w:eastAsia="方正仿宋简体" w:cs="方正仿宋简体"/>
          <w:color w:val="auto"/>
          <w:sz w:val="32"/>
          <w:szCs w:val="32"/>
          <w:highlight w:val="none"/>
          <w:u w:val="none"/>
        </w:rPr>
        <w:t>举办民俗节庆活动，如锡伯族西迁节、蟠桃节、花卉节等，提升乡村旅游知名度和影响力。推动农文旅深度融合，开发民俗手工艺品、特色农产品等旅游商品，延伸旅游产业链，提升旅游附加值。2030年乡村旅游</w:t>
      </w:r>
      <w:r>
        <w:rPr>
          <w:rFonts w:hint="eastAsia" w:ascii="宋体" w:hAnsi="宋体" w:eastAsia="方正仿宋简体" w:cs="方正仿宋简体"/>
          <w:color w:val="auto"/>
          <w:sz w:val="32"/>
          <w:szCs w:val="32"/>
          <w:highlight w:val="none"/>
          <w:u w:val="none"/>
          <w:lang w:eastAsia="zh-CN"/>
        </w:rPr>
        <w:t>总花费</w:t>
      </w:r>
      <w:r>
        <w:rPr>
          <w:rFonts w:hint="eastAsia" w:ascii="宋体" w:hAnsi="宋体" w:eastAsia="方正仿宋简体" w:cs="方正仿宋简体"/>
          <w:color w:val="auto"/>
          <w:sz w:val="32"/>
          <w:szCs w:val="32"/>
          <w:highlight w:val="none"/>
          <w:u w:val="none"/>
        </w:rPr>
        <w:t>达到</w:t>
      </w:r>
      <w:r>
        <w:rPr>
          <w:rFonts w:hint="eastAsia" w:ascii="宋体" w:hAnsi="宋体" w:eastAsia="方正仿宋简体" w:cs="方正仿宋简体"/>
          <w:color w:val="auto"/>
          <w:sz w:val="32"/>
          <w:szCs w:val="32"/>
          <w:highlight w:val="none"/>
          <w:u w:val="none"/>
          <w:lang w:val="en-US" w:eastAsia="zh-CN"/>
        </w:rPr>
        <w:t>550万</w:t>
      </w:r>
      <w:r>
        <w:rPr>
          <w:rFonts w:hint="eastAsia" w:ascii="宋体" w:hAnsi="宋体" w:eastAsia="方正仿宋简体" w:cs="方正仿宋简体"/>
          <w:color w:val="auto"/>
          <w:sz w:val="32"/>
          <w:szCs w:val="32"/>
          <w:highlight w:val="none"/>
          <w:u w:val="none"/>
        </w:rPr>
        <w:t>元</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带动农户就业2000余人</w:t>
      </w:r>
      <w:r>
        <w:rPr>
          <w:rFonts w:hint="eastAsia" w:ascii="宋体" w:hAnsi="宋体" w:eastAsia="方正仿宋简体" w:cs="方正仿宋简体"/>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楷体简体" w:cs="方正楷体简体"/>
          <w:b/>
          <w:bCs/>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电商物流融合发展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rPr>
        <w:t>完善农村电商服务体系</w:t>
      </w:r>
      <w:r>
        <w:rPr>
          <w:rFonts w:hint="eastAsia" w:ascii="宋体" w:hAnsi="宋体" w:eastAsia="方正仿宋简体" w:cs="方正仿宋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建设市级农村电商服务中心、乡</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街道</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电商服务站、村级电商服务点，实现农村电商服务全覆盖。培育农村电商主体，支持农户、合作社、企业开展电商销售，推广直播带货、短视频营销等新型销售模式，提升特色农产品线上销量。</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eastAsia="zh-CN"/>
        </w:rPr>
        <w:t>做强跨境电商产业。</w:t>
      </w:r>
      <w:r>
        <w:rPr>
          <w:rFonts w:hint="eastAsia" w:ascii="宋体" w:hAnsi="宋体" w:eastAsia="方正仿宋简体" w:cs="方正仿宋简体"/>
          <w:color w:val="auto"/>
          <w:sz w:val="32"/>
          <w:szCs w:val="32"/>
          <w:highlight w:val="none"/>
          <w:u w:val="none"/>
        </w:rPr>
        <w:t>依托中欧班列、口岸冷链物流体系，构建“产地预冷+冷链运输+跨境配送”的物流链条，提升农产品物流效率，降低物流成本。加强与国内大型电商平台、物流企业合作，拓展农产品销售渠道，推动特色农产品走向全国、出口中亚。</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楷体简体" w:cs="方正楷体简体"/>
          <w:b/>
          <w:bCs/>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（三）促进农产品加工转化</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val="en-US" w:eastAsia="zh-CN"/>
        </w:rPr>
        <w:t>提升农产品加工水平。</w:t>
      </w:r>
      <w:r>
        <w:rPr>
          <w:rFonts w:hint="eastAsia" w:ascii="宋体" w:hAnsi="宋体" w:eastAsia="方正仿宋简体" w:cs="方正仿宋简体"/>
          <w:color w:val="auto"/>
          <w:sz w:val="32"/>
          <w:szCs w:val="32"/>
          <w:highlight w:val="none"/>
          <w:u w:val="none"/>
          <w:lang w:val="en-US" w:eastAsia="zh-CN"/>
        </w:rPr>
        <w:t>积极引导农产品加工业向产区和原料基地集中，减少原粮和特色种植作物外调和直接消耗比例，重点推进玉米加工、禽肉制品加工，不断拓展初加工，突出发展精深加工副产物综合利用，实现从“原品销售”向“成品制造”升级。“十五五”末农产品加工业与农业总产值比达到</w:t>
      </w:r>
      <w:r>
        <w:rPr>
          <w:rFonts w:hint="default" w:ascii="宋体" w:hAnsi="宋体" w:eastAsia="方正仿宋简体" w:cs="方正仿宋简体"/>
          <w:color w:val="auto"/>
          <w:sz w:val="32"/>
          <w:szCs w:val="32"/>
          <w:highlight w:val="none"/>
          <w:u w:val="none"/>
          <w:lang w:val="en-US" w:eastAsia="zh-CN"/>
        </w:rPr>
        <w:t>2.8:1</w:t>
      </w:r>
      <w:r>
        <w:rPr>
          <w:rFonts w:hint="eastAsia" w:ascii="宋体" w:hAnsi="宋体" w:eastAsia="方正仿宋简体" w:cs="方正仿宋简体"/>
          <w:color w:val="auto"/>
          <w:sz w:val="32"/>
          <w:szCs w:val="32"/>
          <w:highlight w:val="none"/>
          <w:u w:val="none"/>
          <w:lang w:val="en-US" w:eastAsia="zh-CN"/>
        </w:rPr>
        <w:t>以上，农产品加工转化率达到</w:t>
      </w:r>
      <w:r>
        <w:rPr>
          <w:rFonts w:hint="default" w:ascii="宋体" w:hAnsi="宋体" w:eastAsia="方正仿宋简体" w:cs="方正仿宋简体"/>
          <w:color w:val="auto"/>
          <w:sz w:val="32"/>
          <w:szCs w:val="32"/>
          <w:highlight w:val="none"/>
          <w:u w:val="none"/>
          <w:lang w:val="en-US" w:eastAsia="zh-CN"/>
        </w:rPr>
        <w:t>7</w:t>
      </w:r>
      <w:r>
        <w:rPr>
          <w:rFonts w:hint="eastAsia" w:ascii="宋体" w:hAnsi="宋体" w:eastAsia="方正仿宋简体" w:cs="方正仿宋简体"/>
          <w:color w:val="auto"/>
          <w:sz w:val="32"/>
          <w:szCs w:val="32"/>
          <w:highlight w:val="none"/>
          <w:u w:val="none"/>
          <w:lang w:val="en-US" w:eastAsia="zh-CN"/>
        </w:rPr>
        <w:t>6</w:t>
      </w:r>
      <w:r>
        <w:rPr>
          <w:rFonts w:hint="default" w:ascii="宋体" w:hAnsi="宋体" w:eastAsia="方正仿宋简体" w:cs="方正仿宋简体"/>
          <w:color w:val="auto"/>
          <w:sz w:val="32"/>
          <w:szCs w:val="32"/>
          <w:highlight w:val="none"/>
          <w:u w:val="none"/>
          <w:lang w:val="en-US" w:eastAsia="zh-CN"/>
        </w:rPr>
        <w:t>%</w:t>
      </w:r>
      <w:r>
        <w:rPr>
          <w:rFonts w:hint="eastAsia" w:ascii="宋体" w:hAnsi="宋体" w:eastAsia="方正仿宋简体" w:cs="方正仿宋简体"/>
          <w:color w:val="auto"/>
          <w:sz w:val="32"/>
          <w:szCs w:val="32"/>
          <w:highlight w:val="none"/>
          <w:u w:val="none"/>
          <w:lang w:val="en-US" w:eastAsia="zh-CN"/>
        </w:rPr>
        <w:t>以上。</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b/>
          <w:bCs/>
          <w:color w:val="auto"/>
          <w:sz w:val="32"/>
          <w:szCs w:val="32"/>
          <w:highlight w:val="none"/>
          <w:u w:val="none"/>
          <w:lang w:val="en-US" w:eastAsia="zh-CN"/>
        </w:rPr>
        <w:t>强化招商引强与兵地融合。</w:t>
      </w:r>
      <w:r>
        <w:rPr>
          <w:rFonts w:hint="eastAsia" w:ascii="宋体" w:hAnsi="宋体" w:eastAsia="方正仿宋简体" w:cs="方正仿宋简体"/>
          <w:color w:val="auto"/>
          <w:sz w:val="32"/>
          <w:szCs w:val="32"/>
          <w:highlight w:val="none"/>
          <w:u w:val="none"/>
          <w:lang w:val="en-US" w:eastAsia="zh-CN"/>
        </w:rPr>
        <w:t>紧扣粮食、家禽、特色林果等优势产业链，聚焦精深加工、冷链物流、综合利用等关键环节，开展产业链精准招商。形成“龙头引领、集群支撑、项目驱动”的产业发展新格局，提升产业集约发展水平与整体竞争力，带动产业规模能级提升。深化兵地融合发展，围绕家禽、林果等重点链，推动兵地资源互补、要素互通、产业协同、利益共享，促进重点链提质增效。</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楷体简体" w:cs="方正楷体简体"/>
          <w:b/>
          <w:bCs/>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（四）提升农牧业品牌竞争力</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仿宋简体" w:cs="方正仿宋简体"/>
          <w:b/>
          <w:bCs/>
          <w:color w:val="auto"/>
          <w:sz w:val="32"/>
          <w:szCs w:val="32"/>
          <w:highlight w:val="none"/>
          <w:u w:val="none"/>
          <w:lang w:val="en-US" w:eastAsia="zh-CN"/>
        </w:rPr>
        <w:t>构建品牌体系。</w:t>
      </w:r>
      <w:r>
        <w:rPr>
          <w:rFonts w:hint="eastAsia" w:ascii="宋体" w:hAnsi="宋体" w:eastAsia="方正仿宋简体" w:cs="方正仿宋简体"/>
          <w:color w:val="auto"/>
          <w:sz w:val="32"/>
          <w:szCs w:val="32"/>
          <w:highlight w:val="none"/>
          <w:u w:val="none"/>
          <w:lang w:val="en-US" w:eastAsia="zh-CN"/>
        </w:rPr>
        <w:t>实施农业品牌精品培育计划，抓好农产品“三品一标”工作，推进绿色食品、有机农产品、名特优新农产品认证。支持申报“全国名特优新农产品”“品味新疆”“伊犁优品”等认证。</w:t>
      </w:r>
      <w:bookmarkStart w:id="125" w:name="OLE_LINK15"/>
      <w:r>
        <w:rPr>
          <w:rFonts w:hint="eastAsia" w:ascii="宋体" w:hAnsi="宋体" w:eastAsia="方正仿宋简体" w:cs="方正仿宋简体"/>
          <w:color w:val="auto"/>
          <w:sz w:val="32"/>
          <w:szCs w:val="32"/>
          <w:highlight w:val="none"/>
          <w:u w:val="none"/>
          <w:lang w:val="en-US" w:eastAsia="zh-CN"/>
        </w:rPr>
        <w:t>到2030年，培育塑强品质过硬、特色鲜明，兼具较高知名度、美誉度与消费忠诚度的各品类区域公用品牌6个以上。</w:t>
      </w:r>
      <w:bookmarkEnd w:id="125"/>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仿宋简体" w:cs="方正仿宋简体"/>
          <w:b/>
          <w:bCs/>
          <w:color w:val="auto"/>
          <w:sz w:val="32"/>
          <w:szCs w:val="32"/>
          <w:highlight w:val="none"/>
          <w:u w:val="none"/>
          <w:lang w:val="en-US" w:eastAsia="zh-CN"/>
        </w:rPr>
        <w:t>夯实品牌基础。</w:t>
      </w:r>
      <w:r>
        <w:rPr>
          <w:rFonts w:hint="eastAsia" w:ascii="宋体" w:hAnsi="宋体" w:eastAsia="方正仿宋简体" w:cs="方正仿宋简体"/>
          <w:color w:val="auto"/>
          <w:sz w:val="32"/>
          <w:szCs w:val="32"/>
          <w:highlight w:val="none"/>
          <w:u w:val="none"/>
          <w:lang w:val="en-US" w:eastAsia="zh-CN"/>
        </w:rPr>
        <w:t>建立健全品牌建设促进机制、服务体系以及品牌目录动态管理与长效维护机制，加大正向激励力度，强化品牌宣传推广和形象维护。持续开展全国名特优新农产品、国家地理标志产品、地理标志证明商标、“品味新疆”“新疆品质”区域公用品牌和农业品牌申报创建工作，强化品牌创建全过程管理，到</w:t>
      </w:r>
      <w:r>
        <w:rPr>
          <w:rFonts w:hint="default" w:ascii="宋体" w:hAnsi="宋体" w:eastAsia="方正仿宋简体" w:cs="方正仿宋简体"/>
          <w:color w:val="auto"/>
          <w:sz w:val="32"/>
          <w:szCs w:val="32"/>
          <w:highlight w:val="none"/>
          <w:u w:val="none"/>
          <w:lang w:val="en-US" w:eastAsia="zh-CN"/>
        </w:rPr>
        <w:t>2030</w:t>
      </w:r>
      <w:r>
        <w:rPr>
          <w:rFonts w:hint="eastAsia" w:ascii="宋体" w:hAnsi="宋体" w:eastAsia="方正仿宋简体" w:cs="方正仿宋简体"/>
          <w:color w:val="auto"/>
          <w:sz w:val="32"/>
          <w:szCs w:val="32"/>
          <w:highlight w:val="none"/>
          <w:u w:val="none"/>
          <w:lang w:val="en-US" w:eastAsia="zh-CN"/>
        </w:rPr>
        <w:t>年，成果获评全国名特优新农产品8个。</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（五）开拓农产品销售市场。</w:t>
      </w:r>
      <w:r>
        <w:rPr>
          <w:rFonts w:hint="default" w:ascii="宋体" w:hAnsi="宋体" w:eastAsia="方正仿宋简体" w:cs="方正仿宋简体"/>
          <w:color w:val="auto"/>
          <w:sz w:val="32"/>
          <w:szCs w:val="32"/>
          <w:highlight w:val="none"/>
          <w:u w:val="none"/>
          <w:lang w:val="en-US" w:eastAsia="zh-CN"/>
        </w:rPr>
        <w:t>依托霍尔果斯自贸试验区、口岸叠加优势，双向拓宽农产品内外销售渠道，推动通道经济转向产销枢纽经济。对内深化苏霍援疆协作，搭建疆外展销中心、商超直供渠道，做大做强</w:t>
      </w:r>
      <w:r>
        <w:rPr>
          <w:rFonts w:hint="eastAsia" w:ascii="宋体" w:hAnsi="宋体" w:eastAsia="方正仿宋简体" w:cs="方正仿宋简体"/>
          <w:color w:val="auto"/>
          <w:sz w:val="32"/>
          <w:szCs w:val="32"/>
          <w:highlight w:val="none"/>
          <w:u w:val="none"/>
          <w:lang w:val="en-US" w:eastAsia="zh-CN"/>
        </w:rPr>
        <w:t>“</w:t>
      </w:r>
      <w:r>
        <w:rPr>
          <w:rFonts w:hint="default" w:ascii="宋体" w:hAnsi="宋体" w:eastAsia="方正仿宋简体" w:cs="方正仿宋简体"/>
          <w:color w:val="auto"/>
          <w:sz w:val="32"/>
          <w:szCs w:val="32"/>
          <w:highlight w:val="none"/>
          <w:u w:val="none"/>
          <w:lang w:val="en-US" w:eastAsia="zh-CN"/>
        </w:rPr>
        <w:t>霍尔果</w:t>
      </w:r>
      <w:r>
        <w:rPr>
          <w:rFonts w:hint="eastAsia" w:ascii="宋体" w:hAnsi="宋体" w:eastAsia="方正仿宋简体" w:cs="方正仿宋简体"/>
          <w:color w:val="auto"/>
          <w:sz w:val="32"/>
          <w:szCs w:val="32"/>
          <w:highlight w:val="none"/>
          <w:u w:val="none"/>
          <w:lang w:val="en-US" w:eastAsia="zh-CN"/>
        </w:rPr>
        <w:t>”</w:t>
      </w:r>
      <w:r>
        <w:rPr>
          <w:rFonts w:hint="default" w:ascii="宋体" w:hAnsi="宋体" w:eastAsia="方正仿宋简体" w:cs="方正仿宋简体"/>
          <w:color w:val="auto"/>
          <w:sz w:val="32"/>
          <w:szCs w:val="32"/>
          <w:highlight w:val="none"/>
          <w:u w:val="none"/>
          <w:lang w:val="en-US" w:eastAsia="zh-CN"/>
        </w:rPr>
        <w:t>区域公用品牌，拓宽苹果、白羽鸡、番茄等特色产品订单销路。完善产地分拣、预冷仓储配套，稳定国内长线供货体系。对外用好中哈农副产品绿色通道，优化快速通关检疫，依托公路口岸、中欧班列，主攻中亚市场，稳步拓展西亚、东欧消费市场。大力发展多语种跨境电商、海外直播带货，培育外贸龙头企业，推行“种养—加工—出口”全链条模式，提升冷鲜禽肉、林果</w:t>
      </w:r>
      <w:r>
        <w:rPr>
          <w:rFonts w:hint="eastAsia" w:ascii="宋体" w:hAnsi="宋体" w:eastAsia="方正仿宋简体" w:cs="方正仿宋简体"/>
          <w:color w:val="auto"/>
          <w:sz w:val="32"/>
          <w:szCs w:val="32"/>
          <w:highlight w:val="none"/>
          <w:u w:val="none"/>
          <w:lang w:val="en-US" w:eastAsia="zh-CN"/>
        </w:rPr>
        <w:t>、花卉苗木</w:t>
      </w:r>
      <w:r>
        <w:rPr>
          <w:rFonts w:hint="default" w:ascii="宋体" w:hAnsi="宋体" w:eastAsia="方正仿宋简体" w:cs="方正仿宋简体"/>
          <w:color w:val="auto"/>
          <w:sz w:val="32"/>
          <w:szCs w:val="32"/>
          <w:highlight w:val="none"/>
          <w:u w:val="none"/>
          <w:lang w:val="en-US" w:eastAsia="zh-CN"/>
        </w:rPr>
        <w:t>出口占比。以品牌提质、物流提效、市场多元，带动农户稳定增收，打造新疆向西农产品出口核心集散基地，助力农业农村现代化与对外开放深度融合</w:t>
      </w:r>
      <w:r>
        <w:rPr>
          <w:rFonts w:hint="eastAsia" w:ascii="宋体" w:hAnsi="宋体" w:eastAsia="方正仿宋简体" w:cs="方正仿宋简体"/>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rPr>
      </w:pPr>
      <w:bookmarkStart w:id="126" w:name="_Toc24402_WPSOffice_Level1"/>
      <w:r>
        <w:rPr>
          <w:rFonts w:hint="eastAsia" w:ascii="宋体" w:hAnsi="宋体" w:eastAsia="黑体" w:cs="黑体"/>
          <w:b w:val="0"/>
          <w:bCs/>
          <w:color w:val="auto"/>
          <w:sz w:val="32"/>
          <w:szCs w:val="32"/>
          <w:highlight w:val="none"/>
          <w:u w:val="none"/>
          <w:lang w:val="en-US" w:eastAsia="zh-CN"/>
        </w:rPr>
        <w:t xml:space="preserve">第五章 </w:t>
      </w:r>
      <w:r>
        <w:rPr>
          <w:rFonts w:hint="eastAsia" w:ascii="宋体" w:hAnsi="宋体" w:eastAsia="黑体" w:cs="黑体"/>
          <w:b w:val="0"/>
          <w:bCs/>
          <w:color w:val="auto"/>
          <w:sz w:val="32"/>
          <w:szCs w:val="32"/>
          <w:highlight w:val="none"/>
          <w:u w:val="none"/>
        </w:rPr>
        <w:t>深化开放农业合作，打造向西开放农业高地</w:t>
      </w:r>
      <w:bookmarkEnd w:id="126"/>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充分发挥霍尔果斯口岸区位优势和自贸试验区政策优势，深化与中亚国家的农业合作，完善开放农业平台，拓展跨境农业产业链，提升农业开放合作水平，打造向西开放农产品加工出口基地。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eastAsia="黑体" w:cs="黑体"/>
          <w:b w:val="0"/>
          <w:bCs/>
          <w:color w:val="auto"/>
          <w:sz w:val="32"/>
          <w:szCs w:val="32"/>
          <w:highlight w:val="none"/>
          <w:u w:val="none"/>
        </w:rPr>
      </w:pPr>
      <w:bookmarkStart w:id="127" w:name="_Toc875_WPSOffice_Level2"/>
      <w:r>
        <w:rPr>
          <w:rFonts w:hint="eastAsia" w:ascii="宋体" w:hAnsi="宋体" w:eastAsia="黑体" w:cs="黑体"/>
          <w:b w:val="0"/>
          <w:bCs/>
          <w:color w:val="auto"/>
          <w:sz w:val="32"/>
          <w:szCs w:val="32"/>
          <w:highlight w:val="none"/>
          <w:u w:val="none"/>
          <w:lang w:val="en-US" w:eastAsia="zh-CN"/>
        </w:rPr>
        <w:t xml:space="preserve">第一节 </w:t>
      </w:r>
      <w:r>
        <w:rPr>
          <w:rFonts w:hint="eastAsia" w:ascii="宋体" w:hAnsi="宋体" w:eastAsia="黑体" w:cs="黑体"/>
          <w:b w:val="0"/>
          <w:bCs/>
          <w:color w:val="auto"/>
          <w:sz w:val="32"/>
          <w:szCs w:val="32"/>
          <w:highlight w:val="none"/>
          <w:u w:val="none"/>
        </w:rPr>
        <w:t>建设高水平开放农业平台</w:t>
      </w:r>
      <w:bookmarkEnd w:id="127"/>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完善农产品进出口加工产业园</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依托自贸试验区霍尔果斯片区、综合保税区</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lang w:val="en-US" w:eastAsia="zh-CN"/>
        </w:rPr>
        <w:t>中哈霍尔果斯国际边境合作中心</w:t>
      </w:r>
      <w:r>
        <w:rPr>
          <w:rFonts w:hint="eastAsia" w:ascii="宋体" w:hAnsi="宋体" w:eastAsia="方正仿宋简体" w:cs="方正仿宋简体"/>
          <w:color w:val="auto"/>
          <w:sz w:val="32"/>
          <w:szCs w:val="32"/>
          <w:highlight w:val="none"/>
          <w:u w:val="none"/>
        </w:rPr>
        <w:t>，规划建设</w:t>
      </w:r>
      <w:r>
        <w:rPr>
          <w:rFonts w:hint="eastAsia" w:ascii="宋体" w:hAnsi="宋体" w:eastAsia="方正仿宋简体" w:cs="方正仿宋简体"/>
          <w:color w:val="auto"/>
          <w:sz w:val="32"/>
          <w:szCs w:val="32"/>
          <w:highlight w:val="none"/>
          <w:u w:val="none"/>
          <w:lang w:val="en-US" w:eastAsia="zh-CN"/>
        </w:rPr>
        <w:t>中哈霍尔果斯国际边境合作中心国际农业创新产业园项目及霍尔果斯综合保税区国际农产品精深加工基地建设项目，打造</w:t>
      </w:r>
      <w:r>
        <w:rPr>
          <w:rFonts w:hint="eastAsia" w:ascii="宋体" w:hAnsi="宋体" w:eastAsia="方正仿宋简体" w:cs="方正仿宋简体"/>
          <w:color w:val="auto"/>
          <w:sz w:val="32"/>
          <w:szCs w:val="32"/>
          <w:highlight w:val="none"/>
          <w:u w:val="none"/>
        </w:rPr>
        <w:t>农产品进出口加工产业园，重点发展农产品精深加工、保税加工、跨境贸易、冷链物流等产业。完善产业园基础设施，建设标准化厂房、仓储物流设施、检验检测中心、办公生活设施等，提升产业园承载能力。</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引进培育开放型农业企业</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加大招商引资力度，重点引进农产品加工、跨境贸易、冷链物流等领域的龙头企业，支持企业开展跨境农业合作，鼓励企业在中亚国家设立分支机构、展销中心，拓展国际市场。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eastAsia="黑体" w:cs="黑体"/>
          <w:b w:val="0"/>
          <w:bCs/>
          <w:color w:val="auto"/>
          <w:sz w:val="32"/>
          <w:szCs w:val="32"/>
          <w:highlight w:val="none"/>
          <w:u w:val="none"/>
        </w:rPr>
      </w:pPr>
      <w:bookmarkStart w:id="128" w:name="heading_57"/>
      <w:bookmarkStart w:id="129" w:name="_Toc14636_WPSOffice_Level2"/>
      <w:r>
        <w:rPr>
          <w:rFonts w:hint="eastAsia" w:ascii="宋体" w:hAnsi="宋体" w:eastAsia="黑体" w:cs="黑体"/>
          <w:color w:val="auto"/>
          <w:sz w:val="32"/>
          <w:szCs w:val="32"/>
          <w:highlight w:val="none"/>
          <w:u w:val="none"/>
          <w:lang w:eastAsia="zh-CN"/>
        </w:rPr>
        <w:t>第二节</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b w:val="0"/>
          <w:bCs/>
          <w:color w:val="auto"/>
          <w:sz w:val="32"/>
          <w:szCs w:val="32"/>
          <w:highlight w:val="none"/>
          <w:u w:val="none"/>
        </w:rPr>
        <w:t>深化跨境农业合作，拓展国际市场</w:t>
      </w:r>
      <w:bookmarkEnd w:id="128"/>
      <w:bookmarkEnd w:id="129"/>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lang w:val="en-US" w:eastAsia="zh-CN"/>
        </w:rPr>
        <w:t>一</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楷体简体" w:cs="方正楷体简体"/>
          <w:b/>
          <w:bCs/>
          <w:color w:val="auto"/>
          <w:sz w:val="32"/>
          <w:szCs w:val="32"/>
          <w:highlight w:val="none"/>
          <w:u w:val="none"/>
        </w:rPr>
        <w:t>扩大农产品进出口贸易</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重点推动番茄制品、蟠桃、西梅、白羽鸡肉、花卉苗木等特色农产品出口中亚，拓展俄罗斯、吉尔吉斯斯坦等周边国家市场。同时，引进中亚国家优质农产品，如小麦、棉花、牛羊肉等，丰富国内农产品市场供给。</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val="en-US" w:eastAsia="zh-CN"/>
        </w:rPr>
        <w:t>（二）</w:t>
      </w:r>
      <w:r>
        <w:rPr>
          <w:rFonts w:hint="eastAsia" w:ascii="宋体" w:hAnsi="宋体" w:eastAsia="方正楷体简体" w:cs="方正楷体简体"/>
          <w:b/>
          <w:bCs/>
          <w:color w:val="auto"/>
          <w:sz w:val="32"/>
          <w:szCs w:val="32"/>
          <w:highlight w:val="none"/>
          <w:u w:val="none"/>
        </w:rPr>
        <w:t>加强农业技术与品种交流</w:t>
      </w:r>
      <w:r>
        <w:rPr>
          <w:rFonts w:hint="eastAsia" w:ascii="宋体" w:hAnsi="宋体" w:eastAsia="方正楷体简体" w:cs="方正楷体简体"/>
          <w:b/>
          <w:bCs/>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与中亚国家开展农业技术交流合作，推动农业技术和品种双向交流。举办农产品展销会等活动，加强与中亚国家农业企业、科研院所的合作，提升农业合作水平。</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（三）加大农产品及花卉苗木出口备案基地建设力度。</w:t>
      </w:r>
      <w:r>
        <w:rPr>
          <w:rFonts w:hint="eastAsia" w:ascii="宋体" w:hAnsi="宋体" w:eastAsia="方正仿宋简体" w:cs="方正仿宋简体"/>
          <w:color w:val="auto"/>
          <w:sz w:val="32"/>
          <w:szCs w:val="32"/>
          <w:highlight w:val="none"/>
          <w:u w:val="none"/>
          <w:lang w:val="en-US" w:eastAsia="zh-CN"/>
        </w:rPr>
        <w:t>立足霍尔果斯口岸通关区位优势，划定标准化种养片区，对照中亚及海外检疫准入标准，统一规范土壤管控、水肥施用、病虫害绿色防控流程，完善溯源台账体系。扶持经营主体改造清洗、分拣、预冷配套设施，提升基地规模化、集约化水平。依托备案基地打造稳定货源供给端，对接中欧班列、跨境冷链通道，拓宽林果、鲜蔬、花卉苗木外销规模，以合规标准化基地夯实出口底气，带动本地种植户稳销路、增收益，筑牢向西特色农林产品出口根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1"/>
        <w:rPr>
          <w:rFonts w:hint="eastAsia" w:ascii="宋体" w:hAnsi="宋体" w:eastAsia="黑体" w:cs="黑体"/>
          <w:b w:val="0"/>
          <w:bCs/>
          <w:color w:val="auto"/>
          <w:sz w:val="32"/>
          <w:szCs w:val="32"/>
          <w:highlight w:val="none"/>
          <w:u w:val="none"/>
          <w:lang w:val="en-US" w:eastAsia="zh-CN"/>
        </w:rPr>
      </w:pPr>
      <w:bookmarkStart w:id="130" w:name="heading_59"/>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宋体" w:hAnsi="宋体" w:eastAsia="黑体" w:cs="黑体"/>
          <w:b w:val="0"/>
          <w:bCs/>
          <w:color w:val="auto"/>
          <w:sz w:val="32"/>
          <w:szCs w:val="32"/>
          <w:highlight w:val="none"/>
          <w:u w:val="none"/>
        </w:rPr>
      </w:pPr>
      <w:bookmarkStart w:id="131" w:name="_Toc4588_WPSOffice_Level1"/>
      <w:r>
        <w:rPr>
          <w:rFonts w:hint="eastAsia" w:ascii="宋体" w:hAnsi="宋体" w:eastAsia="黑体" w:cs="黑体"/>
          <w:b w:val="0"/>
          <w:bCs/>
          <w:color w:val="auto"/>
          <w:sz w:val="32"/>
          <w:szCs w:val="32"/>
          <w:highlight w:val="none"/>
          <w:u w:val="none"/>
          <w:lang w:val="en-US" w:eastAsia="zh-CN"/>
        </w:rPr>
        <w:t xml:space="preserve">第六章 </w:t>
      </w:r>
      <w:r>
        <w:rPr>
          <w:rFonts w:hint="eastAsia" w:ascii="宋体" w:hAnsi="宋体" w:eastAsia="黑体" w:cs="黑体"/>
          <w:b w:val="0"/>
          <w:bCs/>
          <w:color w:val="auto"/>
          <w:sz w:val="32"/>
          <w:szCs w:val="32"/>
          <w:highlight w:val="none"/>
          <w:u w:val="none"/>
        </w:rPr>
        <w:t>推进宜居宜业和美乡村建设，提升乡村发展品质</w:t>
      </w:r>
      <w:bookmarkEnd w:id="130"/>
      <w:bookmarkEnd w:id="131"/>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方正仿宋简体" w:cs="方正仿宋简体"/>
          <w:color w:val="auto"/>
          <w:sz w:val="32"/>
          <w:szCs w:val="32"/>
          <w:highlight w:val="none"/>
          <w:u w:val="none"/>
        </w:rPr>
      </w:pPr>
      <w:r>
        <w:rPr>
          <w:rFonts w:hint="eastAsia" w:ascii="宋体" w:hAnsi="宋体" w:eastAsia="方正仿宋简体" w:cs="方正仿宋简体"/>
          <w:color w:val="auto"/>
          <w:sz w:val="32"/>
          <w:szCs w:val="32"/>
          <w:highlight w:val="none"/>
          <w:u w:val="none"/>
        </w:rPr>
        <w:t>深入学习运用“千万工程”经验，以乡村建设行动为抓手，完善农村基础设施，提升农村人居环境，强化乡村治理，传承民族文化，打造宜居宜业和美乡村。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eastAsia="黑体" w:cs="黑体"/>
          <w:b w:val="0"/>
          <w:bCs/>
          <w:color w:val="auto"/>
          <w:sz w:val="32"/>
          <w:szCs w:val="32"/>
          <w:highlight w:val="none"/>
          <w:u w:val="none"/>
        </w:rPr>
      </w:pPr>
      <w:bookmarkStart w:id="132" w:name="heading_60"/>
      <w:bookmarkStart w:id="133" w:name="_Toc22751_WPSOffice_Level2"/>
      <w:r>
        <w:rPr>
          <w:rFonts w:hint="eastAsia" w:ascii="宋体" w:hAnsi="宋体" w:eastAsia="黑体" w:cs="黑体"/>
          <w:color w:val="auto"/>
          <w:sz w:val="32"/>
          <w:szCs w:val="32"/>
          <w:highlight w:val="none"/>
          <w:u w:val="none"/>
          <w:lang w:eastAsia="zh-CN"/>
        </w:rPr>
        <w:t>第一节</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b w:val="0"/>
          <w:bCs/>
          <w:color w:val="auto"/>
          <w:sz w:val="32"/>
          <w:szCs w:val="32"/>
          <w:highlight w:val="none"/>
          <w:u w:val="none"/>
        </w:rPr>
        <w:t>完善农村基础设施，提升乡村承载能力</w:t>
      </w:r>
      <w:bookmarkEnd w:id="132"/>
      <w:bookmarkEnd w:id="133"/>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rPr>
      </w:pPr>
      <w:bookmarkStart w:id="134" w:name="heading_61"/>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lang w:val="en-US" w:eastAsia="zh-CN"/>
        </w:rPr>
        <w:t>一</w:t>
      </w:r>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rPr>
        <w:t>水利基础设施建设</w:t>
      </w:r>
      <w:bookmarkEnd w:id="134"/>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优化水资源配置，推进农业节水改造，实施滴灌、喷灌等节水灌溉工程，提升水资源利用效率。完善农村供水设施，</w:t>
      </w:r>
      <w:r>
        <w:rPr>
          <w:rFonts w:hint="eastAsia" w:ascii="宋体" w:hAnsi="宋体" w:eastAsia="方正仿宋简体" w:cs="Times New Roman"/>
          <w:color w:val="auto"/>
          <w:sz w:val="32"/>
          <w:szCs w:val="32"/>
          <w:highlight w:val="none"/>
          <w:u w:val="none"/>
          <w:lang w:val="en-US" w:eastAsia="zh-CN"/>
        </w:rPr>
        <w:t>建设水源工程实现城乡联通供水，</w:t>
      </w:r>
      <w:r>
        <w:rPr>
          <w:rFonts w:hint="eastAsia" w:ascii="宋体" w:hAnsi="宋体" w:eastAsia="方正仿宋简体" w:cs="方正仿宋简体"/>
          <w:color w:val="auto"/>
          <w:sz w:val="32"/>
          <w:szCs w:val="32"/>
          <w:highlight w:val="none"/>
          <w:u w:val="none"/>
        </w:rPr>
        <w:t>改造农村供水管网，解决农村供水不稳定、水质不达标等问题，2030年实现农村自来水全覆盖，供水保证率</w:t>
      </w:r>
      <w:r>
        <w:rPr>
          <w:rFonts w:hint="eastAsia" w:ascii="宋体" w:hAnsi="宋体" w:eastAsia="方正仿宋简体" w:cs="方正仿宋简体"/>
          <w:color w:val="auto"/>
          <w:sz w:val="32"/>
          <w:szCs w:val="32"/>
          <w:highlight w:val="none"/>
          <w:u w:val="none"/>
          <w:lang w:val="en-US" w:eastAsia="zh-CN"/>
        </w:rPr>
        <w:t>稳定在100</w:t>
      </w:r>
      <w:r>
        <w:rPr>
          <w:rFonts w:hint="eastAsia" w:ascii="宋体" w:hAnsi="宋体" w:eastAsia="方正仿宋简体" w:cs="方正仿宋简体"/>
          <w:color w:val="auto"/>
          <w:sz w:val="32"/>
          <w:szCs w:val="32"/>
          <w:highlight w:val="none"/>
          <w:u w:val="none"/>
        </w:rPr>
        <w:t>%。</w:t>
      </w:r>
      <w:r>
        <w:rPr>
          <w:rFonts w:hint="eastAsia" w:ascii="宋体" w:hAnsi="宋体" w:eastAsia="方正仿宋简体" w:cs="Times New Roman"/>
          <w:color w:val="auto"/>
          <w:sz w:val="32"/>
          <w:szCs w:val="32"/>
          <w:highlight w:val="none"/>
          <w:u w:val="none"/>
          <w:lang w:val="en-US" w:eastAsia="zh-CN"/>
        </w:rPr>
        <w:t>推进中小型河道综合治理、山洪沟防洪治理工程，实施堤防加固及阻水桥梁改建，切实提升防洪韧性。</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rPr>
      </w:pPr>
      <w:bookmarkStart w:id="135" w:name="heading_62"/>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lang w:val="en-US" w:eastAsia="zh-CN"/>
        </w:rPr>
        <w:t>二</w:t>
      </w:r>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rPr>
        <w:t>交通能源基础设施建设</w:t>
      </w:r>
      <w:bookmarkEnd w:id="135"/>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推进农村道路升级改造，打通农村道路“最后一公里”，完善农村道路养护体系，提升农村道路通行能力和安全水平。推进天然气进村入户工程，2030年农村天然气普及率达到</w:t>
      </w:r>
      <w:r>
        <w:rPr>
          <w:rFonts w:hint="eastAsia" w:ascii="宋体" w:hAnsi="宋体" w:eastAsia="方正仿宋简体" w:cs="方正仿宋简体"/>
          <w:color w:val="auto"/>
          <w:sz w:val="32"/>
          <w:szCs w:val="32"/>
          <w:highlight w:val="none"/>
          <w:u w:val="none"/>
          <w:lang w:val="en-US" w:eastAsia="zh-CN"/>
        </w:rPr>
        <w:t>52.67</w:t>
      </w:r>
      <w:r>
        <w:rPr>
          <w:rFonts w:hint="eastAsia" w:ascii="宋体" w:hAnsi="宋体" w:eastAsia="方正仿宋简体" w:cs="方正仿宋简体"/>
          <w:color w:val="auto"/>
          <w:sz w:val="32"/>
          <w:szCs w:val="32"/>
          <w:highlight w:val="none"/>
          <w:u w:val="none"/>
        </w:rPr>
        <w:t>%。完善农村电网，实施农村电网升级改造工程，提升农村电网供电可靠性和供电质量</w:t>
      </w:r>
      <w:r>
        <w:rPr>
          <w:rFonts w:hint="eastAsia" w:ascii="宋体" w:hAnsi="宋体" w:eastAsia="方正仿宋简体" w:cs="方正仿宋简体"/>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聚焦绿色低碳转型，健全新能源充电配套设施，大力推广绿色出行、普及低碳生活方式。稳步推进燃煤小锅炉</w:t>
      </w:r>
      <w:r>
        <w:rPr>
          <w:rFonts w:hint="eastAsia" w:ascii="宋体" w:hAnsi="宋体" w:eastAsia="方正仿宋简体" w:cs="方正仿宋简体"/>
          <w:color w:val="auto"/>
          <w:sz w:val="32"/>
          <w:szCs w:val="32"/>
          <w:highlight w:val="none"/>
          <w:u w:val="none"/>
          <w:lang w:val="en-US" w:eastAsia="zh-CN"/>
        </w:rPr>
        <w:t>拆除</w:t>
      </w:r>
      <w:r>
        <w:rPr>
          <w:rFonts w:hint="eastAsia" w:ascii="宋体" w:hAnsi="宋体" w:eastAsia="方正仿宋简体" w:cs="方正仿宋简体"/>
          <w:color w:val="auto"/>
          <w:sz w:val="32"/>
          <w:szCs w:val="32"/>
          <w:highlight w:val="none"/>
          <w:u w:val="none"/>
        </w:rPr>
        <w:t>替换，落实煤改电工程，</w:t>
      </w:r>
      <w:r>
        <w:rPr>
          <w:rFonts w:hint="eastAsia" w:ascii="宋体" w:hAnsi="宋体" w:eastAsia="方正仿宋简体" w:cs="方正仿宋简体"/>
          <w:color w:val="auto"/>
          <w:sz w:val="32"/>
          <w:szCs w:val="32"/>
          <w:highlight w:val="none"/>
          <w:u w:val="none"/>
          <w:lang w:val="en-US" w:eastAsia="zh-CN"/>
        </w:rPr>
        <w:t>切实</w:t>
      </w:r>
      <w:r>
        <w:rPr>
          <w:rFonts w:hint="eastAsia" w:ascii="宋体" w:hAnsi="宋体" w:eastAsia="方正仿宋简体" w:cs="方正仿宋简体"/>
          <w:color w:val="auto"/>
          <w:sz w:val="32"/>
          <w:szCs w:val="32"/>
          <w:highlight w:val="none"/>
          <w:u w:val="none"/>
        </w:rPr>
        <w:t>优化城乡能源供给结构，扎实推进全域减污降碳。</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rPr>
      </w:pPr>
      <w:bookmarkStart w:id="136" w:name="heading_63"/>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lang w:val="en-US" w:eastAsia="zh-CN"/>
        </w:rPr>
        <w:t>三</w:t>
      </w:r>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rPr>
        <w:t>数字乡村基础设施建设</w:t>
      </w:r>
      <w:bookmarkEnd w:id="136"/>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推进5G网络全覆盖，实现所有行政村、自然村5G网络覆盖，提升农村网络</w:t>
      </w:r>
      <w:r>
        <w:rPr>
          <w:rFonts w:hint="eastAsia" w:ascii="宋体" w:hAnsi="宋体" w:eastAsia="方正仿宋简体" w:cs="方正仿宋简体"/>
          <w:color w:val="auto"/>
          <w:sz w:val="32"/>
          <w:szCs w:val="32"/>
          <w:highlight w:val="none"/>
          <w:u w:val="none"/>
          <w:lang w:val="en-US" w:eastAsia="zh-CN"/>
        </w:rPr>
        <w:t>宽带</w:t>
      </w:r>
      <w:r>
        <w:rPr>
          <w:rFonts w:hint="eastAsia" w:ascii="宋体" w:hAnsi="宋体" w:eastAsia="方正仿宋简体" w:cs="方正仿宋简体"/>
          <w:color w:val="auto"/>
          <w:sz w:val="32"/>
          <w:szCs w:val="32"/>
          <w:highlight w:val="none"/>
          <w:u w:val="none"/>
        </w:rPr>
        <w:t>和网速。建设农业农村大数据平台，整合农业生产、乡村治理、公共服务等数据资源，实现数据共享和高效利用。推广智慧农业应用，在高标准农田、智能温室等区域安装物联网设备，实现农业生产智能化、精准化。推进农村电商、远程医疗、在线教育等数字化应用，提升农村公共服务数字化水平。</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eastAsia="黑体" w:cs="黑体"/>
          <w:b w:val="0"/>
          <w:bCs/>
          <w:color w:val="auto"/>
          <w:sz w:val="32"/>
          <w:szCs w:val="32"/>
          <w:highlight w:val="none"/>
          <w:u w:val="none"/>
        </w:rPr>
      </w:pPr>
      <w:bookmarkStart w:id="137" w:name="heading_64"/>
      <w:bookmarkStart w:id="138" w:name="_Toc25234_WPSOffice_Level2"/>
      <w:r>
        <w:rPr>
          <w:rFonts w:hint="eastAsia" w:ascii="宋体" w:hAnsi="宋体" w:eastAsia="黑体" w:cs="黑体"/>
          <w:b w:val="0"/>
          <w:bCs/>
          <w:color w:val="auto"/>
          <w:sz w:val="32"/>
          <w:szCs w:val="32"/>
          <w:highlight w:val="none"/>
          <w:u w:val="none"/>
          <w:lang w:val="en-US" w:eastAsia="zh-CN"/>
        </w:rPr>
        <w:t xml:space="preserve">第二节 </w:t>
      </w:r>
      <w:r>
        <w:rPr>
          <w:rFonts w:hint="eastAsia" w:ascii="宋体" w:hAnsi="宋体" w:eastAsia="黑体" w:cs="黑体"/>
          <w:b w:val="0"/>
          <w:bCs/>
          <w:color w:val="auto"/>
          <w:sz w:val="32"/>
          <w:szCs w:val="32"/>
          <w:highlight w:val="none"/>
          <w:u w:val="none"/>
        </w:rPr>
        <w:t>提升农村人居环境，打造宜居乡村</w:t>
      </w:r>
      <w:bookmarkEnd w:id="137"/>
      <w:bookmarkEnd w:id="138"/>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rPr>
      </w:pPr>
      <w:bookmarkStart w:id="139" w:name="heading_65"/>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lang w:val="en-US" w:eastAsia="zh-CN"/>
        </w:rPr>
        <w:t>一</w:t>
      </w:r>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rPr>
        <w:t>深化农村厕所革命</w:t>
      </w:r>
      <w:bookmarkEnd w:id="139"/>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持续推进农村厕所革命，普及卫生厕所，重点改造偏远村庄、老旧厕所，推广水冲式厕所、三格式厕所等适宜模式，“十五五”期间农村卫生厕所普及率达到</w:t>
      </w:r>
      <w:r>
        <w:rPr>
          <w:rFonts w:hint="eastAsia" w:ascii="宋体" w:hAnsi="宋体" w:eastAsia="方正仿宋简体" w:cs="方正仿宋简体"/>
          <w:color w:val="auto"/>
          <w:sz w:val="32"/>
          <w:szCs w:val="32"/>
          <w:highlight w:val="none"/>
          <w:u w:val="none"/>
          <w:lang w:val="en-US" w:eastAsia="zh-CN"/>
        </w:rPr>
        <w:t>100%</w:t>
      </w:r>
      <w:r>
        <w:rPr>
          <w:rFonts w:hint="eastAsia" w:ascii="宋体" w:hAnsi="宋体" w:eastAsia="方正仿宋简体" w:cs="方正仿宋简体"/>
          <w:color w:val="auto"/>
          <w:sz w:val="32"/>
          <w:szCs w:val="32"/>
          <w:highlight w:val="none"/>
          <w:u w:val="none"/>
        </w:rPr>
        <w:t>。完善厕所粪污资源化利用体系，推动厕所粪污与畜禽粪污一并处理，加工成有机肥，实现资源循环利用。</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rPr>
      </w:pPr>
      <w:bookmarkStart w:id="140" w:name="heading_66"/>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lang w:val="en-US" w:eastAsia="zh-CN"/>
        </w:rPr>
        <w:t>二</w:t>
      </w:r>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rPr>
        <w:t>推进农村污水垃圾治理</w:t>
      </w:r>
      <w:bookmarkEnd w:id="140"/>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加强农村污水处理设施建设，重点</w:t>
      </w:r>
      <w:r>
        <w:rPr>
          <w:rFonts w:hint="eastAsia" w:ascii="宋体" w:hAnsi="宋体" w:eastAsia="方正仿宋简体" w:cs="方正仿宋简体"/>
          <w:color w:val="auto"/>
          <w:sz w:val="32"/>
          <w:szCs w:val="32"/>
          <w:highlight w:val="none"/>
          <w:u w:val="none"/>
          <w:lang w:val="en-US" w:eastAsia="zh-CN"/>
        </w:rPr>
        <w:t>提升现有</w:t>
      </w:r>
      <w:r>
        <w:rPr>
          <w:rFonts w:hint="eastAsia" w:ascii="宋体" w:hAnsi="宋体" w:eastAsia="方正仿宋简体" w:cs="方正仿宋简体"/>
          <w:color w:val="auto"/>
          <w:sz w:val="32"/>
          <w:szCs w:val="32"/>
          <w:highlight w:val="none"/>
          <w:u w:val="none"/>
        </w:rPr>
        <w:t>乡</w:t>
      </w:r>
      <w:r>
        <w:rPr>
          <w:rFonts w:hint="eastAsia" w:ascii="宋体" w:hAnsi="宋体" w:eastAsia="方正仿宋简体" w:cs="方正仿宋简体"/>
          <w:color w:val="auto"/>
          <w:sz w:val="32"/>
          <w:szCs w:val="32"/>
          <w:highlight w:val="none"/>
          <w:u w:val="none"/>
          <w:lang w:eastAsia="zh-CN"/>
        </w:rPr>
        <w:t>（街道）</w:t>
      </w:r>
      <w:r>
        <w:rPr>
          <w:rFonts w:hint="eastAsia" w:ascii="宋体" w:hAnsi="宋体" w:eastAsia="方正仿宋简体" w:cs="方正仿宋简体"/>
          <w:color w:val="auto"/>
          <w:sz w:val="32"/>
          <w:szCs w:val="32"/>
          <w:highlight w:val="none"/>
          <w:u w:val="none"/>
        </w:rPr>
        <w:t>污水处理厂和村级污水处理站</w:t>
      </w:r>
      <w:r>
        <w:rPr>
          <w:rFonts w:hint="eastAsia" w:ascii="宋体" w:hAnsi="宋体" w:eastAsia="方正仿宋简体" w:cs="方正仿宋简体"/>
          <w:color w:val="auto"/>
          <w:sz w:val="32"/>
          <w:szCs w:val="32"/>
          <w:highlight w:val="none"/>
          <w:u w:val="none"/>
          <w:lang w:val="en-US" w:eastAsia="zh-CN"/>
        </w:rPr>
        <w:t>使用效率</w:t>
      </w:r>
      <w:r>
        <w:rPr>
          <w:rFonts w:hint="eastAsia" w:ascii="宋体" w:hAnsi="宋体" w:eastAsia="方正仿宋简体" w:cs="方正仿宋简体"/>
          <w:color w:val="auto"/>
          <w:sz w:val="32"/>
          <w:szCs w:val="32"/>
          <w:highlight w:val="none"/>
          <w:u w:val="none"/>
        </w:rPr>
        <w:t>，2030年农村生活污水治理</w:t>
      </w:r>
      <w:r>
        <w:rPr>
          <w:rFonts w:hint="eastAsia" w:ascii="宋体" w:hAnsi="宋体" w:eastAsia="方正仿宋简体" w:cs="方正仿宋简体"/>
          <w:color w:val="auto"/>
          <w:sz w:val="32"/>
          <w:szCs w:val="32"/>
          <w:highlight w:val="none"/>
          <w:u w:val="none"/>
          <w:lang w:eastAsia="zh-CN"/>
        </w:rPr>
        <w:t>（管控）</w:t>
      </w:r>
      <w:r>
        <w:rPr>
          <w:rFonts w:hint="eastAsia" w:ascii="宋体" w:hAnsi="宋体" w:eastAsia="方正仿宋简体" w:cs="方正仿宋简体"/>
          <w:color w:val="auto"/>
          <w:sz w:val="32"/>
          <w:szCs w:val="32"/>
          <w:highlight w:val="none"/>
          <w:u w:val="none"/>
        </w:rPr>
        <w:t>率达到</w:t>
      </w:r>
      <w:r>
        <w:rPr>
          <w:rFonts w:hint="eastAsia" w:ascii="宋体" w:hAnsi="宋体" w:eastAsia="方正仿宋简体" w:cs="方正仿宋简体"/>
          <w:color w:val="auto"/>
          <w:sz w:val="32"/>
          <w:szCs w:val="32"/>
          <w:highlight w:val="none"/>
          <w:u w:val="none"/>
          <w:lang w:val="en-US" w:eastAsia="zh-CN"/>
        </w:rPr>
        <w:t>65</w:t>
      </w:r>
      <w:r>
        <w:rPr>
          <w:rFonts w:hint="eastAsia" w:ascii="宋体" w:hAnsi="宋体" w:eastAsia="方正仿宋简体" w:cs="方正仿宋简体"/>
          <w:color w:val="auto"/>
          <w:sz w:val="32"/>
          <w:szCs w:val="32"/>
          <w:highlight w:val="none"/>
          <w:u w:val="none"/>
        </w:rPr>
        <w:t>%以上。健全农村生活垃圾收运处置体系，完善“户分类、村收集、</w:t>
      </w:r>
      <w:r>
        <w:rPr>
          <w:rFonts w:hint="eastAsia" w:ascii="宋体" w:hAnsi="宋体" w:eastAsia="方正仿宋简体" w:cs="方正仿宋简体"/>
          <w:color w:val="auto"/>
          <w:sz w:val="32"/>
          <w:szCs w:val="32"/>
          <w:highlight w:val="none"/>
          <w:u w:val="none"/>
          <w:lang w:eastAsia="zh-CN"/>
        </w:rPr>
        <w:t>乡（街道）</w:t>
      </w:r>
      <w:r>
        <w:rPr>
          <w:rFonts w:hint="eastAsia" w:ascii="宋体" w:hAnsi="宋体" w:eastAsia="方正仿宋简体" w:cs="方正仿宋简体"/>
          <w:color w:val="auto"/>
          <w:sz w:val="32"/>
          <w:szCs w:val="32"/>
          <w:highlight w:val="none"/>
          <w:u w:val="none"/>
        </w:rPr>
        <w:t>转运、市处理”模式，配备足够的垃圾收集设施和转运车辆，2030年农村生活垃圾无害化处理率</w:t>
      </w:r>
      <w:r>
        <w:rPr>
          <w:rFonts w:hint="eastAsia" w:ascii="宋体" w:hAnsi="宋体" w:eastAsia="方正仿宋简体" w:cs="方正仿宋简体"/>
          <w:color w:val="auto"/>
          <w:sz w:val="32"/>
          <w:szCs w:val="32"/>
          <w:highlight w:val="none"/>
          <w:u w:val="none"/>
          <w:lang w:val="en-US" w:eastAsia="zh-CN"/>
        </w:rPr>
        <w:t>稳定在100%</w:t>
      </w:r>
      <w:r>
        <w:rPr>
          <w:rFonts w:hint="eastAsia" w:ascii="宋体" w:hAnsi="宋体" w:eastAsia="方正仿宋简体" w:cs="方正仿宋简体"/>
          <w:color w:val="auto"/>
          <w:sz w:val="32"/>
          <w:szCs w:val="32"/>
          <w:highlight w:val="none"/>
          <w:u w:val="none"/>
        </w:rPr>
        <w:t>。推进农村垃圾分类处理，推广垃圾分类知识，引导农户养成垃圾分类习惯。</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rPr>
      </w:pPr>
      <w:bookmarkStart w:id="141" w:name="heading_67"/>
      <w:bookmarkStart w:id="142" w:name="OLE_LINK18"/>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lang w:val="en-US" w:eastAsia="zh-CN"/>
        </w:rPr>
        <w:t>三</w:t>
      </w:r>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楷体简体" w:cs="方正楷体简体"/>
          <w:b/>
          <w:color w:val="auto"/>
          <w:sz w:val="32"/>
          <w:szCs w:val="32"/>
          <w:highlight w:val="none"/>
          <w:u w:val="none"/>
        </w:rPr>
        <w:t>提升村容村貌</w:t>
      </w:r>
      <w:bookmarkEnd w:id="141"/>
      <w:r>
        <w:rPr>
          <w:rFonts w:hint="eastAsia" w:ascii="宋体" w:hAnsi="宋体" w:eastAsia="方正楷体简体" w:cs="方正楷体简体"/>
          <w:b/>
          <w:color w:val="auto"/>
          <w:sz w:val="32"/>
          <w:szCs w:val="32"/>
          <w:highlight w:val="none"/>
          <w:u w:val="none"/>
          <w:lang w:eastAsia="zh-CN"/>
        </w:rPr>
        <w:t>。</w:t>
      </w:r>
      <w:r>
        <w:rPr>
          <w:rFonts w:hint="eastAsia" w:ascii="宋体" w:hAnsi="宋体" w:eastAsia="方正仿宋简体" w:cs="方正仿宋简体"/>
          <w:color w:val="auto"/>
          <w:sz w:val="32"/>
          <w:szCs w:val="32"/>
          <w:highlight w:val="none"/>
          <w:u w:val="none"/>
        </w:rPr>
        <w:t>大力实施村庄绿化、亮化、美化提升工程，常态化开展村庄清洁行动，集中整治村内乱堆乱放、乱搭乱建等突出问题，有序治理村庄河道、沟渠，持续改善人居环境，着力打造特色精品村庄。注重保护传统村落、民族民居与历史文化遗存，留住乡土底色，原汁原味保留乡村风貌。</w:t>
      </w:r>
    </w:p>
    <w:bookmarkEnd w:id="142"/>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eastAsia="黑体" w:cs="黑体"/>
          <w:b w:val="0"/>
          <w:bCs/>
          <w:color w:val="auto"/>
          <w:sz w:val="32"/>
          <w:szCs w:val="32"/>
          <w:highlight w:val="none"/>
          <w:u w:val="none"/>
          <w:lang w:val="en-US" w:eastAsia="zh-CN"/>
        </w:rPr>
      </w:pPr>
      <w:bookmarkStart w:id="143" w:name="_Toc18440_WPSOffice_Level2"/>
      <w:bookmarkStart w:id="144" w:name="heading_68"/>
      <w:r>
        <w:rPr>
          <w:rFonts w:hint="eastAsia" w:ascii="宋体" w:hAnsi="宋体" w:eastAsia="黑体" w:cs="黑体"/>
          <w:b w:val="0"/>
          <w:bCs/>
          <w:color w:val="auto"/>
          <w:sz w:val="32"/>
          <w:szCs w:val="32"/>
          <w:highlight w:val="none"/>
          <w:u w:val="none"/>
          <w:lang w:val="en-US" w:eastAsia="zh-CN"/>
        </w:rPr>
        <w:t>第三节 提升城乡基本公共服务水平</w:t>
      </w:r>
      <w:bookmarkEnd w:id="143"/>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val="en-US" w:eastAsia="zh-CN"/>
        </w:rPr>
        <w:t>（一）优化农村教育资源配置。</w:t>
      </w:r>
      <w:r>
        <w:rPr>
          <w:rFonts w:hint="eastAsia" w:ascii="宋体" w:hAnsi="宋体" w:eastAsia="方正仿宋简体" w:cs="方正仿宋简体"/>
          <w:color w:val="auto"/>
          <w:sz w:val="32"/>
          <w:szCs w:val="32"/>
          <w:highlight w:val="none"/>
          <w:u w:val="none"/>
          <w:lang w:val="en-US" w:eastAsia="zh-CN"/>
        </w:rPr>
        <w:t>办好乡村学校、幼儿园，改善提升乡（街道）寄宿制学校办学条件和管理水平，推动市域义务教育优质均衡发展。加强市域教师队伍统筹配置，建立适应学龄人口变化的师资动态调节机制，提升乡村教师队伍能力素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val="en-US" w:eastAsia="zh-CN"/>
        </w:rPr>
        <w:t>（二）提升农村医疗卫生服务水平。</w:t>
      </w:r>
      <w:r>
        <w:rPr>
          <w:rFonts w:hint="eastAsia" w:ascii="宋体" w:hAnsi="宋体" w:eastAsia="方正仿宋简体" w:cs="方正仿宋简体"/>
          <w:color w:val="auto"/>
          <w:sz w:val="32"/>
          <w:szCs w:val="32"/>
          <w:highlight w:val="none"/>
          <w:u w:val="none"/>
          <w:lang w:val="en-US" w:eastAsia="zh-CN"/>
        </w:rPr>
        <w:t>深化医疗卫生资源下沉，因地制宜完善农村医疗卫生机构布局，加强基层医疗卫生机构运行保障，实施医疗卫生“强基工程”，办好乡村医疗卫生机构，提升基层医疗机构标准化水平，推进紧密型市域医共体建设。持续实施大学生乡村医生专项计划，提高村医队伍中具备执业（助理）医师资格人员比例。落实基本医保参保长效机制，稳步提高医保基金在市乡村医疗卫生机构使用比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z w:val="32"/>
          <w:szCs w:val="32"/>
          <w:highlight w:val="none"/>
          <w:u w:val="none"/>
        </w:rPr>
      </w:pPr>
      <w:r>
        <w:rPr>
          <w:rFonts w:hint="eastAsia" w:ascii="宋体" w:hAnsi="宋体" w:eastAsia="方正楷体简体" w:cs="方正楷体简体"/>
          <w:b/>
          <w:bCs/>
          <w:color w:val="auto"/>
          <w:sz w:val="32"/>
          <w:szCs w:val="32"/>
          <w:highlight w:val="none"/>
          <w:u w:val="none"/>
          <w:lang w:val="en-US" w:eastAsia="zh-CN"/>
        </w:rPr>
        <w:t>（三）加大农村养老服务多元化供给。</w:t>
      </w:r>
      <w:r>
        <w:rPr>
          <w:rFonts w:hint="eastAsia" w:ascii="宋体" w:hAnsi="宋体" w:eastAsia="方正仿宋简体" w:cs="方正仿宋简体"/>
          <w:color w:val="auto"/>
          <w:sz w:val="32"/>
          <w:szCs w:val="32"/>
          <w:highlight w:val="none"/>
          <w:u w:val="none"/>
          <w:lang w:val="en-US" w:eastAsia="zh-CN"/>
        </w:rPr>
        <w:t>健全市乡村三级养老服务网络，以居家养老为基础，大力发展互助性养老服务。支持有条件的乡（街道）敬老院、农村幸福大院、优质民办养老机构转型区域养老服务中心，统筹发展村级互助性养老服务站点，灵活设置日间照料、老年助餐等功能。加强对农村孤寡老人、困境儿童、残疾人、精神障碍人员等的探访关爱。</w:t>
      </w:r>
    </w:p>
    <w:p>
      <w:pPr>
        <w:keepNext w:val="0"/>
        <w:keepLines w:val="0"/>
        <w:widowControl/>
        <w:suppressLineNumbers w:val="0"/>
        <w:jc w:val="center"/>
        <w:rPr>
          <w:rFonts w:hint="eastAsia" w:ascii="宋体" w:hAnsi="宋体" w:eastAsia="黑体" w:cs="黑体"/>
          <w:b w:val="0"/>
          <w:bCs/>
          <w:color w:val="auto"/>
          <w:highlight w:val="none"/>
          <w:u w:val="none"/>
        </w:rPr>
      </w:pPr>
      <w:bookmarkStart w:id="145" w:name="_Toc6436_WPSOffice_Level2"/>
      <w:r>
        <w:rPr>
          <w:rFonts w:hint="eastAsia" w:ascii="宋体" w:hAnsi="宋体" w:eastAsia="黑体" w:cs="黑体"/>
          <w:color w:val="auto"/>
          <w:sz w:val="32"/>
          <w:szCs w:val="32"/>
          <w:highlight w:val="none"/>
          <w:u w:val="none"/>
          <w:lang w:eastAsia="zh-CN"/>
        </w:rPr>
        <w:t>第四节</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b w:val="0"/>
          <w:bCs/>
          <w:color w:val="auto"/>
          <w:kern w:val="0"/>
          <w:sz w:val="31"/>
          <w:szCs w:val="31"/>
          <w:highlight w:val="none"/>
          <w:u w:val="none"/>
          <w:lang w:val="en-US" w:eastAsia="zh-CN" w:bidi="ar"/>
        </w:rPr>
        <w:t>深入推进农村精神文明建设</w:t>
      </w:r>
      <w:bookmarkEnd w:id="145"/>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（一）铸牢中华民族共同体意识。</w:t>
      </w:r>
      <w:r>
        <w:rPr>
          <w:rFonts w:hint="eastAsia" w:ascii="宋体" w:hAnsi="宋体" w:eastAsia="方正仿宋简体" w:cs="方正仿宋简体"/>
          <w:color w:val="auto"/>
          <w:sz w:val="32"/>
          <w:szCs w:val="32"/>
          <w:highlight w:val="none"/>
          <w:u w:val="none"/>
          <w:lang w:val="en-US" w:eastAsia="zh-CN"/>
        </w:rPr>
        <w:t>以铸牢中华民族共同体意识为主线，融入农村精神文明建设全过程，推动民族理论政策进村入户。深化民族团结进步创建，促进各民族共居共学、共建共享。挖掘各民族共有文化资源，依托文明实践站等阵地，通过群众喜闻乐见的形式，普及民族团结知识，凝聚共同体理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（二）培育涵养现代文明乡风。</w:t>
      </w:r>
      <w:r>
        <w:rPr>
          <w:rFonts w:hint="eastAsia" w:ascii="宋体" w:hAnsi="宋体" w:eastAsia="方正仿宋简体" w:cs="方正仿宋简体"/>
          <w:color w:val="auto"/>
          <w:sz w:val="32"/>
          <w:szCs w:val="32"/>
          <w:highlight w:val="none"/>
          <w:u w:val="none"/>
          <w:lang w:val="en-US" w:eastAsia="zh-CN"/>
        </w:rPr>
        <w:t>修订完善村规民约，充实民族团结、环境整治等内容，引导群众自我管理。专项整治高价彩礼、大操大办等陋习，倡导文明节俭风尚。开展“文明家庭”等评选活动，发挥榜样示范作用，弘扬优良家风，加强思想道德建设，引导群众树立正确三观，提升文明素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（三）丰富农村文化产品和服务供给。</w:t>
      </w:r>
      <w:r>
        <w:rPr>
          <w:rFonts w:hint="eastAsia" w:ascii="宋体" w:hAnsi="宋体" w:eastAsia="方正仿宋简体" w:cs="方正仿宋简体"/>
          <w:color w:val="auto"/>
          <w:sz w:val="32"/>
          <w:szCs w:val="32"/>
          <w:highlight w:val="none"/>
          <w:u w:val="none"/>
          <w:lang w:val="en-US" w:eastAsia="zh-CN"/>
        </w:rPr>
        <w:t>健全市乡村三级公共文化服务体系，推动资源下沉，完善乡（街道）综合文化站、村级文化服务中心功能。组织开展文艺汇演、民俗活动等群众喜爱的文化活动，传承地方文化。挖掘乡村特色文化资源，培育文化创意、乡村旅游等新业态，加强乡村文化人才队伍建设，激发文化发展内生动力。</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eastAsia="黑体" w:cs="黑体"/>
          <w:b w:val="0"/>
          <w:bCs/>
          <w:color w:val="auto"/>
          <w:sz w:val="32"/>
          <w:szCs w:val="32"/>
          <w:highlight w:val="none"/>
          <w:u w:val="none"/>
          <w:lang w:eastAsia="zh-CN"/>
        </w:rPr>
      </w:pPr>
      <w:bookmarkStart w:id="146" w:name="_Toc17862_WPSOffice_Level2"/>
      <w:r>
        <w:rPr>
          <w:rFonts w:hint="eastAsia" w:ascii="宋体" w:hAnsi="宋体" w:eastAsia="黑体" w:cs="黑体"/>
          <w:color w:val="auto"/>
          <w:sz w:val="32"/>
          <w:szCs w:val="32"/>
          <w:highlight w:val="none"/>
          <w:u w:val="none"/>
          <w:lang w:eastAsia="zh-CN"/>
        </w:rPr>
        <w:t>第五节</w:t>
      </w:r>
      <w:r>
        <w:rPr>
          <w:rFonts w:hint="eastAsia" w:ascii="宋体" w:hAnsi="宋体" w:eastAsia="黑体" w:cs="黑体"/>
          <w:color w:val="auto"/>
          <w:sz w:val="32"/>
          <w:szCs w:val="32"/>
          <w:highlight w:val="none"/>
          <w:u w:val="none"/>
          <w:lang w:val="en-US" w:eastAsia="zh-CN"/>
        </w:rPr>
        <w:t xml:space="preserve"> </w:t>
      </w:r>
      <w:r>
        <w:rPr>
          <w:rFonts w:hint="eastAsia" w:ascii="宋体" w:hAnsi="宋体" w:eastAsia="黑体" w:cs="黑体"/>
          <w:b w:val="0"/>
          <w:bCs/>
          <w:color w:val="auto"/>
          <w:sz w:val="32"/>
          <w:szCs w:val="32"/>
          <w:highlight w:val="none"/>
          <w:u w:val="none"/>
          <w:lang w:val="en-US" w:eastAsia="zh-CN"/>
        </w:rPr>
        <w:t>提高党建引领乡村治理效能</w:t>
      </w:r>
      <w:bookmarkEnd w:id="146"/>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（一）加强农村基层党组织建设。</w:t>
      </w:r>
      <w:r>
        <w:rPr>
          <w:rFonts w:hint="eastAsia" w:ascii="宋体" w:hAnsi="宋体" w:eastAsia="方正仿宋简体" w:cs="方正仿宋简体"/>
          <w:color w:val="auto"/>
          <w:sz w:val="32"/>
          <w:szCs w:val="32"/>
          <w:highlight w:val="none"/>
          <w:u w:val="none"/>
          <w:lang w:val="en-US" w:eastAsia="zh-CN"/>
        </w:rPr>
        <w:t>健全以党组织为核心的乡村组织体系，充分发挥基层党组织领导核心作用，构建完善“党组织引领、多方协同参与”治理组织架构。压紧压实乡（街道）党（工）委统筹统领职责，创新基层党组织活动载体与开展形式，纵深推进基层党组织标准化规范化提质建设，从严抓实农村党员队伍教育管理。健全党组织领导下的自治、法治、德治有机融合的基层治理体系，依托“伊犁人的奶茶会”等基层群众协商议事平台，持续拓宽群众民主参与基层治理渠道。推动党建与特色主导产业发展深度融合，组建产业链联合党组织，强化党组织政治引领功能，健全完善企农利益联结机</w:t>
      </w:r>
      <w:r>
        <w:rPr>
          <w:rFonts w:hint="eastAsia" w:ascii="宋体" w:hAnsi="宋体" w:eastAsia="方正仿宋简体" w:cs="方正仿宋简体"/>
          <w:color w:val="auto"/>
          <w:spacing w:val="-20"/>
          <w:sz w:val="32"/>
          <w:szCs w:val="32"/>
          <w:highlight w:val="none"/>
          <w:u w:val="none"/>
          <w:lang w:val="en-US" w:eastAsia="zh-CN"/>
        </w:rPr>
        <w:t>制，促进农民持续稳定增收，以高质量党建引领乡村全面振兴。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（二）维护农村社会稳定安宁。</w:t>
      </w:r>
      <w:bookmarkStart w:id="147" w:name="OLE_LINK17"/>
      <w:r>
        <w:rPr>
          <w:rFonts w:hint="eastAsia" w:ascii="宋体" w:hAnsi="宋体" w:eastAsia="方正仿宋简体" w:cs="方正仿宋简体"/>
          <w:color w:val="auto"/>
          <w:sz w:val="32"/>
          <w:szCs w:val="32"/>
          <w:highlight w:val="none"/>
          <w:u w:val="none"/>
          <w:lang w:val="en-US" w:eastAsia="zh-CN"/>
        </w:rPr>
        <w:t>深入推进反恐维稳法治化常态化，提升宗教事务治理法治化水平。</w:t>
      </w:r>
      <w:bookmarkEnd w:id="147"/>
      <w:r>
        <w:rPr>
          <w:rFonts w:hint="eastAsia" w:ascii="宋体" w:hAnsi="宋体" w:eastAsia="方正仿宋简体" w:cs="方正仿宋简体"/>
          <w:color w:val="auto"/>
          <w:sz w:val="32"/>
          <w:szCs w:val="32"/>
          <w:highlight w:val="none"/>
          <w:u w:val="none"/>
          <w:lang w:val="en-US" w:eastAsia="zh-CN"/>
        </w:rPr>
        <w:t>坚持和发展新时代“枫桥经验”，强化农村矛盾纠纷源头排查化解。完善农村基层公共法律服务体系，打造农村法治宣传教育基地。深化扫黑除恶专项斗争。规范村民自治组织，加强基层群团组织建设。发挥党员干部带头和村规民约引导作用。探索务实管用的乡村治理方式。抓好农业农村领域安全生产。加强市乡村应急管理和消防安全体系建设。</w:t>
      </w:r>
    </w:p>
    <w:p>
      <w:pPr>
        <w:keepNext w:val="0"/>
        <w:keepLines w:val="0"/>
        <w:widowControl/>
        <w:suppressLineNumbers w:val="0"/>
        <w:ind w:firstLine="620" w:firstLineChars="200"/>
        <w:jc w:val="both"/>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ind w:firstLine="620" w:firstLineChars="200"/>
        <w:jc w:val="both"/>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both"/>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center"/>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center"/>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center"/>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center"/>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center"/>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center"/>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center"/>
        <w:rPr>
          <w:rFonts w:hint="eastAsia" w:ascii="宋体" w:hAnsi="宋体" w:eastAsia="黑体" w:cs="黑体"/>
          <w:color w:val="auto"/>
          <w:kern w:val="0"/>
          <w:sz w:val="31"/>
          <w:szCs w:val="31"/>
          <w:highlight w:val="none"/>
          <w:u w:val="none"/>
          <w:lang w:val="en-US" w:eastAsia="zh-CN" w:bidi="ar"/>
        </w:rPr>
      </w:pPr>
    </w:p>
    <w:p>
      <w:pPr>
        <w:keepNext w:val="0"/>
        <w:keepLines w:val="0"/>
        <w:widowControl/>
        <w:suppressLineNumbers w:val="0"/>
        <w:jc w:val="center"/>
        <w:rPr>
          <w:rFonts w:hint="eastAsia" w:ascii="宋体" w:hAnsi="宋体" w:eastAsia="黑体" w:cs="黑体"/>
          <w:color w:val="auto"/>
          <w:sz w:val="32"/>
          <w:szCs w:val="32"/>
          <w:highlight w:val="none"/>
          <w:u w:val="none"/>
          <w:lang w:val="en-US" w:eastAsia="zh-CN"/>
        </w:rPr>
      </w:pPr>
      <w:bookmarkStart w:id="148" w:name="_Toc7503_WPSOffice_Level1"/>
      <w:r>
        <w:rPr>
          <w:rFonts w:hint="eastAsia" w:ascii="宋体" w:hAnsi="宋体" w:eastAsia="黑体" w:cs="黑体"/>
          <w:color w:val="auto"/>
          <w:kern w:val="0"/>
          <w:sz w:val="31"/>
          <w:szCs w:val="31"/>
          <w:highlight w:val="none"/>
          <w:u w:val="none"/>
          <w:lang w:val="en-US" w:eastAsia="zh-CN" w:bidi="ar"/>
        </w:rPr>
        <w:t>第七章</w:t>
      </w:r>
      <w:bookmarkEnd w:id="144"/>
      <w:r>
        <w:rPr>
          <w:rFonts w:hint="eastAsia" w:ascii="宋体" w:hAnsi="宋体" w:eastAsia="黑体" w:cs="黑体"/>
          <w:color w:val="auto"/>
          <w:kern w:val="0"/>
          <w:sz w:val="31"/>
          <w:szCs w:val="31"/>
          <w:highlight w:val="none"/>
          <w:u w:val="none"/>
          <w:lang w:val="en-US" w:eastAsia="zh-CN" w:bidi="ar"/>
        </w:rPr>
        <w:t xml:space="preserve"> </w:t>
      </w:r>
      <w:r>
        <w:rPr>
          <w:rFonts w:hint="eastAsia" w:ascii="宋体" w:hAnsi="宋体" w:eastAsia="黑体" w:cs="黑体"/>
          <w:color w:val="auto"/>
          <w:sz w:val="32"/>
          <w:szCs w:val="32"/>
          <w:highlight w:val="none"/>
          <w:u w:val="none"/>
          <w:lang w:val="en-US" w:eastAsia="zh-CN"/>
        </w:rPr>
        <w:t>健全常态化精准帮扶机制 奋力拓展脱贫攻坚成果</w:t>
      </w:r>
      <w:bookmarkEnd w:id="14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黑体" w:cs="黑体"/>
          <w:color w:val="auto"/>
          <w:sz w:val="32"/>
          <w:szCs w:val="32"/>
          <w:highlight w:val="none"/>
          <w:u w:val="none"/>
          <w:lang w:val="en-US" w:eastAsia="zh-CN"/>
        </w:rPr>
      </w:pPr>
      <w:bookmarkStart w:id="149" w:name="_Toc12978_WPSOffice_Level2"/>
      <w:r>
        <w:rPr>
          <w:rFonts w:hint="eastAsia" w:ascii="宋体" w:hAnsi="宋体" w:eastAsia="黑体" w:cs="黑体"/>
          <w:b w:val="0"/>
          <w:bCs/>
          <w:color w:val="auto"/>
          <w:sz w:val="32"/>
          <w:szCs w:val="32"/>
          <w:highlight w:val="none"/>
          <w:u w:val="none"/>
          <w:lang w:val="en-US" w:eastAsia="zh-CN"/>
        </w:rPr>
        <w:t xml:space="preserve">第一节 </w:t>
      </w:r>
      <w:r>
        <w:rPr>
          <w:rFonts w:hint="eastAsia" w:ascii="宋体" w:hAnsi="宋体" w:eastAsia="黑体" w:cs="黑体"/>
          <w:color w:val="auto"/>
          <w:sz w:val="32"/>
          <w:szCs w:val="32"/>
          <w:highlight w:val="none"/>
          <w:u w:val="none"/>
          <w:lang w:val="en-US" w:eastAsia="zh-CN"/>
        </w:rPr>
        <w:t>强化监测帮扶精准性时效性</w:t>
      </w:r>
      <w:bookmarkEnd w:id="14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黑体" w:cs="黑体"/>
          <w:color w:val="auto"/>
          <w:sz w:val="32"/>
          <w:szCs w:val="32"/>
          <w:highlight w:val="none"/>
          <w:u w:val="none"/>
          <w:lang w:val="en-US" w:eastAsia="zh-CN"/>
        </w:rPr>
      </w:pPr>
      <w:bookmarkStart w:id="150" w:name="OLE_LINK6"/>
      <w:r>
        <w:rPr>
          <w:rFonts w:hint="eastAsia" w:ascii="宋体" w:hAnsi="宋体" w:eastAsia="方正楷体简体" w:cs="方正楷体简体"/>
          <w:b/>
          <w:bCs/>
          <w:color w:val="auto"/>
          <w:sz w:val="32"/>
          <w:szCs w:val="32"/>
          <w:highlight w:val="none"/>
          <w:u w:val="none"/>
          <w:lang w:val="en-US" w:eastAsia="zh-CN"/>
        </w:rPr>
        <w:t>（一）常态化做好监测识别。</w:t>
      </w:r>
      <w:r>
        <w:rPr>
          <w:rFonts w:hint="eastAsia" w:ascii="宋体" w:hAnsi="宋体" w:eastAsia="方正仿宋简体" w:cs="方正仿宋简体"/>
          <w:color w:val="auto"/>
          <w:sz w:val="32"/>
          <w:szCs w:val="32"/>
          <w:highlight w:val="none"/>
          <w:u w:val="none"/>
          <w:lang w:val="en-US" w:eastAsia="zh-CN"/>
        </w:rPr>
        <w:t>聚焦防止返贫致贫对象、脱贫人口等重点群体，严格落实自治区认定标准。健全农户自主申报、部门大数据预警、干部日常排查相结合的监测预警体系，完善快速识别响应机制。统筹开展防返贫与社会救助对象监测识别，推进信息采集、数据比对、分类认定，减轻基层工作负担。对建档立卡脱贫人口实行分类管理，结合帮扶成效及自我发展能力，对存在返贫风险的持续落实帮扶措施。</w:t>
      </w:r>
    </w:p>
    <w:bookmarkEnd w:id="150"/>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黑体" w:cs="黑体"/>
          <w:color w:val="auto"/>
          <w:sz w:val="32"/>
          <w:szCs w:val="32"/>
          <w:highlight w:val="none"/>
          <w:u w:val="none"/>
          <w:lang w:val="en-US" w:eastAsia="zh-CN"/>
        </w:rPr>
      </w:pPr>
      <w:bookmarkStart w:id="151" w:name="OLE_LINK7"/>
      <w:r>
        <w:rPr>
          <w:rFonts w:hint="eastAsia" w:ascii="宋体" w:hAnsi="宋体" w:eastAsia="方正楷体简体" w:cs="方正楷体简体"/>
          <w:b/>
          <w:bCs/>
          <w:color w:val="auto"/>
          <w:sz w:val="32"/>
          <w:szCs w:val="32"/>
          <w:highlight w:val="none"/>
          <w:u w:val="none"/>
          <w:lang w:val="en-US" w:eastAsia="zh-CN"/>
        </w:rPr>
        <w:t>（二）建立精准帮扶和动态调整机制。</w:t>
      </w:r>
      <w:r>
        <w:rPr>
          <w:rFonts w:hint="eastAsia" w:ascii="宋体" w:hAnsi="宋体" w:eastAsia="方正仿宋简体" w:cs="方正仿宋简体"/>
          <w:color w:val="auto"/>
          <w:sz w:val="32"/>
          <w:szCs w:val="32"/>
          <w:highlight w:val="none"/>
          <w:u w:val="none"/>
          <w:lang w:val="en-US" w:eastAsia="zh-CN"/>
        </w:rPr>
        <w:t>常态化排查脱贫户、监测对象生产生活变化，动态优化完善“一户一策”帮扶举措，实现帮扶措施覆盖率100%。落实缺项补短板，强化社会救助兜底，持续巩固“三保障”及饮水安全成果，确保农村义务教育巩固率达98%以上，防返贫对象基本医保参保率稳定在99%以上，农村住房安全保障率100%，自来水普及率稳定在100%以上。落实帮扶对象动态调整办法，实行有进有出管理，做好脱贫人口分类评估，稳妥推进政策退出，杜绝身份固化，防范“等靠要”思想。</w:t>
      </w:r>
    </w:p>
    <w:bookmarkEnd w:id="151"/>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黑体" w:cs="黑体"/>
          <w:color w:val="auto"/>
          <w:sz w:val="32"/>
          <w:szCs w:val="32"/>
          <w:highlight w:val="none"/>
          <w:u w:val="none"/>
          <w:lang w:val="en-US" w:eastAsia="zh-CN"/>
        </w:rPr>
      </w:pPr>
      <w:bookmarkStart w:id="152" w:name="_Toc23401_WPSOffice_Level2"/>
      <w:bookmarkStart w:id="153" w:name="OLE_LINK8"/>
      <w:r>
        <w:rPr>
          <w:rFonts w:hint="eastAsia" w:ascii="宋体" w:hAnsi="宋体" w:eastAsia="黑体" w:cs="黑体"/>
          <w:b w:val="0"/>
          <w:bCs/>
          <w:color w:val="auto"/>
          <w:sz w:val="32"/>
          <w:szCs w:val="32"/>
          <w:highlight w:val="none"/>
          <w:u w:val="none"/>
          <w:lang w:val="en-US" w:eastAsia="zh-CN"/>
        </w:rPr>
        <w:t>第</w:t>
      </w:r>
      <w:r>
        <w:rPr>
          <w:rFonts w:hint="eastAsia" w:ascii="宋体" w:hAnsi="宋体" w:eastAsia="黑体" w:cs="黑体"/>
          <w:color w:val="auto"/>
          <w:sz w:val="32"/>
          <w:szCs w:val="32"/>
          <w:highlight w:val="none"/>
          <w:u w:val="none"/>
          <w:lang w:val="en-US" w:eastAsia="zh-CN"/>
        </w:rPr>
        <w:t>二</w:t>
      </w:r>
      <w:r>
        <w:rPr>
          <w:rFonts w:hint="eastAsia" w:ascii="宋体" w:hAnsi="宋体" w:eastAsia="黑体" w:cs="黑体"/>
          <w:b w:val="0"/>
          <w:bCs/>
          <w:color w:val="auto"/>
          <w:sz w:val="32"/>
          <w:szCs w:val="32"/>
          <w:highlight w:val="none"/>
          <w:u w:val="none"/>
          <w:lang w:val="en-US" w:eastAsia="zh-CN"/>
        </w:rPr>
        <w:t xml:space="preserve">节 </w:t>
      </w:r>
      <w:r>
        <w:rPr>
          <w:rFonts w:hint="eastAsia" w:ascii="宋体" w:hAnsi="宋体" w:eastAsia="黑体" w:cs="黑体"/>
          <w:color w:val="auto"/>
          <w:sz w:val="32"/>
          <w:szCs w:val="32"/>
          <w:highlight w:val="none"/>
          <w:u w:val="none"/>
          <w:lang w:val="en-US" w:eastAsia="zh-CN"/>
        </w:rPr>
        <w:t>强化产业帮扶</w:t>
      </w:r>
      <w:bookmarkEnd w:id="15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黑体" w:cs="黑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（一）推动帮扶产业提质增效。</w:t>
      </w:r>
      <w:r>
        <w:rPr>
          <w:rFonts w:hint="eastAsia" w:ascii="宋体" w:hAnsi="宋体" w:eastAsia="方正仿宋简体" w:cs="方正仿宋简体"/>
          <w:color w:val="auto"/>
          <w:sz w:val="32"/>
          <w:szCs w:val="32"/>
          <w:highlight w:val="none"/>
          <w:u w:val="none"/>
          <w:lang w:val="en-US" w:eastAsia="zh-CN"/>
        </w:rPr>
        <w:t>优化产业帮扶实施路径，强化帮扶产业项目运行监测研判，分类推进现有产业巩固提升、盘活优化，对条件成熟的开展全产业链开发，培育市场竞争力较强的特色帮扶产业。精准落实到户奖补政策，扶持有意愿、有能力的重点帮扶群体发展家庭经营项目。</w:t>
      </w:r>
    </w:p>
    <w:bookmarkEnd w:id="153"/>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黑体" w:cs="黑体"/>
          <w:color w:val="auto"/>
          <w:sz w:val="32"/>
          <w:szCs w:val="32"/>
          <w:highlight w:val="none"/>
          <w:u w:val="none"/>
          <w:lang w:val="en-US" w:eastAsia="zh-CN"/>
        </w:rPr>
      </w:pPr>
      <w:bookmarkStart w:id="154" w:name="OLE_LINK9"/>
      <w:r>
        <w:rPr>
          <w:rFonts w:hint="eastAsia" w:ascii="宋体" w:hAnsi="宋体" w:eastAsia="方正楷体简体" w:cs="方正楷体简体"/>
          <w:b/>
          <w:bCs/>
          <w:color w:val="auto"/>
          <w:sz w:val="32"/>
          <w:szCs w:val="32"/>
          <w:highlight w:val="none"/>
          <w:u w:val="none"/>
          <w:lang w:val="en-US" w:eastAsia="zh-CN"/>
        </w:rPr>
        <w:t>（二）强化帮扶项目资产管理。</w:t>
      </w:r>
      <w:r>
        <w:rPr>
          <w:rFonts w:hint="eastAsia" w:ascii="宋体" w:hAnsi="宋体" w:eastAsia="方正仿宋简体" w:cs="方正仿宋简体"/>
          <w:color w:val="auto"/>
          <w:sz w:val="32"/>
          <w:szCs w:val="32"/>
          <w:highlight w:val="none"/>
          <w:u w:val="none"/>
          <w:lang w:val="en-US" w:eastAsia="zh-CN"/>
        </w:rPr>
        <w:t>严格对标国家、自治区、自治州帮扶项目资产长效管理要求，结合实际细化配套管理举措，抓实资产形成、确权移交、管护运营、收益分配全流程监管。依托防返贫监测信息系统动态更新资产信息，建立规范台账，将确权资产纳入国有或农村集体资产监管体系。分类施策盘活闲置经营性资产，健全联农带农利益联结机制，依规处置各类资产，切实防范资产流失，保障群众合法收益。</w:t>
      </w:r>
    </w:p>
    <w:bookmarkEnd w:id="154"/>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方正仿宋简体" w:cs="方正仿宋简体"/>
          <w:color w:val="auto"/>
          <w:sz w:val="32"/>
          <w:szCs w:val="32"/>
          <w:highlight w:val="none"/>
          <w:u w:val="none"/>
          <w:lang w:val="en-US" w:eastAsia="zh-CN"/>
        </w:rPr>
      </w:pPr>
      <w:bookmarkStart w:id="155" w:name="_Toc31486_WPSOffice_Level2"/>
      <w:bookmarkStart w:id="156" w:name="OLE_LINK10"/>
      <w:r>
        <w:rPr>
          <w:rFonts w:hint="eastAsia" w:ascii="宋体" w:hAnsi="宋体" w:eastAsia="黑体" w:cs="黑体"/>
          <w:color w:val="auto"/>
          <w:sz w:val="32"/>
          <w:szCs w:val="32"/>
          <w:highlight w:val="none"/>
          <w:u w:val="none"/>
          <w:lang w:val="en-US" w:eastAsia="zh-CN"/>
        </w:rPr>
        <w:t>第三节 提升就业帮扶质效</w:t>
      </w:r>
      <w:bookmarkEnd w:id="15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（一）抓实技能赋能</w:t>
      </w:r>
      <w:r>
        <w:rPr>
          <w:rFonts w:hint="eastAsia" w:ascii="宋体" w:hAnsi="宋体" w:eastAsia="方正仿宋简体" w:cs="方正仿宋简体"/>
          <w:color w:val="auto"/>
          <w:sz w:val="32"/>
          <w:szCs w:val="32"/>
          <w:highlight w:val="none"/>
          <w:u w:val="none"/>
          <w:lang w:val="en-US" w:eastAsia="zh-CN"/>
        </w:rPr>
        <w:t>。深入开展各类职业技能培训，推动培训内容贴合市场岗位需求。用好“雨露计划+”就业促进项目，扶持重点帮扶家庭新成长劳动力参与职业培训，常态化推进“志智双扶”，推行订单式培训、定向输送模式，大力培育乡村工匠，扶持发展特色手工产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楷体简体" w:cs="方正楷体简体"/>
          <w:b/>
          <w:bCs/>
          <w:color w:val="auto"/>
          <w:sz w:val="32"/>
          <w:szCs w:val="32"/>
          <w:highlight w:val="none"/>
          <w:u w:val="none"/>
          <w:lang w:val="en-US" w:eastAsia="zh-CN"/>
        </w:rPr>
        <w:t>（二）拓宽就业渠道。</w:t>
      </w:r>
      <w:r>
        <w:rPr>
          <w:rFonts w:hint="eastAsia" w:ascii="宋体" w:hAnsi="宋体" w:eastAsia="方正仿宋简体" w:cs="方正仿宋简体"/>
          <w:color w:val="auto"/>
          <w:sz w:val="32"/>
          <w:szCs w:val="32"/>
          <w:highlight w:val="none"/>
          <w:u w:val="none"/>
          <w:lang w:val="en-US" w:eastAsia="zh-CN"/>
        </w:rPr>
        <w:t>统筹外出务工与就地就近就业，落实务工交通补贴等扶持政策，提升务工规模与质量。规范乡村公益性岗位管理，兜底安置弱半劳动力。做好高校毕业生就业帮扶，确保有劳动能力的重点帮扶家庭至少1人实现就业，稳步提高工资性收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3"/>
        <w:rPr>
          <w:rFonts w:hint="eastAsia" w:ascii="宋体" w:hAnsi="宋体" w:eastAsia="黑体" w:cs="黑体"/>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黑体" w:cs="黑体"/>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黑体" w:cs="黑体"/>
          <w:color w:val="auto"/>
          <w:spacing w:val="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黑体" w:cs="黑体"/>
          <w:color w:val="auto"/>
          <w:spacing w:val="0"/>
          <w:sz w:val="32"/>
          <w:szCs w:val="32"/>
          <w:highlight w:val="none"/>
          <w:u w:val="none"/>
          <w:lang w:val="en-US" w:eastAsia="zh-CN"/>
        </w:rPr>
      </w:pPr>
      <w:bookmarkStart w:id="157" w:name="_Toc11524_WPSOffice_Level1"/>
      <w:r>
        <w:rPr>
          <w:rFonts w:hint="eastAsia" w:ascii="宋体" w:hAnsi="宋体" w:eastAsia="黑体" w:cs="黑体"/>
          <w:color w:val="auto"/>
          <w:spacing w:val="0"/>
          <w:sz w:val="32"/>
          <w:szCs w:val="32"/>
          <w:highlight w:val="none"/>
          <w:u w:val="none"/>
          <w:lang w:val="en-US" w:eastAsia="zh-CN"/>
        </w:rPr>
        <w:t>第八章 全面深化农业农村改革，增强乡村发展动力活力</w:t>
      </w:r>
      <w:bookmarkEnd w:id="15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黑体" w:cs="黑体"/>
          <w:b w:val="0"/>
          <w:bCs w:val="0"/>
          <w:color w:val="auto"/>
          <w:spacing w:val="0"/>
          <w:sz w:val="32"/>
          <w:szCs w:val="32"/>
          <w:highlight w:val="none"/>
          <w:u w:val="none"/>
          <w:lang w:val="en-US" w:eastAsia="zh-CN"/>
        </w:rPr>
      </w:pPr>
      <w:bookmarkStart w:id="158" w:name="_Toc22144_WPSOffice_Level2"/>
      <w:r>
        <w:rPr>
          <w:rFonts w:hint="eastAsia" w:ascii="宋体" w:hAnsi="宋体" w:eastAsia="黑体" w:cs="黑体"/>
          <w:b w:val="0"/>
          <w:bCs/>
          <w:color w:val="auto"/>
          <w:spacing w:val="0"/>
          <w:sz w:val="32"/>
          <w:szCs w:val="32"/>
          <w:highlight w:val="none"/>
          <w:u w:val="none"/>
          <w:lang w:val="en-US" w:eastAsia="zh-CN"/>
        </w:rPr>
        <w:t>第</w:t>
      </w:r>
      <w:r>
        <w:rPr>
          <w:rFonts w:hint="eastAsia" w:ascii="宋体" w:hAnsi="宋体" w:eastAsia="黑体" w:cs="黑体"/>
          <w:b w:val="0"/>
          <w:bCs w:val="0"/>
          <w:color w:val="auto"/>
          <w:spacing w:val="0"/>
          <w:sz w:val="32"/>
          <w:szCs w:val="32"/>
          <w:highlight w:val="none"/>
          <w:u w:val="none"/>
          <w:lang w:val="en-US" w:eastAsia="zh-CN"/>
        </w:rPr>
        <w:t>一</w:t>
      </w:r>
      <w:r>
        <w:rPr>
          <w:rFonts w:hint="eastAsia" w:ascii="宋体" w:hAnsi="宋体" w:eastAsia="黑体" w:cs="黑体"/>
          <w:b w:val="0"/>
          <w:bCs/>
          <w:color w:val="auto"/>
          <w:spacing w:val="0"/>
          <w:sz w:val="32"/>
          <w:szCs w:val="32"/>
          <w:highlight w:val="none"/>
          <w:u w:val="none"/>
          <w:lang w:val="en-US" w:eastAsia="zh-CN"/>
        </w:rPr>
        <w:t xml:space="preserve">节 </w:t>
      </w:r>
      <w:r>
        <w:rPr>
          <w:rFonts w:hint="eastAsia" w:ascii="宋体" w:hAnsi="宋体" w:eastAsia="黑体" w:cs="黑体"/>
          <w:b w:val="0"/>
          <w:bCs w:val="0"/>
          <w:color w:val="auto"/>
          <w:spacing w:val="0"/>
          <w:sz w:val="32"/>
          <w:szCs w:val="32"/>
          <w:highlight w:val="none"/>
          <w:u w:val="none"/>
          <w:lang w:val="en-US" w:eastAsia="zh-CN"/>
        </w:rPr>
        <w:t>深化农村土地制度改革</w:t>
      </w:r>
      <w:bookmarkEnd w:id="15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pacing w:val="0"/>
          <w:sz w:val="32"/>
          <w:szCs w:val="32"/>
          <w:highlight w:val="none"/>
          <w:u w:val="none"/>
          <w:lang w:val="en-US" w:eastAsia="zh-CN"/>
        </w:rPr>
      </w:pPr>
      <w:r>
        <w:rPr>
          <w:rFonts w:hint="eastAsia" w:ascii="宋体" w:hAnsi="宋体" w:eastAsia="方正楷体简体" w:cs="方正楷体简体"/>
          <w:b/>
          <w:bCs/>
          <w:color w:val="auto"/>
          <w:spacing w:val="0"/>
          <w:sz w:val="32"/>
          <w:szCs w:val="32"/>
          <w:highlight w:val="none"/>
          <w:u w:val="none"/>
          <w:lang w:val="en-US" w:eastAsia="zh-CN"/>
        </w:rPr>
        <w:t>（一）稳步推进农村承包地改革。</w:t>
      </w:r>
      <w:r>
        <w:rPr>
          <w:rFonts w:hint="eastAsia" w:ascii="宋体" w:hAnsi="宋体" w:eastAsia="方正仿宋简体" w:cs="方正仿宋简体"/>
          <w:color w:val="auto"/>
          <w:spacing w:val="0"/>
          <w:sz w:val="32"/>
          <w:szCs w:val="32"/>
          <w:highlight w:val="none"/>
          <w:u w:val="none"/>
          <w:lang w:val="en-US" w:eastAsia="zh-CN"/>
        </w:rPr>
        <w:t>坚持“大稳定、小调整”，有序推进第二轮土地承包到期后再延长30年试点，确保绝大多数农户原有承包地保持稳定、顺利延包。坚持多种形式适度规模经营，规范承包地经营权流转，建立健全承包地经营权流转价格形成机制和管理服务制度，严禁通过下指标、定任务、搞考核等方式硬推土地流转，严禁通过行政命令搞整村整乡流转，坚决防范长时间大面积流转土地风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pacing w:val="0"/>
          <w:sz w:val="32"/>
          <w:szCs w:val="32"/>
          <w:highlight w:val="none"/>
          <w:u w:val="none"/>
          <w:lang w:val="en-US" w:eastAsia="zh-CN"/>
        </w:rPr>
      </w:pPr>
      <w:r>
        <w:rPr>
          <w:rFonts w:hint="eastAsia" w:ascii="宋体" w:hAnsi="宋体" w:eastAsia="方正楷体简体" w:cs="方正楷体简体"/>
          <w:b/>
          <w:bCs/>
          <w:color w:val="auto"/>
          <w:spacing w:val="0"/>
          <w:sz w:val="32"/>
          <w:szCs w:val="32"/>
          <w:highlight w:val="none"/>
          <w:u w:val="none"/>
          <w:lang w:val="en-US" w:eastAsia="zh-CN"/>
        </w:rPr>
        <w:t>（二）有序推进农村集体经营性建设用地入市改革。</w:t>
      </w:r>
      <w:r>
        <w:rPr>
          <w:rFonts w:hint="eastAsia" w:ascii="宋体" w:hAnsi="宋体" w:eastAsia="方正仿宋简体" w:cs="方正仿宋简体"/>
          <w:color w:val="auto"/>
          <w:spacing w:val="0"/>
          <w:sz w:val="32"/>
          <w:szCs w:val="32"/>
          <w:highlight w:val="none"/>
          <w:u w:val="none"/>
          <w:lang w:val="en-US" w:eastAsia="zh-CN"/>
        </w:rPr>
        <w:t>进一步依法规范农村集体用地管理，节约集约利用农村集体经营性建设用地。支持农村集体经营性建设用地入市土地优先用于发展集体经济和乡村产业。健全土地增值受益分配机制，强化农民和集体权益保护。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pacing w:val="0"/>
          <w:sz w:val="32"/>
          <w:szCs w:val="32"/>
          <w:highlight w:val="none"/>
          <w:u w:val="none"/>
          <w:lang w:val="en-US" w:eastAsia="zh-CN"/>
        </w:rPr>
      </w:pPr>
      <w:r>
        <w:rPr>
          <w:rFonts w:hint="eastAsia" w:ascii="宋体" w:hAnsi="宋体" w:eastAsia="方正楷体简体" w:cs="方正楷体简体"/>
          <w:b/>
          <w:bCs/>
          <w:color w:val="auto"/>
          <w:spacing w:val="0"/>
          <w:sz w:val="32"/>
          <w:szCs w:val="32"/>
          <w:highlight w:val="none"/>
          <w:u w:val="none"/>
          <w:lang w:val="en-US" w:eastAsia="zh-CN"/>
        </w:rPr>
        <w:t>（三）规范农村宅基地管理及利用。</w:t>
      </w:r>
      <w:r>
        <w:rPr>
          <w:rFonts w:hint="eastAsia" w:ascii="宋体" w:hAnsi="宋体" w:eastAsia="方正仿宋简体" w:cs="方正仿宋简体"/>
          <w:color w:val="auto"/>
          <w:spacing w:val="0"/>
          <w:sz w:val="32"/>
          <w:szCs w:val="32"/>
          <w:highlight w:val="none"/>
          <w:u w:val="none"/>
          <w:lang w:val="en-US" w:eastAsia="zh-CN"/>
        </w:rPr>
        <w:t>加强农村宅基地和农民建房审批管理，严查严防违法违规购买农房宅基地。探索盘活利用农村闲置宅基地和闲置住宅的有效途径，引导农户通过出租、入股、合作等方式盘活利用合法拥有的土地和闲置农房。配合完成房地一体宅基地确权登记颁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方正仿宋简体" w:cs="方正仿宋简体"/>
          <w:color w:val="auto"/>
          <w:spacing w:val="0"/>
          <w:sz w:val="32"/>
          <w:szCs w:val="32"/>
          <w:highlight w:val="none"/>
          <w:u w:val="none"/>
          <w:lang w:val="en-US" w:eastAsia="zh-CN"/>
        </w:rPr>
      </w:pPr>
      <w:bookmarkStart w:id="159" w:name="_Toc16110_WPSOffice_Level2"/>
      <w:bookmarkStart w:id="160" w:name="OLE_LINK13"/>
      <w:r>
        <w:rPr>
          <w:rFonts w:hint="eastAsia" w:ascii="宋体" w:hAnsi="宋体" w:eastAsia="黑体" w:cs="黑体"/>
          <w:color w:val="auto"/>
          <w:spacing w:val="0"/>
          <w:sz w:val="32"/>
          <w:szCs w:val="32"/>
          <w:highlight w:val="none"/>
          <w:u w:val="none"/>
          <w:lang w:val="en-US" w:eastAsia="zh-CN"/>
        </w:rPr>
        <w:t>第二节 加快培育新型农业经营主体</w:t>
      </w:r>
      <w:bookmarkEnd w:id="15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pacing w:val="0"/>
          <w:sz w:val="32"/>
          <w:szCs w:val="32"/>
          <w:highlight w:val="none"/>
          <w:u w:val="none"/>
          <w:lang w:val="en-US" w:eastAsia="zh-CN"/>
        </w:rPr>
      </w:pPr>
      <w:r>
        <w:rPr>
          <w:rFonts w:hint="eastAsia" w:ascii="宋体" w:hAnsi="宋体" w:eastAsia="方正楷体简体" w:cs="方正楷体简体"/>
          <w:b/>
          <w:bCs/>
          <w:color w:val="auto"/>
          <w:spacing w:val="0"/>
          <w:sz w:val="32"/>
          <w:szCs w:val="32"/>
          <w:highlight w:val="none"/>
          <w:u w:val="none"/>
          <w:lang w:val="en-US" w:eastAsia="zh-CN"/>
        </w:rPr>
        <w:t>（一）完善企农利益联结机制。</w:t>
      </w:r>
      <w:r>
        <w:rPr>
          <w:rFonts w:hint="eastAsia" w:ascii="宋体" w:hAnsi="宋体" w:eastAsia="方正仿宋简体" w:cs="方正仿宋简体"/>
          <w:color w:val="auto"/>
          <w:spacing w:val="0"/>
          <w:sz w:val="32"/>
          <w:szCs w:val="32"/>
          <w:highlight w:val="none"/>
          <w:u w:val="none"/>
          <w:lang w:val="en-US" w:eastAsia="zh-CN"/>
        </w:rPr>
        <w:t>把联农带农成效作为新型农业经营主体政策扶持的重要依据，推动扶持政策与农户增收挂钩，开展经营主体提质增效带动小农户增收行动。培优壮大农业龙头企业，依托“龙头企业+合作社/家庭农场+农户”模式，打造种养加工、务工分红全链条增收体系，拓宽农户产业参与渠道。引导国有企业落实保底收购、市价溢价机制，建立优质农产品收购标准，带动农户提质增产，共享增值收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pacing w:val="0"/>
          <w:sz w:val="32"/>
          <w:szCs w:val="32"/>
          <w:highlight w:val="none"/>
          <w:u w:val="none"/>
          <w:lang w:val="en-US" w:eastAsia="zh-CN"/>
        </w:rPr>
      </w:pPr>
      <w:r>
        <w:rPr>
          <w:rFonts w:hint="eastAsia" w:ascii="宋体" w:hAnsi="宋体" w:eastAsia="方正楷体简体" w:cs="方正楷体简体"/>
          <w:b/>
          <w:bCs/>
          <w:color w:val="auto"/>
          <w:spacing w:val="0"/>
          <w:sz w:val="32"/>
          <w:szCs w:val="32"/>
          <w:highlight w:val="none"/>
          <w:u w:val="none"/>
          <w:lang w:val="en-US" w:eastAsia="zh-CN"/>
        </w:rPr>
        <w:t>（二）纵深推进农垦、供销社改革。</w:t>
      </w:r>
      <w:r>
        <w:rPr>
          <w:rFonts w:hint="eastAsia" w:ascii="宋体" w:hAnsi="宋体" w:eastAsia="方正仿宋简体" w:cs="方正仿宋简体"/>
          <w:color w:val="auto"/>
          <w:spacing w:val="0"/>
          <w:sz w:val="32"/>
          <w:szCs w:val="32"/>
          <w:highlight w:val="none"/>
          <w:u w:val="none"/>
          <w:lang w:val="en-US" w:eastAsia="zh-CN"/>
        </w:rPr>
        <w:t xml:space="preserve">有序推进垦区集团化、农场企业化改革，提升农垦经营效益，理顺国有资产监管机制，规范国有农用地管理，建设现代农业与农牧产品供给基地，深化垦地融合。发挥供销社农资流通、农事服务、农产品销售、再生资源回收优势，夯实为农服务功能。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3"/>
        <w:rPr>
          <w:rFonts w:hint="eastAsia" w:ascii="宋体" w:hAnsi="宋体" w:eastAsia="黑体" w:cs="黑体"/>
          <w:color w:val="auto"/>
          <w:spacing w:val="0"/>
          <w:sz w:val="32"/>
          <w:szCs w:val="32"/>
          <w:highlight w:val="none"/>
          <w:u w:val="none"/>
          <w:lang w:val="en-US" w:eastAsia="zh-CN"/>
        </w:rPr>
      </w:pPr>
      <w:bookmarkStart w:id="161" w:name="_Toc22455_WPSOffice_Level2"/>
      <w:r>
        <w:rPr>
          <w:rFonts w:hint="eastAsia" w:ascii="宋体" w:hAnsi="宋体" w:eastAsia="黑体" w:cs="黑体"/>
          <w:b w:val="0"/>
          <w:bCs/>
          <w:color w:val="auto"/>
          <w:spacing w:val="0"/>
          <w:sz w:val="32"/>
          <w:szCs w:val="32"/>
          <w:highlight w:val="none"/>
          <w:u w:val="none"/>
          <w:lang w:val="en-US" w:eastAsia="zh-CN"/>
        </w:rPr>
        <w:t xml:space="preserve">第三节 </w:t>
      </w:r>
      <w:r>
        <w:rPr>
          <w:rFonts w:hint="eastAsia" w:ascii="宋体" w:hAnsi="宋体" w:eastAsia="黑体" w:cs="黑体"/>
          <w:color w:val="auto"/>
          <w:spacing w:val="0"/>
          <w:sz w:val="32"/>
          <w:szCs w:val="32"/>
          <w:highlight w:val="none"/>
          <w:u w:val="none"/>
          <w:lang w:val="en-US" w:eastAsia="zh-CN"/>
        </w:rPr>
        <w:t>持续深化农村集体产权制度改革</w:t>
      </w:r>
      <w:bookmarkEnd w:id="16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pacing w:val="0"/>
          <w:sz w:val="32"/>
          <w:szCs w:val="32"/>
          <w:highlight w:val="none"/>
          <w:u w:val="none"/>
          <w:lang w:val="en-US" w:eastAsia="zh-CN"/>
        </w:rPr>
      </w:pPr>
      <w:r>
        <w:rPr>
          <w:rFonts w:hint="eastAsia" w:ascii="宋体" w:hAnsi="宋体" w:eastAsia="方正楷体简体" w:cs="方正楷体简体"/>
          <w:b/>
          <w:bCs/>
          <w:color w:val="auto"/>
          <w:spacing w:val="0"/>
          <w:sz w:val="32"/>
          <w:szCs w:val="32"/>
          <w:highlight w:val="none"/>
          <w:u w:val="none"/>
          <w:lang w:val="en-US" w:eastAsia="zh-CN"/>
        </w:rPr>
        <w:t>（一）筑牢农村集体资产监管体系。</w:t>
      </w:r>
      <w:r>
        <w:rPr>
          <w:rFonts w:hint="eastAsia" w:ascii="宋体" w:hAnsi="宋体" w:eastAsia="方正仿宋简体" w:cs="方正仿宋简体"/>
          <w:color w:val="auto"/>
          <w:spacing w:val="0"/>
          <w:sz w:val="32"/>
          <w:szCs w:val="32"/>
          <w:highlight w:val="none"/>
          <w:u w:val="none"/>
          <w:lang w:val="en-US" w:eastAsia="zh-CN"/>
        </w:rPr>
        <w:t xml:space="preserve">依法管好农村新增耕地，优先保障无地、少地集体成员的承包权益，强化集体“三资”管理，巩固专项整治成效。规范农村产权交易市场建设，健全流转监管机制，盘活乡村要素资源，落实林地“三权分置”，拓宽林权增值与融资渠道。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宋体" w:hAnsi="宋体" w:eastAsia="方正仿宋简体" w:cs="方正仿宋简体"/>
          <w:color w:val="auto"/>
          <w:spacing w:val="0"/>
          <w:sz w:val="32"/>
          <w:szCs w:val="32"/>
          <w:highlight w:val="none"/>
          <w:u w:val="none"/>
          <w:lang w:val="en-US" w:eastAsia="zh-CN"/>
        </w:rPr>
      </w:pPr>
      <w:r>
        <w:rPr>
          <w:rFonts w:hint="eastAsia" w:ascii="宋体" w:hAnsi="宋体" w:eastAsia="方正楷体简体" w:cs="方正楷体简体"/>
          <w:b/>
          <w:bCs/>
          <w:color w:val="auto"/>
          <w:spacing w:val="0"/>
          <w:sz w:val="32"/>
          <w:szCs w:val="32"/>
          <w:highlight w:val="none"/>
          <w:u w:val="none"/>
          <w:lang w:val="en-US" w:eastAsia="zh-CN"/>
        </w:rPr>
        <w:t>（二）稳妥壮大新型农村集体经济。</w:t>
      </w:r>
      <w:r>
        <w:rPr>
          <w:rFonts w:hint="eastAsia" w:ascii="宋体" w:hAnsi="宋体" w:eastAsia="方正仿宋简体" w:cs="方正仿宋简体"/>
          <w:color w:val="auto"/>
          <w:spacing w:val="0"/>
          <w:sz w:val="32"/>
          <w:szCs w:val="32"/>
          <w:highlight w:val="none"/>
          <w:u w:val="none"/>
          <w:lang w:val="en-US" w:eastAsia="zh-CN"/>
        </w:rPr>
        <w:t>聚焦人才培育、产业升级、区域协同，鼓励村集体通过自营、出租、入股盘活资源，采取资源发包、物业出租、资产参股等多元模式，培育增收新业态。规范收益分配，严控经营风险与新增债务，依法推进集体经济组织规范化建设，保障集体经济健康运行。</w:t>
      </w:r>
    </w:p>
    <w:bookmarkEnd w:id="160"/>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3"/>
        <w:rPr>
          <w:rFonts w:hint="eastAsia" w:ascii="宋体" w:hAnsi="宋体" w:eastAsia="黑体" w:cs="黑体"/>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jc w:val="center"/>
        <w:textAlignment w:val="auto"/>
        <w:outlineLvl w:val="3"/>
        <w:rPr>
          <w:rFonts w:hint="eastAsia" w:ascii="宋体" w:hAnsi="宋体" w:eastAsia="黑体" w:cs="黑体"/>
          <w:color w:val="auto"/>
          <w:sz w:val="32"/>
          <w:szCs w:val="32"/>
          <w:highlight w:val="none"/>
          <w:u w:val="none"/>
          <w:lang w:val="en-US" w:eastAsia="zh-CN"/>
        </w:rPr>
      </w:pPr>
      <w:bookmarkStart w:id="162" w:name="_Toc22007_WPSOffice_Level1"/>
      <w:r>
        <w:rPr>
          <w:rFonts w:hint="eastAsia" w:ascii="宋体" w:hAnsi="宋体" w:eastAsia="黑体" w:cs="黑体"/>
          <w:color w:val="auto"/>
          <w:sz w:val="32"/>
          <w:szCs w:val="32"/>
          <w:highlight w:val="none"/>
          <w:u w:val="none"/>
          <w:lang w:val="en-US" w:eastAsia="zh-CN"/>
        </w:rPr>
        <w:t>第九章 建立健全服务保障机制，确保规划落地见效</w:t>
      </w:r>
      <w:bookmarkEnd w:id="162"/>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jc w:val="center"/>
        <w:textAlignment w:val="auto"/>
        <w:outlineLvl w:val="3"/>
        <w:rPr>
          <w:rFonts w:hint="eastAsia" w:ascii="宋体" w:hAnsi="宋体" w:eastAsia="黑体" w:cs="黑体"/>
          <w:color w:val="auto"/>
          <w:sz w:val="32"/>
          <w:szCs w:val="32"/>
          <w:highlight w:val="none"/>
          <w:u w:val="none"/>
          <w:lang w:val="en-US" w:eastAsia="zh-CN"/>
        </w:rPr>
      </w:pPr>
      <w:bookmarkStart w:id="163" w:name="_Toc3665_WPSOffice_Level2"/>
      <w:r>
        <w:rPr>
          <w:rFonts w:hint="eastAsia" w:ascii="宋体" w:hAnsi="宋体" w:eastAsia="黑体" w:cs="黑体"/>
          <w:color w:val="auto"/>
          <w:sz w:val="32"/>
          <w:szCs w:val="32"/>
          <w:highlight w:val="none"/>
          <w:u w:val="none"/>
          <w:lang w:val="en-US" w:eastAsia="zh-CN"/>
        </w:rPr>
        <w:t>第一节 强化组织领导</w:t>
      </w:r>
      <w:bookmarkEnd w:id="163"/>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bookmarkStart w:id="164" w:name="OLE_LINK16"/>
      <w:bookmarkStart w:id="165" w:name="OLE_LINK11"/>
      <w:r>
        <w:rPr>
          <w:rFonts w:hint="eastAsia" w:ascii="宋体" w:hAnsi="宋体" w:eastAsia="方正仿宋简体" w:cs="方正仿宋简体"/>
          <w:color w:val="auto"/>
          <w:sz w:val="32"/>
          <w:szCs w:val="32"/>
          <w:highlight w:val="none"/>
          <w:u w:val="none"/>
          <w:lang w:val="en-US" w:eastAsia="zh-CN"/>
        </w:rPr>
        <w:t>落实五级书记抓乡村振兴工作机制，选配熟悉“三农”工作的干部分管相关工作并保持分工稳定。发挥市委农村工作领导小组统筹协调作用，推动各部门协同施策，健全兵地农业农</w:t>
      </w:r>
      <w:r>
        <w:rPr>
          <w:rFonts w:hint="eastAsia" w:ascii="宋体" w:hAnsi="宋体" w:eastAsia="方正仿宋简体" w:cs="方正仿宋简体"/>
          <w:color w:val="auto"/>
          <w:spacing w:val="-20"/>
          <w:sz w:val="32"/>
          <w:szCs w:val="32"/>
          <w:highlight w:val="none"/>
          <w:u w:val="none"/>
          <w:lang w:val="en-US" w:eastAsia="zh-CN"/>
        </w:rPr>
        <w:t>村现代化协商共建机制，抓实作风整治，建强“三农”干部队伍。</w:t>
      </w:r>
    </w:p>
    <w:bookmarkEnd w:id="164"/>
    <w:p>
      <w:pPr>
        <w:keepNext w:val="0"/>
        <w:keepLines w:val="0"/>
        <w:pageBreakBefore w:val="0"/>
        <w:widowControl w:val="0"/>
        <w:numPr>
          <w:ilvl w:val="0"/>
          <w:numId w:val="0"/>
        </w:numPr>
        <w:kinsoku/>
        <w:wordWrap/>
        <w:overflowPunct/>
        <w:topLinePunct w:val="0"/>
        <w:autoSpaceDE/>
        <w:autoSpaceDN/>
        <w:bidi w:val="0"/>
        <w:adjustRightInd/>
        <w:snapToGrid/>
        <w:spacing w:line="550" w:lineRule="exact"/>
        <w:jc w:val="center"/>
        <w:textAlignment w:val="auto"/>
        <w:outlineLvl w:val="3"/>
        <w:rPr>
          <w:rFonts w:hint="eastAsia" w:ascii="宋体" w:hAnsi="宋体" w:eastAsia="黑体" w:cs="黑体"/>
          <w:color w:val="auto"/>
          <w:sz w:val="32"/>
          <w:szCs w:val="32"/>
          <w:highlight w:val="none"/>
          <w:u w:val="none"/>
          <w:lang w:val="en-US" w:eastAsia="zh-CN"/>
        </w:rPr>
      </w:pPr>
      <w:bookmarkStart w:id="166" w:name="_Toc16919_WPSOffice_Level2"/>
      <w:r>
        <w:rPr>
          <w:rFonts w:hint="eastAsia" w:ascii="宋体" w:hAnsi="宋体" w:eastAsia="黑体" w:cs="黑体"/>
          <w:color w:val="auto"/>
          <w:sz w:val="32"/>
          <w:szCs w:val="32"/>
          <w:highlight w:val="none"/>
          <w:u w:val="none"/>
          <w:lang w:val="en-US" w:eastAsia="zh-CN"/>
        </w:rPr>
        <w:t>第二节 健全法治保障</w:t>
      </w:r>
      <w:bookmarkEnd w:id="166"/>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r>
        <w:rPr>
          <w:rFonts w:hint="eastAsia" w:ascii="宋体" w:hAnsi="宋体" w:eastAsia="方正仿宋简体" w:cs="方正仿宋简体"/>
          <w:color w:val="auto"/>
          <w:sz w:val="32"/>
          <w:szCs w:val="32"/>
          <w:highlight w:val="none"/>
          <w:u w:val="none"/>
          <w:lang w:val="en-US" w:eastAsia="zh-CN"/>
        </w:rPr>
        <w:t>健全农业农村法治保障体系，推动部门职能转变，坚持放管结合，强化事中事后监管。规范农业综合行政执法，完善执法流程，建强执法队伍，夯实执法工作保障。深化基层普法宣传，面向农户和经营主体普及涉农法律法规，引导群众尊法学法守法用法。持续提升涉农领域依法治理能力，营造办事依法、遇事找法、化解矛盾靠法的乡村法治环境，为全面推进乡村振兴筑牢法治根基。</w:t>
      </w:r>
    </w:p>
    <w:bookmarkEnd w:id="165"/>
    <w:p>
      <w:pPr>
        <w:keepNext w:val="0"/>
        <w:keepLines w:val="0"/>
        <w:pageBreakBefore w:val="0"/>
        <w:widowControl w:val="0"/>
        <w:numPr>
          <w:ilvl w:val="0"/>
          <w:numId w:val="0"/>
        </w:numPr>
        <w:kinsoku/>
        <w:wordWrap/>
        <w:overflowPunct/>
        <w:topLinePunct w:val="0"/>
        <w:autoSpaceDE/>
        <w:autoSpaceDN/>
        <w:bidi w:val="0"/>
        <w:adjustRightInd/>
        <w:snapToGrid/>
        <w:spacing w:line="550" w:lineRule="exact"/>
        <w:jc w:val="center"/>
        <w:textAlignment w:val="auto"/>
        <w:outlineLvl w:val="3"/>
        <w:rPr>
          <w:rFonts w:hint="eastAsia" w:ascii="宋体" w:hAnsi="宋体" w:eastAsia="黑体" w:cs="黑体"/>
          <w:color w:val="auto"/>
          <w:sz w:val="32"/>
          <w:szCs w:val="32"/>
          <w:highlight w:val="none"/>
          <w:u w:val="none"/>
          <w:lang w:val="en-US" w:eastAsia="zh-CN"/>
        </w:rPr>
      </w:pPr>
      <w:bookmarkStart w:id="167" w:name="_Toc20663_WPSOffice_Level2"/>
      <w:r>
        <w:rPr>
          <w:rFonts w:hint="eastAsia" w:ascii="宋体" w:hAnsi="宋体" w:eastAsia="黑体" w:cs="黑体"/>
          <w:color w:val="auto"/>
          <w:sz w:val="32"/>
          <w:szCs w:val="32"/>
          <w:highlight w:val="none"/>
          <w:u w:val="none"/>
          <w:lang w:val="en-US" w:eastAsia="zh-CN"/>
        </w:rPr>
        <w:t>第三节 动员公众参与</w:t>
      </w:r>
      <w:bookmarkEnd w:id="167"/>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outlineLvl w:val="3"/>
        <w:rPr>
          <w:rFonts w:hint="eastAsia" w:ascii="宋体" w:hAnsi="宋体" w:eastAsia="方正仿宋简体" w:cs="方正仿宋简体"/>
          <w:color w:val="auto"/>
          <w:sz w:val="32"/>
          <w:szCs w:val="32"/>
          <w:highlight w:val="none"/>
          <w:u w:val="none"/>
          <w:lang w:val="en-US" w:eastAsia="zh-CN"/>
        </w:rPr>
      </w:pPr>
      <w:bookmarkStart w:id="168" w:name="OLE_LINK12"/>
      <w:r>
        <w:rPr>
          <w:rFonts w:hint="eastAsia" w:ascii="宋体" w:hAnsi="宋体" w:eastAsia="方正仿宋简体" w:cs="方正仿宋简体"/>
          <w:color w:val="auto"/>
          <w:sz w:val="32"/>
          <w:szCs w:val="32"/>
          <w:highlight w:val="none"/>
          <w:u w:val="none"/>
          <w:lang w:val="en-US" w:eastAsia="zh-CN"/>
        </w:rPr>
        <w:t>强化宣传引导与舆论营造，构建社会各方鼎力支持、广大农民广泛参与的农业农村现代化推进格局。充分发挥工会、共青团、妇联等群团组织纽带作用，调动全社会投身乡村全面振兴的主动性，凝聚振兴合力、营造浓厚氛围。健全农民诉求评议、项目实施监督机制，拓宽群众利益诉求表达渠道，保障农民群众的知情权、参与权与监督权。</w:t>
      </w:r>
      <w:bookmarkEnd w:id="156"/>
      <w:bookmarkEnd w:id="16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3"/>
        <w:rPr>
          <w:rFonts w:hint="eastAsia" w:ascii="宋体" w:hAnsi="宋体" w:eastAsia="方正仿宋简体" w:cs="方正仿宋简体"/>
          <w:color w:val="auto"/>
          <w:sz w:val="32"/>
          <w:szCs w:val="32"/>
          <w:highlight w:val="none"/>
          <w:u w:val="none"/>
          <w:vertAlign w:val="baseline"/>
          <w:lang w:val="en-US" w:eastAsia="zh-CN"/>
        </w:rPr>
      </w:pPr>
      <w:r>
        <w:rPr>
          <w:rFonts w:hint="eastAsia" w:ascii="宋体" w:hAnsi="宋体" w:eastAsia="方正仿宋简体" w:cs="方正仿宋简体"/>
          <w:color w:val="auto"/>
          <w:sz w:val="32"/>
          <w:szCs w:val="32"/>
          <w:highlight w:val="none"/>
          <w:u w:val="none"/>
          <w:lang w:val="en-US" w:eastAsia="zh-CN"/>
        </w:rPr>
        <w:t>附件：霍尔果斯市“十五五”农业农村发展规划建设工程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3"/>
        <w:rPr>
          <w:rFonts w:hint="eastAsia" w:ascii="宋体" w:hAnsi="宋体" w:eastAsia="黑体" w:cs="黑体"/>
          <w:color w:val="auto"/>
          <w:sz w:val="32"/>
          <w:szCs w:val="32"/>
          <w:highlight w:val="none"/>
          <w:u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3"/>
        <w:rPr>
          <w:rFonts w:hint="eastAsia" w:ascii="宋体" w:hAnsi="宋体" w:eastAsia="黑体" w:cs="黑体"/>
          <w:color w:val="auto"/>
          <w:sz w:val="32"/>
          <w:szCs w:val="32"/>
          <w:highlight w:val="none"/>
          <w:u w:val="none"/>
          <w:vertAlign w:val="baseline"/>
          <w:lang w:val="en-US" w:eastAsia="zh-CN"/>
        </w:rPr>
      </w:pPr>
      <w:r>
        <w:rPr>
          <w:rFonts w:hint="eastAsia" w:ascii="宋体" w:hAnsi="宋体" w:eastAsia="黑体" w:cs="黑体"/>
          <w:color w:val="auto"/>
          <w:sz w:val="32"/>
          <w:szCs w:val="32"/>
          <w:highlight w:val="none"/>
          <w:u w:val="none"/>
          <w:vertAlign w:val="baseline"/>
          <w:lang w:val="en-US" w:eastAsia="zh-CN"/>
        </w:rPr>
        <w:t>附  件</w:t>
      </w:r>
    </w:p>
    <w:p>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hint="default" w:ascii="宋体" w:hAnsi="宋体" w:eastAsia="方正仿宋简体" w:cs="方正仿宋简体"/>
          <w:color w:val="auto"/>
          <w:sz w:val="32"/>
          <w:szCs w:val="32"/>
          <w:highlight w:val="none"/>
          <w:u w:val="none"/>
          <w:lang w:val="en-US" w:eastAsia="zh-CN"/>
        </w:rPr>
      </w:pPr>
      <w:bookmarkStart w:id="169" w:name="_Toc18906_WPSOffice_Level1"/>
      <w:r>
        <w:rPr>
          <w:rFonts w:hint="eastAsia" w:ascii="宋体" w:hAnsi="宋体" w:eastAsia="方正小标宋简体" w:cs="方正小标宋简体"/>
          <w:b w:val="0"/>
          <w:bCs/>
          <w:color w:val="auto"/>
          <w:spacing w:val="-23"/>
          <w:w w:val="95"/>
          <w:sz w:val="44"/>
          <w:szCs w:val="44"/>
          <w:highlight w:val="none"/>
          <w:u w:val="none"/>
        </w:rPr>
        <w:t>霍尔果斯市“十五五”农业农村发展规划</w:t>
      </w:r>
      <w:r>
        <w:rPr>
          <w:rFonts w:hint="eastAsia" w:ascii="宋体" w:hAnsi="宋体" w:eastAsia="方正小标宋简体" w:cs="方正小标宋简体"/>
          <w:b w:val="0"/>
          <w:bCs/>
          <w:color w:val="auto"/>
          <w:spacing w:val="-23"/>
          <w:w w:val="95"/>
          <w:sz w:val="44"/>
          <w:szCs w:val="44"/>
          <w:highlight w:val="none"/>
          <w:u w:val="none"/>
          <w:lang w:val="en-US" w:eastAsia="zh-CN"/>
        </w:rPr>
        <w:t>建设工程</w:t>
      </w:r>
      <w:bookmarkEnd w:id="169"/>
    </w:p>
    <w:tbl>
      <w:tblPr>
        <w:tblStyle w:val="5"/>
        <w:tblW w:w="9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9"/>
        <w:gridCol w:w="7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blHeader/>
        </w:trPr>
        <w:tc>
          <w:tcPr>
            <w:tcW w:w="2079"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3"/>
              <w:rPr>
                <w:rFonts w:hint="default" w:ascii="宋体" w:hAnsi="宋体" w:eastAsia="方正仿宋简体" w:cs="方正仿宋简体"/>
                <w:b/>
                <w:bCs/>
                <w:color w:val="auto"/>
                <w:sz w:val="32"/>
                <w:szCs w:val="32"/>
                <w:highlight w:val="none"/>
                <w:u w:val="none"/>
                <w:vertAlign w:val="baseline"/>
                <w:lang w:val="en-US" w:eastAsia="zh-CN"/>
              </w:rPr>
            </w:pPr>
            <w:r>
              <w:rPr>
                <w:rFonts w:hint="eastAsia" w:ascii="宋体" w:hAnsi="宋体" w:eastAsia="方正仿宋简体" w:cs="方正仿宋简体"/>
                <w:b/>
                <w:bCs/>
                <w:color w:val="auto"/>
                <w:sz w:val="32"/>
                <w:szCs w:val="32"/>
                <w:highlight w:val="none"/>
                <w:u w:val="none"/>
                <w:vertAlign w:val="baseline"/>
                <w:lang w:val="en-US" w:eastAsia="zh-CN"/>
              </w:rPr>
              <w:t>名称</w:t>
            </w:r>
          </w:p>
        </w:tc>
        <w:tc>
          <w:tcPr>
            <w:tcW w:w="7758"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3"/>
              <w:rPr>
                <w:rFonts w:hint="default" w:ascii="宋体" w:hAnsi="宋体" w:eastAsia="方正仿宋简体" w:cs="方正仿宋简体"/>
                <w:b/>
                <w:bCs/>
                <w:color w:val="auto"/>
                <w:sz w:val="32"/>
                <w:szCs w:val="32"/>
                <w:highlight w:val="none"/>
                <w:u w:val="none"/>
                <w:vertAlign w:val="baseline"/>
                <w:lang w:val="en-US" w:eastAsia="zh-CN"/>
              </w:rPr>
            </w:pPr>
            <w:r>
              <w:rPr>
                <w:rFonts w:hint="eastAsia" w:ascii="宋体" w:hAnsi="宋体" w:eastAsia="方正仿宋简体" w:cs="方正仿宋简体"/>
                <w:b/>
                <w:bCs/>
                <w:color w:val="auto"/>
                <w:sz w:val="32"/>
                <w:szCs w:val="32"/>
                <w:highlight w:val="none"/>
                <w:u w:val="none"/>
                <w:vertAlign w:val="baseline"/>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2079"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3"/>
              <w:rPr>
                <w:rFonts w:hint="default" w:ascii="宋体" w:hAnsi="宋体" w:eastAsia="方正仿宋简体" w:cs="方正仿宋简体"/>
                <w:b/>
                <w:bCs/>
                <w:color w:val="auto"/>
                <w:sz w:val="32"/>
                <w:szCs w:val="32"/>
                <w:highlight w:val="none"/>
                <w:u w:val="none"/>
                <w:vertAlign w:val="baseline"/>
                <w:lang w:val="en-US" w:eastAsia="zh-CN"/>
              </w:rPr>
            </w:pPr>
            <w:r>
              <w:rPr>
                <w:rFonts w:hint="eastAsia" w:ascii="宋体" w:hAnsi="宋体" w:eastAsia="方正仿宋简体" w:cs="方正仿宋简体"/>
                <w:b/>
                <w:bCs/>
                <w:color w:val="auto"/>
                <w:sz w:val="32"/>
                <w:szCs w:val="32"/>
                <w:highlight w:val="none"/>
                <w:u w:val="none"/>
                <w:vertAlign w:val="baseline"/>
                <w:lang w:val="en-US" w:eastAsia="zh-CN"/>
              </w:rPr>
              <w:t>农林特色产业发展工程</w:t>
            </w:r>
          </w:p>
        </w:tc>
        <w:tc>
          <w:tcPr>
            <w:tcW w:w="7758"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3"/>
              <w:rPr>
                <w:rFonts w:hint="default" w:ascii="宋体" w:hAnsi="宋体" w:eastAsia="方正仿宋简体" w:cs="方正仿宋简体"/>
                <w:color w:val="auto"/>
                <w:sz w:val="32"/>
                <w:szCs w:val="32"/>
                <w:highlight w:val="none"/>
                <w:u w:val="none"/>
                <w:vertAlign w:val="baseline"/>
                <w:lang w:val="en-US" w:eastAsia="zh-CN"/>
              </w:rPr>
            </w:pPr>
            <w:r>
              <w:rPr>
                <w:rFonts w:hint="default" w:ascii="宋体" w:hAnsi="宋体" w:eastAsia="方正仿宋简体" w:cs="方正仿宋简体"/>
                <w:color w:val="auto"/>
                <w:sz w:val="32"/>
                <w:szCs w:val="32"/>
                <w:highlight w:val="none"/>
                <w:u w:val="none"/>
                <w:vertAlign w:val="baseline"/>
                <w:lang w:val="en-US" w:eastAsia="zh-CN"/>
              </w:rPr>
              <w:t>霍尔果斯市高标准农田（高效节水）建设项目、霍尔果斯市智慧农业建设项目、霍尔果斯综合保税区国际农产品精深加工基地建设项目、新疆伊犁州霍尔果斯市畜禽粪污资源化利用整县推进项目、霍尔果斯现代设施农业产业园建设项目、家禽现代养殖产业园基础设施配套项目、</w:t>
            </w:r>
            <w:r>
              <w:rPr>
                <w:rFonts w:hint="eastAsia" w:ascii="宋体" w:hAnsi="宋体" w:eastAsia="方正仿宋简体" w:cs="方正仿宋简体"/>
                <w:color w:val="auto"/>
                <w:sz w:val="32"/>
                <w:szCs w:val="32"/>
                <w:highlight w:val="none"/>
                <w:u w:val="none"/>
                <w:lang w:val="en-US" w:eastAsia="zh-CN"/>
              </w:rPr>
              <w:t>国基汇能霍尔果斯现代农业产业园清洁能源综合利用项目</w:t>
            </w:r>
            <w:r>
              <w:rPr>
                <w:rFonts w:hint="default" w:ascii="宋体" w:hAnsi="宋体" w:eastAsia="方正仿宋简体" w:cs="方正仿宋简体"/>
                <w:color w:val="auto"/>
                <w:sz w:val="32"/>
                <w:szCs w:val="32"/>
                <w:highlight w:val="none"/>
                <w:u w:val="none"/>
                <w:vertAlign w:val="baseline"/>
                <w:lang w:val="en-US" w:eastAsia="zh-CN"/>
              </w:rPr>
              <w:t>、霍尔果斯现代农业产业园育苗中心建设项目。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7" w:hRule="atLeast"/>
        </w:trPr>
        <w:tc>
          <w:tcPr>
            <w:tcW w:w="2079"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3"/>
              <w:rPr>
                <w:rFonts w:hint="default" w:ascii="宋体" w:hAnsi="宋体" w:eastAsia="方正仿宋简体" w:cs="方正仿宋简体"/>
                <w:b/>
                <w:bCs/>
                <w:color w:val="auto"/>
                <w:sz w:val="32"/>
                <w:szCs w:val="32"/>
                <w:highlight w:val="none"/>
                <w:u w:val="none"/>
                <w:vertAlign w:val="baseline"/>
                <w:lang w:val="en-US" w:eastAsia="zh-CN"/>
              </w:rPr>
            </w:pPr>
            <w:r>
              <w:rPr>
                <w:rFonts w:hint="eastAsia" w:ascii="宋体" w:hAnsi="宋体" w:eastAsia="方正仿宋简体" w:cs="方正仿宋简体"/>
                <w:b/>
                <w:bCs/>
                <w:color w:val="auto"/>
                <w:sz w:val="32"/>
                <w:szCs w:val="32"/>
                <w:highlight w:val="none"/>
                <w:u w:val="none"/>
                <w:vertAlign w:val="baseline"/>
                <w:lang w:val="en-US" w:eastAsia="zh-CN"/>
              </w:rPr>
              <w:t>和美乡村建设工程</w:t>
            </w:r>
          </w:p>
        </w:tc>
        <w:tc>
          <w:tcPr>
            <w:tcW w:w="7758"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3"/>
              <w:rPr>
                <w:rFonts w:hint="eastAsia" w:ascii="宋体" w:hAnsi="宋体" w:eastAsia="方正仿宋简体" w:cs="方正仿宋简体"/>
                <w:color w:val="auto"/>
                <w:sz w:val="32"/>
                <w:szCs w:val="32"/>
                <w:highlight w:val="none"/>
                <w:u w:val="none"/>
                <w:vertAlign w:val="baseline"/>
                <w:lang w:val="en-US" w:eastAsia="zh-CN"/>
              </w:rPr>
            </w:pPr>
            <w:r>
              <w:rPr>
                <w:rFonts w:hint="eastAsia" w:ascii="宋体" w:hAnsi="宋体" w:eastAsia="方正仿宋简体" w:cs="方正仿宋简体"/>
                <w:b/>
                <w:bCs/>
                <w:color w:val="auto"/>
                <w:sz w:val="32"/>
                <w:szCs w:val="32"/>
                <w:highlight w:val="none"/>
                <w:u w:val="none"/>
                <w:vertAlign w:val="baseline"/>
                <w:lang w:val="en-US" w:eastAsia="zh-CN"/>
              </w:rPr>
              <w:t>乡村产业发展工程：</w:t>
            </w:r>
            <w:r>
              <w:rPr>
                <w:rFonts w:hint="eastAsia" w:ascii="宋体" w:hAnsi="宋体" w:eastAsia="方正仿宋简体" w:cs="方正仿宋简体"/>
                <w:color w:val="auto"/>
                <w:sz w:val="32"/>
                <w:szCs w:val="32"/>
                <w:highlight w:val="none"/>
                <w:u w:val="none"/>
                <w:vertAlign w:val="baseline"/>
                <w:lang w:val="en-US" w:eastAsia="zh-CN"/>
              </w:rPr>
              <w:t>乡村旅游新业态培育项目、农产品展销平台及服务体系搭建项目。</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3"/>
              <w:rPr>
                <w:rFonts w:hint="eastAsia" w:ascii="宋体" w:hAnsi="宋体" w:eastAsia="方正仿宋简体" w:cs="方正仿宋简体"/>
                <w:color w:val="auto"/>
                <w:sz w:val="32"/>
                <w:szCs w:val="32"/>
                <w:highlight w:val="none"/>
                <w:u w:val="none"/>
                <w:vertAlign w:val="baseline"/>
                <w:lang w:val="en-US" w:eastAsia="zh-CN"/>
              </w:rPr>
            </w:pPr>
            <w:r>
              <w:rPr>
                <w:rFonts w:hint="eastAsia" w:ascii="宋体" w:hAnsi="宋体" w:eastAsia="方正仿宋简体" w:cs="方正仿宋简体"/>
                <w:b/>
                <w:bCs/>
                <w:color w:val="auto"/>
                <w:sz w:val="32"/>
                <w:szCs w:val="32"/>
                <w:highlight w:val="none"/>
                <w:u w:val="none"/>
                <w:vertAlign w:val="baseline"/>
                <w:lang w:val="en-US" w:eastAsia="zh-CN"/>
              </w:rPr>
              <w:t>乡村设施提升工程：</w:t>
            </w:r>
            <w:r>
              <w:rPr>
                <w:rFonts w:hint="eastAsia" w:ascii="宋体" w:hAnsi="宋体" w:eastAsia="方正仿宋简体" w:cs="方正仿宋简体"/>
                <w:color w:val="auto"/>
                <w:sz w:val="32"/>
                <w:szCs w:val="32"/>
                <w:highlight w:val="none"/>
                <w:u w:val="none"/>
                <w:vertAlign w:val="baseline"/>
                <w:lang w:val="en-US" w:eastAsia="zh-CN"/>
              </w:rPr>
              <w:t>农村交通网络建设项目、农村自来水供应网络建设项目、农村电力改造项目、农村天然气供应保障项目、智慧农业基础设施建设项目、乡村网络与信息服务基础设施建设项目、“智慧乡村”党建服务信息化平台建设项目、新疆伊犁州霍尔果斯市2026年伊车嘎善锡伯族乡基层管控和治理能力提升工程。</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3"/>
              <w:rPr>
                <w:rFonts w:hint="default" w:ascii="宋体" w:hAnsi="宋体" w:eastAsia="方正仿宋简体" w:cs="方正仿宋简体"/>
                <w:color w:val="auto"/>
                <w:sz w:val="32"/>
                <w:szCs w:val="32"/>
                <w:highlight w:val="none"/>
                <w:u w:val="none"/>
                <w:vertAlign w:val="baseline"/>
                <w:lang w:val="en-US" w:eastAsia="zh-CN"/>
              </w:rPr>
            </w:pPr>
            <w:r>
              <w:rPr>
                <w:rFonts w:hint="eastAsia" w:ascii="宋体" w:hAnsi="宋体" w:eastAsia="方正仿宋简体" w:cs="方正仿宋简体"/>
                <w:b/>
                <w:bCs/>
                <w:color w:val="auto"/>
                <w:sz w:val="32"/>
                <w:szCs w:val="32"/>
                <w:highlight w:val="none"/>
                <w:u w:val="none"/>
                <w:vertAlign w:val="baseline"/>
                <w:lang w:val="en-US" w:eastAsia="zh-CN"/>
              </w:rPr>
              <w:t>乡村人居环境改善工程：</w:t>
            </w:r>
            <w:r>
              <w:rPr>
                <w:rFonts w:hint="eastAsia" w:ascii="宋体" w:hAnsi="宋体" w:eastAsia="方正仿宋简体" w:cs="方正仿宋简体"/>
                <w:color w:val="auto"/>
                <w:sz w:val="32"/>
                <w:szCs w:val="32"/>
                <w:highlight w:val="none"/>
                <w:u w:val="none"/>
                <w:vertAlign w:val="baseline"/>
                <w:lang w:val="en-US" w:eastAsia="zh-CN"/>
              </w:rPr>
              <w:t>兴城街道、伊车嘎善锡伯族乡等地农村厕所革命项目、村容村貌提档升级项目。</w:t>
            </w: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3"/>
        <w:rPr>
          <w:rFonts w:hint="eastAsia" w:ascii="宋体" w:hAnsi="宋体" w:eastAsia="方正仿宋简体" w:cs="方正仿宋简体"/>
          <w:color w:val="auto"/>
          <w:sz w:val="32"/>
          <w:szCs w:val="32"/>
          <w:highlight w:val="none"/>
          <w:lang w:val="en-US" w:eastAsia="zh-CN"/>
        </w:rPr>
      </w:pPr>
    </w:p>
    <w:sectPr>
      <w:footerReference r:id="rId4" w:type="default"/>
      <w:pgSz w:w="11905" w:h="16840"/>
      <w:pgMar w:top="2098" w:right="1531" w:bottom="1984" w:left="1531" w:header="1134" w:footer="1587"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FZDBSJW--GB1-0">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方正楷体_GBK">
    <w:altName w:val="微软雅黑"/>
    <w:panose1 w:val="00000000000000000000"/>
    <w:charset w:val="00"/>
    <w:family w:val="auto"/>
    <w:pitch w:val="default"/>
    <w:sig w:usb0="00000000" w:usb1="00000000" w:usb2="00000000" w:usb3="00000000" w:csb0="00000000" w:csb1="00000000"/>
  </w:font>
  <w:font w:name="方正楷体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B4FFF"/>
    <w:rsid w:val="006D6D31"/>
    <w:rsid w:val="00B0007A"/>
    <w:rsid w:val="01855D8D"/>
    <w:rsid w:val="01FF0067"/>
    <w:rsid w:val="02172F54"/>
    <w:rsid w:val="028D5BF3"/>
    <w:rsid w:val="02B64E6B"/>
    <w:rsid w:val="02CE4821"/>
    <w:rsid w:val="030516AD"/>
    <w:rsid w:val="03673B00"/>
    <w:rsid w:val="03A12C74"/>
    <w:rsid w:val="045778C9"/>
    <w:rsid w:val="04A86794"/>
    <w:rsid w:val="04D23BEB"/>
    <w:rsid w:val="04D71168"/>
    <w:rsid w:val="05483AD3"/>
    <w:rsid w:val="057E70FC"/>
    <w:rsid w:val="05A85B9F"/>
    <w:rsid w:val="05C300E9"/>
    <w:rsid w:val="064249C6"/>
    <w:rsid w:val="06C8711C"/>
    <w:rsid w:val="06D42B8C"/>
    <w:rsid w:val="06EE562E"/>
    <w:rsid w:val="07437CF5"/>
    <w:rsid w:val="07883CF3"/>
    <w:rsid w:val="07CD206E"/>
    <w:rsid w:val="085F6613"/>
    <w:rsid w:val="08E82BC2"/>
    <w:rsid w:val="08FA6E92"/>
    <w:rsid w:val="09423EEC"/>
    <w:rsid w:val="09BF2A8C"/>
    <w:rsid w:val="09D269F9"/>
    <w:rsid w:val="0A397E8E"/>
    <w:rsid w:val="0A59409E"/>
    <w:rsid w:val="0A6D72CE"/>
    <w:rsid w:val="0AB52064"/>
    <w:rsid w:val="0AD76A2C"/>
    <w:rsid w:val="0ADD2F10"/>
    <w:rsid w:val="0AE80316"/>
    <w:rsid w:val="0B0D5DD9"/>
    <w:rsid w:val="0B446312"/>
    <w:rsid w:val="0B472137"/>
    <w:rsid w:val="0C723670"/>
    <w:rsid w:val="0CD345CA"/>
    <w:rsid w:val="0D3D0297"/>
    <w:rsid w:val="0D4E2EFC"/>
    <w:rsid w:val="0E5279FE"/>
    <w:rsid w:val="0E6F52F4"/>
    <w:rsid w:val="0F5F19AA"/>
    <w:rsid w:val="0FC142A9"/>
    <w:rsid w:val="0FED4F74"/>
    <w:rsid w:val="10B22749"/>
    <w:rsid w:val="10CE17CD"/>
    <w:rsid w:val="10F44186"/>
    <w:rsid w:val="10FB2E70"/>
    <w:rsid w:val="10FC7634"/>
    <w:rsid w:val="10FF17E1"/>
    <w:rsid w:val="116E3F88"/>
    <w:rsid w:val="11812847"/>
    <w:rsid w:val="119D2B98"/>
    <w:rsid w:val="11BF549A"/>
    <w:rsid w:val="120D766C"/>
    <w:rsid w:val="122A5529"/>
    <w:rsid w:val="127A5D49"/>
    <w:rsid w:val="12E45301"/>
    <w:rsid w:val="134A27AA"/>
    <w:rsid w:val="13530E99"/>
    <w:rsid w:val="136B363E"/>
    <w:rsid w:val="13832A48"/>
    <w:rsid w:val="139C0475"/>
    <w:rsid w:val="1425148C"/>
    <w:rsid w:val="142A40C2"/>
    <w:rsid w:val="14D47942"/>
    <w:rsid w:val="14EF1875"/>
    <w:rsid w:val="14EF3F6B"/>
    <w:rsid w:val="15C471A6"/>
    <w:rsid w:val="1684673F"/>
    <w:rsid w:val="17350B66"/>
    <w:rsid w:val="173A3E93"/>
    <w:rsid w:val="179E6E84"/>
    <w:rsid w:val="17D0311D"/>
    <w:rsid w:val="17E81098"/>
    <w:rsid w:val="17FA6317"/>
    <w:rsid w:val="18976E4D"/>
    <w:rsid w:val="189D3518"/>
    <w:rsid w:val="18B363DD"/>
    <w:rsid w:val="190A413B"/>
    <w:rsid w:val="19326974"/>
    <w:rsid w:val="194F27C4"/>
    <w:rsid w:val="19836A30"/>
    <w:rsid w:val="199D21E8"/>
    <w:rsid w:val="19BF637F"/>
    <w:rsid w:val="19D60422"/>
    <w:rsid w:val="19EE2A43"/>
    <w:rsid w:val="1A073B05"/>
    <w:rsid w:val="1A417179"/>
    <w:rsid w:val="1A765E05"/>
    <w:rsid w:val="1A876211"/>
    <w:rsid w:val="1ABD66D8"/>
    <w:rsid w:val="1AE30E56"/>
    <w:rsid w:val="1B5975A1"/>
    <w:rsid w:val="1BF84676"/>
    <w:rsid w:val="1C493F61"/>
    <w:rsid w:val="1C550B58"/>
    <w:rsid w:val="1C6109C0"/>
    <w:rsid w:val="1D0A2C34"/>
    <w:rsid w:val="1D2E3157"/>
    <w:rsid w:val="1D7C047B"/>
    <w:rsid w:val="1DB04060"/>
    <w:rsid w:val="1E1C1DD4"/>
    <w:rsid w:val="1EE45883"/>
    <w:rsid w:val="1F1B770B"/>
    <w:rsid w:val="1F547B79"/>
    <w:rsid w:val="1F78251C"/>
    <w:rsid w:val="1F8703E6"/>
    <w:rsid w:val="1FB0251A"/>
    <w:rsid w:val="1FE056BC"/>
    <w:rsid w:val="206E043A"/>
    <w:rsid w:val="214F2A84"/>
    <w:rsid w:val="22D21F86"/>
    <w:rsid w:val="234332C6"/>
    <w:rsid w:val="23CD5689"/>
    <w:rsid w:val="23D305B4"/>
    <w:rsid w:val="23ED3D6C"/>
    <w:rsid w:val="2424352E"/>
    <w:rsid w:val="243C0C51"/>
    <w:rsid w:val="24710BD0"/>
    <w:rsid w:val="24B47942"/>
    <w:rsid w:val="24DC16EA"/>
    <w:rsid w:val="255F2A47"/>
    <w:rsid w:val="25783B09"/>
    <w:rsid w:val="25B97703"/>
    <w:rsid w:val="265E338F"/>
    <w:rsid w:val="26667E05"/>
    <w:rsid w:val="266C6638"/>
    <w:rsid w:val="2679472D"/>
    <w:rsid w:val="268248A7"/>
    <w:rsid w:val="268D7140"/>
    <w:rsid w:val="26C670F1"/>
    <w:rsid w:val="275648F6"/>
    <w:rsid w:val="277D3C42"/>
    <w:rsid w:val="27AB1072"/>
    <w:rsid w:val="27C174E8"/>
    <w:rsid w:val="27FB60D7"/>
    <w:rsid w:val="28271AE7"/>
    <w:rsid w:val="28B430AA"/>
    <w:rsid w:val="28CF410C"/>
    <w:rsid w:val="28D16091"/>
    <w:rsid w:val="28E141D0"/>
    <w:rsid w:val="28EA56C6"/>
    <w:rsid w:val="292865F2"/>
    <w:rsid w:val="29842A7C"/>
    <w:rsid w:val="2A190E77"/>
    <w:rsid w:val="2AFB4FC0"/>
    <w:rsid w:val="2B8C38AE"/>
    <w:rsid w:val="2BB17832"/>
    <w:rsid w:val="2BD4136D"/>
    <w:rsid w:val="2C864D5D"/>
    <w:rsid w:val="2CEE274B"/>
    <w:rsid w:val="2CF77A09"/>
    <w:rsid w:val="2D976F27"/>
    <w:rsid w:val="2DE607CB"/>
    <w:rsid w:val="2DF97546"/>
    <w:rsid w:val="2E10462A"/>
    <w:rsid w:val="2E572445"/>
    <w:rsid w:val="2EDD7871"/>
    <w:rsid w:val="2F3E191F"/>
    <w:rsid w:val="2FA127AA"/>
    <w:rsid w:val="2FDC327E"/>
    <w:rsid w:val="30EB7E8D"/>
    <w:rsid w:val="312068A0"/>
    <w:rsid w:val="313B4368"/>
    <w:rsid w:val="31717D8A"/>
    <w:rsid w:val="31794E91"/>
    <w:rsid w:val="31C176E9"/>
    <w:rsid w:val="328808A1"/>
    <w:rsid w:val="33824D39"/>
    <w:rsid w:val="33B73BA0"/>
    <w:rsid w:val="33CB05A3"/>
    <w:rsid w:val="341E6797"/>
    <w:rsid w:val="34487168"/>
    <w:rsid w:val="34C44115"/>
    <w:rsid w:val="3579479B"/>
    <w:rsid w:val="35AF45EB"/>
    <w:rsid w:val="35F743F3"/>
    <w:rsid w:val="369F6096"/>
    <w:rsid w:val="36B269F1"/>
    <w:rsid w:val="36B96022"/>
    <w:rsid w:val="36F62AE0"/>
    <w:rsid w:val="37013421"/>
    <w:rsid w:val="37B774BB"/>
    <w:rsid w:val="37F107C7"/>
    <w:rsid w:val="388318F9"/>
    <w:rsid w:val="3889661C"/>
    <w:rsid w:val="38A80D9E"/>
    <w:rsid w:val="38EF5A91"/>
    <w:rsid w:val="393102FD"/>
    <w:rsid w:val="39967186"/>
    <w:rsid w:val="399A5F13"/>
    <w:rsid w:val="39A76D41"/>
    <w:rsid w:val="39BA4298"/>
    <w:rsid w:val="39DD271C"/>
    <w:rsid w:val="3A575E6C"/>
    <w:rsid w:val="3A6D10D7"/>
    <w:rsid w:val="3A9B4B9B"/>
    <w:rsid w:val="3AC305A1"/>
    <w:rsid w:val="3ACB643D"/>
    <w:rsid w:val="3AE964CE"/>
    <w:rsid w:val="3AEC78B2"/>
    <w:rsid w:val="3B154D3E"/>
    <w:rsid w:val="3B515CE1"/>
    <w:rsid w:val="3B5E3937"/>
    <w:rsid w:val="3B8D4494"/>
    <w:rsid w:val="3BB87CBD"/>
    <w:rsid w:val="3BC641FD"/>
    <w:rsid w:val="3BCA34AA"/>
    <w:rsid w:val="3BDF5AF0"/>
    <w:rsid w:val="3C250E18"/>
    <w:rsid w:val="3CAF4BB0"/>
    <w:rsid w:val="3D016CE2"/>
    <w:rsid w:val="3D68206B"/>
    <w:rsid w:val="3E1236B9"/>
    <w:rsid w:val="3E5500EC"/>
    <w:rsid w:val="3E6646EC"/>
    <w:rsid w:val="3EA06352"/>
    <w:rsid w:val="3EBC016B"/>
    <w:rsid w:val="3FE1257F"/>
    <w:rsid w:val="40107D2A"/>
    <w:rsid w:val="40490124"/>
    <w:rsid w:val="40591E20"/>
    <w:rsid w:val="40A82617"/>
    <w:rsid w:val="40FD3912"/>
    <w:rsid w:val="41073EDA"/>
    <w:rsid w:val="410D73A4"/>
    <w:rsid w:val="411F7A6D"/>
    <w:rsid w:val="41A24BBC"/>
    <w:rsid w:val="422D5A2B"/>
    <w:rsid w:val="435751E0"/>
    <w:rsid w:val="44246EDE"/>
    <w:rsid w:val="445F5EC9"/>
    <w:rsid w:val="451B3C90"/>
    <w:rsid w:val="45205D5B"/>
    <w:rsid w:val="45BE20D1"/>
    <w:rsid w:val="45E11743"/>
    <w:rsid w:val="460000C1"/>
    <w:rsid w:val="47383BFA"/>
    <w:rsid w:val="47537D13"/>
    <w:rsid w:val="47EA5D49"/>
    <w:rsid w:val="484B7795"/>
    <w:rsid w:val="48592E2E"/>
    <w:rsid w:val="48B35B47"/>
    <w:rsid w:val="48BD7AE4"/>
    <w:rsid w:val="493D5D41"/>
    <w:rsid w:val="49B055D2"/>
    <w:rsid w:val="49C54446"/>
    <w:rsid w:val="4A30697C"/>
    <w:rsid w:val="4A351F75"/>
    <w:rsid w:val="4A4536BD"/>
    <w:rsid w:val="4A6D17DC"/>
    <w:rsid w:val="4A920C0C"/>
    <w:rsid w:val="4A9A0B48"/>
    <w:rsid w:val="4AA55492"/>
    <w:rsid w:val="4B200806"/>
    <w:rsid w:val="4B2013E3"/>
    <w:rsid w:val="4BCD59F5"/>
    <w:rsid w:val="4CAA019C"/>
    <w:rsid w:val="4CAA765E"/>
    <w:rsid w:val="4CBA71E0"/>
    <w:rsid w:val="4D37174B"/>
    <w:rsid w:val="4DD2379F"/>
    <w:rsid w:val="4E5E374B"/>
    <w:rsid w:val="4EBC797A"/>
    <w:rsid w:val="4EEA5E1A"/>
    <w:rsid w:val="4EF120B3"/>
    <w:rsid w:val="4F4E0872"/>
    <w:rsid w:val="4F5B1189"/>
    <w:rsid w:val="4F7F235E"/>
    <w:rsid w:val="4FF05CE7"/>
    <w:rsid w:val="50381EFE"/>
    <w:rsid w:val="50C555A5"/>
    <w:rsid w:val="51A727CC"/>
    <w:rsid w:val="51B3193A"/>
    <w:rsid w:val="52075DC4"/>
    <w:rsid w:val="5260289A"/>
    <w:rsid w:val="526D5753"/>
    <w:rsid w:val="53226CDE"/>
    <w:rsid w:val="53346A12"/>
    <w:rsid w:val="538849FA"/>
    <w:rsid w:val="53C127F5"/>
    <w:rsid w:val="53DE2ABE"/>
    <w:rsid w:val="5460748B"/>
    <w:rsid w:val="55180399"/>
    <w:rsid w:val="561A4437"/>
    <w:rsid w:val="56D34D81"/>
    <w:rsid w:val="572B3C88"/>
    <w:rsid w:val="57424D1F"/>
    <w:rsid w:val="57783371"/>
    <w:rsid w:val="57877618"/>
    <w:rsid w:val="57D476DC"/>
    <w:rsid w:val="57D92E5A"/>
    <w:rsid w:val="57E0038E"/>
    <w:rsid w:val="5807566F"/>
    <w:rsid w:val="580A5E5C"/>
    <w:rsid w:val="58EF2EE4"/>
    <w:rsid w:val="596360BF"/>
    <w:rsid w:val="596976EA"/>
    <w:rsid w:val="599E6CF6"/>
    <w:rsid w:val="59F70726"/>
    <w:rsid w:val="5A4953B5"/>
    <w:rsid w:val="5AB32912"/>
    <w:rsid w:val="5ABD776C"/>
    <w:rsid w:val="5ABE7A9C"/>
    <w:rsid w:val="5AD1664F"/>
    <w:rsid w:val="5B6D63DB"/>
    <w:rsid w:val="5BB8181C"/>
    <w:rsid w:val="5BCF04AB"/>
    <w:rsid w:val="5C19738E"/>
    <w:rsid w:val="5C924771"/>
    <w:rsid w:val="5CAF4066"/>
    <w:rsid w:val="5CDD7F3F"/>
    <w:rsid w:val="5CEF118D"/>
    <w:rsid w:val="5D72614E"/>
    <w:rsid w:val="5DCD7364"/>
    <w:rsid w:val="5DD64ABE"/>
    <w:rsid w:val="5E1C2B0B"/>
    <w:rsid w:val="60414C68"/>
    <w:rsid w:val="60567FC7"/>
    <w:rsid w:val="606F72DB"/>
    <w:rsid w:val="60891930"/>
    <w:rsid w:val="60CA20CD"/>
    <w:rsid w:val="60D86813"/>
    <w:rsid w:val="60F366D0"/>
    <w:rsid w:val="61C827FF"/>
    <w:rsid w:val="61D503B6"/>
    <w:rsid w:val="61F102C6"/>
    <w:rsid w:val="624C78D4"/>
    <w:rsid w:val="62B93C12"/>
    <w:rsid w:val="62EC3E03"/>
    <w:rsid w:val="62F4450F"/>
    <w:rsid w:val="63EA60B0"/>
    <w:rsid w:val="63F024E1"/>
    <w:rsid w:val="646649EF"/>
    <w:rsid w:val="649E022E"/>
    <w:rsid w:val="64A80128"/>
    <w:rsid w:val="65031DA0"/>
    <w:rsid w:val="652C1B4A"/>
    <w:rsid w:val="65930068"/>
    <w:rsid w:val="65BF0ED3"/>
    <w:rsid w:val="65D00915"/>
    <w:rsid w:val="668F1B3D"/>
    <w:rsid w:val="668F4233"/>
    <w:rsid w:val="678418BE"/>
    <w:rsid w:val="67A1056A"/>
    <w:rsid w:val="67E3632D"/>
    <w:rsid w:val="68161650"/>
    <w:rsid w:val="685C4ACA"/>
    <w:rsid w:val="689A4841"/>
    <w:rsid w:val="68D4368C"/>
    <w:rsid w:val="68DC2939"/>
    <w:rsid w:val="69224E43"/>
    <w:rsid w:val="6960671B"/>
    <w:rsid w:val="69DF0578"/>
    <w:rsid w:val="6A0957F1"/>
    <w:rsid w:val="6BD44496"/>
    <w:rsid w:val="6BD839D2"/>
    <w:rsid w:val="6C42487E"/>
    <w:rsid w:val="6C4B15B3"/>
    <w:rsid w:val="6C557E2B"/>
    <w:rsid w:val="6C5C352D"/>
    <w:rsid w:val="6DA24B6A"/>
    <w:rsid w:val="6E7B6E4B"/>
    <w:rsid w:val="6EE4557B"/>
    <w:rsid w:val="6EED1A4B"/>
    <w:rsid w:val="6F0632E5"/>
    <w:rsid w:val="6F0E08D0"/>
    <w:rsid w:val="6F2F07E0"/>
    <w:rsid w:val="6F4D4C8B"/>
    <w:rsid w:val="6FC777AD"/>
    <w:rsid w:val="70191889"/>
    <w:rsid w:val="70314231"/>
    <w:rsid w:val="717A3876"/>
    <w:rsid w:val="72CF7A11"/>
    <w:rsid w:val="73216AEF"/>
    <w:rsid w:val="732B0BE2"/>
    <w:rsid w:val="733F6699"/>
    <w:rsid w:val="73AF1A71"/>
    <w:rsid w:val="73B460F9"/>
    <w:rsid w:val="74125C89"/>
    <w:rsid w:val="74CB0B2C"/>
    <w:rsid w:val="74CE7BB1"/>
    <w:rsid w:val="75362671"/>
    <w:rsid w:val="75C45041"/>
    <w:rsid w:val="762322A2"/>
    <w:rsid w:val="763524A3"/>
    <w:rsid w:val="76914301"/>
    <w:rsid w:val="76D343A4"/>
    <w:rsid w:val="76F4137D"/>
    <w:rsid w:val="77324E93"/>
    <w:rsid w:val="77B83BF6"/>
    <w:rsid w:val="78217A29"/>
    <w:rsid w:val="78BE4504"/>
    <w:rsid w:val="78CE7E27"/>
    <w:rsid w:val="78DD0341"/>
    <w:rsid w:val="7A0F25DB"/>
    <w:rsid w:val="7A304541"/>
    <w:rsid w:val="7A5247FA"/>
    <w:rsid w:val="7ABD74C2"/>
    <w:rsid w:val="7CC65EDE"/>
    <w:rsid w:val="7CE30C3C"/>
    <w:rsid w:val="7D7325B6"/>
    <w:rsid w:val="7D8F021D"/>
    <w:rsid w:val="7DEB5B33"/>
    <w:rsid w:val="7E1A3D97"/>
    <w:rsid w:val="7E2D63B4"/>
    <w:rsid w:val="7EAB0571"/>
    <w:rsid w:val="7EB4406D"/>
    <w:rsid w:val="7F22065D"/>
    <w:rsid w:val="7F311499"/>
    <w:rsid w:val="7F3A6937"/>
    <w:rsid w:val="7FA80C7D"/>
    <w:rsid w:val="7FEB21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6">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7">
    <w:name w:val="Strong"/>
    <w:basedOn w:val="6"/>
    <w:qFormat/>
    <w:uiPriority w:val="0"/>
    <w:rPr>
      <w:b/>
    </w:rPr>
  </w:style>
  <w:style w:type="paragraph" w:customStyle="1" w:styleId="8">
    <w:name w:val="WPSOffice手动目录 1"/>
    <w:qFormat/>
    <w:uiPriority w:val="0"/>
    <w:pPr>
      <w:ind w:leftChars="0"/>
    </w:pPr>
    <w:rPr>
      <w:rFonts w:ascii="Times New Roman" w:hAnsi="Times New Roman" w:eastAsia="宋体" w:cs="Times New Roman"/>
      <w:sz w:val="20"/>
      <w:szCs w:val="20"/>
    </w:rPr>
  </w:style>
  <w:style w:type="paragraph" w:customStyle="1" w:styleId="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8605a30-cf46-4d8f-b26f-ef0731293b9a}"/>
        <w:style w:val=""/>
        <w:category>
          <w:name w:val="常规"/>
          <w:gallery w:val="placeholder"/>
        </w:category>
        <w:types>
          <w:type w:val="bbPlcHdr"/>
        </w:types>
        <w:behaviors>
          <w:behavior w:val="content"/>
        </w:behaviors>
        <w:description w:val=""/>
        <w:guid w:val="{d8605a30-cf46-4d8f-b26f-ef0731293b9a}"/>
      </w:docPartPr>
      <w:docPartBody>
        <w:p>
          <w:r>
            <w:rPr>
              <w:color w:val="808080"/>
            </w:rPr>
            <w:t>单击此处输入文字。</w:t>
          </w:r>
        </w:p>
      </w:docPartBody>
    </w:docPart>
    <w:docPart>
      <w:docPartPr>
        <w:name w:val="{e83e0f52-55c8-4f7f-b013-334605a0fc89}"/>
        <w:style w:val=""/>
        <w:category>
          <w:name w:val="常规"/>
          <w:gallery w:val="placeholder"/>
        </w:category>
        <w:types>
          <w:type w:val="bbPlcHdr"/>
        </w:types>
        <w:behaviors>
          <w:behavior w:val="content"/>
        </w:behaviors>
        <w:description w:val=""/>
        <w:guid w:val="{e83e0f52-55c8-4f7f-b013-334605a0fc89}"/>
      </w:docPartPr>
      <w:docPartBody>
        <w:p>
          <w:r>
            <w:rPr>
              <w:color w:val="808080"/>
            </w:rPr>
            <w:t>单击此处输入文字。</w:t>
          </w:r>
        </w:p>
      </w:docPartBody>
    </w:docPart>
    <w:docPart>
      <w:docPartPr>
        <w:name w:val="{bba16e59-3931-4cb1-a5bc-b11539839ccb}"/>
        <w:style w:val=""/>
        <w:category>
          <w:name w:val="常规"/>
          <w:gallery w:val="placeholder"/>
        </w:category>
        <w:types>
          <w:type w:val="bbPlcHdr"/>
        </w:types>
        <w:behaviors>
          <w:behavior w:val="content"/>
        </w:behaviors>
        <w:description w:val=""/>
        <w:guid w:val="{bba16e59-3931-4cb1-a5bc-b11539839ccb}"/>
      </w:docPartPr>
      <w:docPartBody>
        <w:p>
          <w:r>
            <w:rPr>
              <w:color w:val="808080"/>
            </w:rPr>
            <w:t>单击此处输入文字。</w:t>
          </w:r>
        </w:p>
      </w:docPartBody>
    </w:docPart>
    <w:docPart>
      <w:docPartPr>
        <w:name w:val="{e80f4d4f-195f-4674-b092-53249fd66cea}"/>
        <w:style w:val=""/>
        <w:category>
          <w:name w:val="常规"/>
          <w:gallery w:val="placeholder"/>
        </w:category>
        <w:types>
          <w:type w:val="bbPlcHdr"/>
        </w:types>
        <w:behaviors>
          <w:behavior w:val="content"/>
        </w:behaviors>
        <w:description w:val=""/>
        <w:guid w:val="{e80f4d4f-195f-4674-b092-53249fd66cea}"/>
      </w:docPartPr>
      <w:docPartBody>
        <w:p>
          <w:r>
            <w:rPr>
              <w:color w:val="808080"/>
            </w:rPr>
            <w:t>单击此处输入文字。</w:t>
          </w:r>
        </w:p>
      </w:docPartBody>
    </w:docPart>
    <w:docPart>
      <w:docPartPr>
        <w:name w:val="{dc1af42f-750e-4a53-a7ca-e7355c26f51b}"/>
        <w:style w:val=""/>
        <w:category>
          <w:name w:val="常规"/>
          <w:gallery w:val="placeholder"/>
        </w:category>
        <w:types>
          <w:type w:val="bbPlcHdr"/>
        </w:types>
        <w:behaviors>
          <w:behavior w:val="content"/>
        </w:behaviors>
        <w:description w:val=""/>
        <w:guid w:val="{dc1af42f-750e-4a53-a7ca-e7355c26f51b}"/>
      </w:docPartPr>
      <w:docPartBody>
        <w:p>
          <w:r>
            <w:rPr>
              <w:color w:val="808080"/>
            </w:rPr>
            <w:t>单击此处输入文字。</w:t>
          </w:r>
        </w:p>
      </w:docPartBody>
    </w:docPart>
    <w:docPart>
      <w:docPartPr>
        <w:name w:val="{90e40ebd-b7bc-43ca-92f8-572b1c320302}"/>
        <w:style w:val=""/>
        <w:category>
          <w:name w:val="常规"/>
          <w:gallery w:val="placeholder"/>
        </w:category>
        <w:types>
          <w:type w:val="bbPlcHdr"/>
        </w:types>
        <w:behaviors>
          <w:behavior w:val="content"/>
        </w:behaviors>
        <w:description w:val=""/>
        <w:guid w:val="{90e40ebd-b7bc-43ca-92f8-572b1c320302}"/>
      </w:docPartPr>
      <w:docPartBody>
        <w:p>
          <w:r>
            <w:rPr>
              <w:color w:val="808080"/>
            </w:rPr>
            <w:t>单击此处输入文字。</w:t>
          </w:r>
        </w:p>
      </w:docPartBody>
    </w:docPart>
    <w:docPart>
      <w:docPartPr>
        <w:name w:val="{729029d1-1333-4c8e-bc92-896e87da4459}"/>
        <w:style w:val=""/>
        <w:category>
          <w:name w:val="常规"/>
          <w:gallery w:val="placeholder"/>
        </w:category>
        <w:types>
          <w:type w:val="bbPlcHdr"/>
        </w:types>
        <w:behaviors>
          <w:behavior w:val="content"/>
        </w:behaviors>
        <w:description w:val=""/>
        <w:guid w:val="{729029d1-1333-4c8e-bc92-896e87da4459}"/>
      </w:docPartPr>
      <w:docPartBody>
        <w:p>
          <w:r>
            <w:rPr>
              <w:color w:val="808080"/>
            </w:rPr>
            <w:t>单击此处输入文字。</w:t>
          </w:r>
        </w:p>
      </w:docPartBody>
    </w:docPart>
    <w:docPart>
      <w:docPartPr>
        <w:name w:val="{9b235b3b-442f-468b-8d02-82827d2c7bda}"/>
        <w:style w:val=""/>
        <w:category>
          <w:name w:val="常规"/>
          <w:gallery w:val="placeholder"/>
        </w:category>
        <w:types>
          <w:type w:val="bbPlcHdr"/>
        </w:types>
        <w:behaviors>
          <w:behavior w:val="content"/>
        </w:behaviors>
        <w:description w:val=""/>
        <w:guid w:val="{9b235b3b-442f-468b-8d02-82827d2c7bda}"/>
      </w:docPartPr>
      <w:docPartBody>
        <w:p>
          <w:r>
            <w:rPr>
              <w:color w:val="808080"/>
            </w:rPr>
            <w:t>单击此处输入文字。</w:t>
          </w:r>
        </w:p>
      </w:docPartBody>
    </w:docPart>
    <w:docPart>
      <w:docPartPr>
        <w:name w:val="{fb4090e7-48ef-485a-9329-caf65f60a88d}"/>
        <w:style w:val=""/>
        <w:category>
          <w:name w:val="常规"/>
          <w:gallery w:val="placeholder"/>
        </w:category>
        <w:types>
          <w:type w:val="bbPlcHdr"/>
        </w:types>
        <w:behaviors>
          <w:behavior w:val="content"/>
        </w:behaviors>
        <w:description w:val=""/>
        <w:guid w:val="{fb4090e7-48ef-485a-9329-caf65f60a88d}"/>
      </w:docPartPr>
      <w:docPartBody>
        <w:p>
          <w:r>
            <w:rPr>
              <w:color w:val="808080"/>
            </w:rPr>
            <w:t>单击此处输入文字。</w:t>
          </w:r>
        </w:p>
      </w:docPartBody>
    </w:docPart>
    <w:docPart>
      <w:docPartPr>
        <w:name w:val="{63357740-b811-4a6a-9056-55a65036b4b5}"/>
        <w:style w:val=""/>
        <w:category>
          <w:name w:val="常规"/>
          <w:gallery w:val="placeholder"/>
        </w:category>
        <w:types>
          <w:type w:val="bbPlcHdr"/>
        </w:types>
        <w:behaviors>
          <w:behavior w:val="content"/>
        </w:behaviors>
        <w:description w:val=""/>
        <w:guid w:val="{63357740-b811-4a6a-9056-55a65036b4b5}"/>
      </w:docPartPr>
      <w:docPartBody>
        <w:p>
          <w:r>
            <w:rPr>
              <w:color w:val="808080"/>
            </w:rPr>
            <w:t>单击此处输入文字。</w:t>
          </w:r>
        </w:p>
      </w:docPartBody>
    </w:docPart>
    <w:docPart>
      <w:docPartPr>
        <w:name w:val="{f7bb53ac-740f-453c-8c53-b0f23433288a}"/>
        <w:style w:val=""/>
        <w:category>
          <w:name w:val="常规"/>
          <w:gallery w:val="placeholder"/>
        </w:category>
        <w:types>
          <w:type w:val="bbPlcHdr"/>
        </w:types>
        <w:behaviors>
          <w:behavior w:val="content"/>
        </w:behaviors>
        <w:description w:val=""/>
        <w:guid w:val="{f7bb53ac-740f-453c-8c53-b0f23433288a}"/>
      </w:docPartPr>
      <w:docPartBody>
        <w:p>
          <w:r>
            <w:rPr>
              <w:color w:val="808080"/>
            </w:rPr>
            <w:t>单击此处输入文字。</w:t>
          </w:r>
        </w:p>
      </w:docPartBody>
    </w:docPart>
    <w:docPart>
      <w:docPartPr>
        <w:name w:val="{9b9d8d33-5bfd-4eee-907d-3f60424b1b20}"/>
        <w:style w:val=""/>
        <w:category>
          <w:name w:val="常规"/>
          <w:gallery w:val="placeholder"/>
        </w:category>
        <w:types>
          <w:type w:val="bbPlcHdr"/>
        </w:types>
        <w:behaviors>
          <w:behavior w:val="content"/>
        </w:behaviors>
        <w:description w:val=""/>
        <w:guid w:val="{9b9d8d33-5bfd-4eee-907d-3f60424b1b20}"/>
      </w:docPartPr>
      <w:docPartBody>
        <w:p>
          <w:r>
            <w:rPr>
              <w:color w:val="808080"/>
            </w:rPr>
            <w:t>单击此处输入文字。</w:t>
          </w:r>
        </w:p>
      </w:docPartBody>
    </w:docPart>
    <w:docPart>
      <w:docPartPr>
        <w:name w:val="{cf6765e9-3075-46d7-a3eb-ea8b5d0bdf9e}"/>
        <w:style w:val=""/>
        <w:category>
          <w:name w:val="常规"/>
          <w:gallery w:val="placeholder"/>
        </w:category>
        <w:types>
          <w:type w:val="bbPlcHdr"/>
        </w:types>
        <w:behaviors>
          <w:behavior w:val="content"/>
        </w:behaviors>
        <w:description w:val=""/>
        <w:guid w:val="{cf6765e9-3075-46d7-a3eb-ea8b5d0bdf9e}"/>
      </w:docPartPr>
      <w:docPartBody>
        <w:p>
          <w:r>
            <w:rPr>
              <w:color w:val="808080"/>
            </w:rPr>
            <w:t>单击此处输入文字。</w:t>
          </w:r>
        </w:p>
      </w:docPartBody>
    </w:docPart>
    <w:docPart>
      <w:docPartPr>
        <w:name w:val="{289c9019-d18f-4767-95d9-5446c988e7ab}"/>
        <w:style w:val=""/>
        <w:category>
          <w:name w:val="常规"/>
          <w:gallery w:val="placeholder"/>
        </w:category>
        <w:types>
          <w:type w:val="bbPlcHdr"/>
        </w:types>
        <w:behaviors>
          <w:behavior w:val="content"/>
        </w:behaviors>
        <w:description w:val=""/>
        <w:guid w:val="{289c9019-d18f-4767-95d9-5446c988e7ab}"/>
      </w:docPartPr>
      <w:docPartBody>
        <w:p>
          <w:r>
            <w:rPr>
              <w:color w:val="808080"/>
            </w:rPr>
            <w:t>单击此处输入文字。</w:t>
          </w:r>
        </w:p>
      </w:docPartBody>
    </w:docPart>
    <w:docPart>
      <w:docPartPr>
        <w:name w:val="{96f15faf-2104-47d4-b939-54ffa627077b}"/>
        <w:style w:val=""/>
        <w:category>
          <w:name w:val="常规"/>
          <w:gallery w:val="placeholder"/>
        </w:category>
        <w:types>
          <w:type w:val="bbPlcHdr"/>
        </w:types>
        <w:behaviors>
          <w:behavior w:val="content"/>
        </w:behaviors>
        <w:description w:val=""/>
        <w:guid w:val="{96f15faf-2104-47d4-b939-54ffa627077b}"/>
      </w:docPartPr>
      <w:docPartBody>
        <w:p>
          <w:r>
            <w:rPr>
              <w:color w:val="808080"/>
            </w:rPr>
            <w:t>单击此处输入文字。</w:t>
          </w:r>
        </w:p>
      </w:docPartBody>
    </w:docPart>
    <w:docPart>
      <w:docPartPr>
        <w:name w:val="{05cd94d8-0df1-4fe6-a6ae-b1e21c6fd2bd}"/>
        <w:style w:val=""/>
        <w:category>
          <w:name w:val="常规"/>
          <w:gallery w:val="placeholder"/>
        </w:category>
        <w:types>
          <w:type w:val="bbPlcHdr"/>
        </w:types>
        <w:behaviors>
          <w:behavior w:val="content"/>
        </w:behaviors>
        <w:description w:val=""/>
        <w:guid w:val="{05cd94d8-0df1-4fe6-a6ae-b1e21c6fd2bd}"/>
      </w:docPartPr>
      <w:docPartBody>
        <w:p>
          <w:r>
            <w:rPr>
              <w:color w:val="808080"/>
            </w:rPr>
            <w:t>单击此处输入文字。</w:t>
          </w:r>
        </w:p>
      </w:docPartBody>
    </w:docPart>
    <w:docPart>
      <w:docPartPr>
        <w:name w:val="{3fbc4a62-3b70-4092-80b7-8fc78c625b52}"/>
        <w:style w:val=""/>
        <w:category>
          <w:name w:val="常规"/>
          <w:gallery w:val="placeholder"/>
        </w:category>
        <w:types>
          <w:type w:val="bbPlcHdr"/>
        </w:types>
        <w:behaviors>
          <w:behavior w:val="content"/>
        </w:behaviors>
        <w:description w:val=""/>
        <w:guid w:val="{3fbc4a62-3b70-4092-80b7-8fc78c625b52}"/>
      </w:docPartPr>
      <w:docPartBody>
        <w:p>
          <w:r>
            <w:rPr>
              <w:color w:val="808080"/>
            </w:rPr>
            <w:t>单击此处输入文字。</w:t>
          </w:r>
        </w:p>
      </w:docPartBody>
    </w:docPart>
    <w:docPart>
      <w:docPartPr>
        <w:name w:val="{9e26adb9-a811-42d6-acdf-03811ce0c2f6}"/>
        <w:style w:val=""/>
        <w:category>
          <w:name w:val="常规"/>
          <w:gallery w:val="placeholder"/>
        </w:category>
        <w:types>
          <w:type w:val="bbPlcHdr"/>
        </w:types>
        <w:behaviors>
          <w:behavior w:val="content"/>
        </w:behaviors>
        <w:description w:val=""/>
        <w:guid w:val="{9e26adb9-a811-42d6-acdf-03811ce0c2f6}"/>
      </w:docPartPr>
      <w:docPartBody>
        <w:p>
          <w:r>
            <w:rPr>
              <w:color w:val="808080"/>
            </w:rPr>
            <w:t>单击此处输入文字。</w:t>
          </w:r>
        </w:p>
      </w:docPartBody>
    </w:docPart>
    <w:docPart>
      <w:docPartPr>
        <w:name w:val="{a81e14c0-4ab7-4a22-afc4-35834abd7e34}"/>
        <w:style w:val=""/>
        <w:category>
          <w:name w:val="常规"/>
          <w:gallery w:val="placeholder"/>
        </w:category>
        <w:types>
          <w:type w:val="bbPlcHdr"/>
        </w:types>
        <w:behaviors>
          <w:behavior w:val="content"/>
        </w:behaviors>
        <w:description w:val=""/>
        <w:guid w:val="{a81e14c0-4ab7-4a22-afc4-35834abd7e34}"/>
      </w:docPartPr>
      <w:docPartBody>
        <w:p>
          <w:r>
            <w:rPr>
              <w:color w:val="808080"/>
            </w:rPr>
            <w:t>单击此处输入文字。</w:t>
          </w:r>
        </w:p>
      </w:docPartBody>
    </w:docPart>
    <w:docPart>
      <w:docPartPr>
        <w:name w:val="{9bebfaa4-fdc2-4e1d-be36-ed997f06abf3}"/>
        <w:style w:val=""/>
        <w:category>
          <w:name w:val="常规"/>
          <w:gallery w:val="placeholder"/>
        </w:category>
        <w:types>
          <w:type w:val="bbPlcHdr"/>
        </w:types>
        <w:behaviors>
          <w:behavior w:val="content"/>
        </w:behaviors>
        <w:description w:val=""/>
        <w:guid w:val="{9bebfaa4-fdc2-4e1d-be36-ed997f06abf3}"/>
      </w:docPartPr>
      <w:docPartBody>
        <w:p>
          <w:r>
            <w:rPr>
              <w:color w:val="808080"/>
            </w:rPr>
            <w:t>单击此处输入文字。</w:t>
          </w:r>
        </w:p>
      </w:docPartBody>
    </w:docPart>
    <w:docPart>
      <w:docPartPr>
        <w:name w:val="{9bff81b1-f18c-466c-b5a0-72e4f6817950}"/>
        <w:style w:val=""/>
        <w:category>
          <w:name w:val="常规"/>
          <w:gallery w:val="placeholder"/>
        </w:category>
        <w:types>
          <w:type w:val="bbPlcHdr"/>
        </w:types>
        <w:behaviors>
          <w:behavior w:val="content"/>
        </w:behaviors>
        <w:description w:val=""/>
        <w:guid w:val="{9bff81b1-f18c-466c-b5a0-72e4f6817950}"/>
      </w:docPartPr>
      <w:docPartBody>
        <w:p>
          <w:r>
            <w:rPr>
              <w:color w:val="808080"/>
            </w:rPr>
            <w:t>单击此处输入文字。</w:t>
          </w:r>
        </w:p>
      </w:docPartBody>
    </w:docPart>
    <w:docPart>
      <w:docPartPr>
        <w:name w:val="{d02226d9-6d34-4fe7-99aa-1226f77c85c8}"/>
        <w:style w:val=""/>
        <w:category>
          <w:name w:val="常规"/>
          <w:gallery w:val="placeholder"/>
        </w:category>
        <w:types>
          <w:type w:val="bbPlcHdr"/>
        </w:types>
        <w:behaviors>
          <w:behavior w:val="content"/>
        </w:behaviors>
        <w:description w:val=""/>
        <w:guid w:val="{d02226d9-6d34-4fe7-99aa-1226f77c85c8}"/>
      </w:docPartPr>
      <w:docPartBody>
        <w:p>
          <w:r>
            <w:rPr>
              <w:color w:val="808080"/>
            </w:rPr>
            <w:t>单击此处输入文字。</w:t>
          </w:r>
        </w:p>
      </w:docPartBody>
    </w:docPart>
    <w:docPart>
      <w:docPartPr>
        <w:name w:val="{8b90f39a-504b-4712-a2a9-d8e298c57bbf}"/>
        <w:style w:val=""/>
        <w:category>
          <w:name w:val="常规"/>
          <w:gallery w:val="placeholder"/>
        </w:category>
        <w:types>
          <w:type w:val="bbPlcHdr"/>
        </w:types>
        <w:behaviors>
          <w:behavior w:val="content"/>
        </w:behaviors>
        <w:description w:val=""/>
        <w:guid w:val="{8b90f39a-504b-4712-a2a9-d8e298c57bbf}"/>
      </w:docPartPr>
      <w:docPartBody>
        <w:p>
          <w:r>
            <w:rPr>
              <w:color w:val="808080"/>
            </w:rPr>
            <w:t>单击此处输入文字。</w:t>
          </w:r>
        </w:p>
      </w:docPartBody>
    </w:docPart>
    <w:docPart>
      <w:docPartPr>
        <w:name w:val="{eedb2fdf-3707-43c5-95d8-4a2de1fc8379}"/>
        <w:style w:val=""/>
        <w:category>
          <w:name w:val="常规"/>
          <w:gallery w:val="placeholder"/>
        </w:category>
        <w:types>
          <w:type w:val="bbPlcHdr"/>
        </w:types>
        <w:behaviors>
          <w:behavior w:val="content"/>
        </w:behaviors>
        <w:description w:val=""/>
        <w:guid w:val="{eedb2fdf-3707-43c5-95d8-4a2de1fc8379}"/>
      </w:docPartPr>
      <w:docPartBody>
        <w:p>
          <w:r>
            <w:rPr>
              <w:color w:val="808080"/>
            </w:rPr>
            <w:t>单击此处输入文字。</w:t>
          </w:r>
        </w:p>
      </w:docPartBody>
    </w:docPart>
    <w:docPart>
      <w:docPartPr>
        <w:name w:val="{80a680f6-6b80-45a0-b97f-106181b47f9a}"/>
        <w:style w:val=""/>
        <w:category>
          <w:name w:val="常规"/>
          <w:gallery w:val="placeholder"/>
        </w:category>
        <w:types>
          <w:type w:val="bbPlcHdr"/>
        </w:types>
        <w:behaviors>
          <w:behavior w:val="content"/>
        </w:behaviors>
        <w:description w:val=""/>
        <w:guid w:val="{80a680f6-6b80-45a0-b97f-106181b47f9a}"/>
      </w:docPartPr>
      <w:docPartBody>
        <w:p>
          <w:r>
            <w:rPr>
              <w:color w:val="808080"/>
            </w:rPr>
            <w:t>单击此处输入文字。</w:t>
          </w:r>
        </w:p>
      </w:docPartBody>
    </w:docPart>
    <w:docPart>
      <w:docPartPr>
        <w:name w:val="{94a874eb-fe82-4ea3-b464-30c1b29943a1}"/>
        <w:style w:val=""/>
        <w:category>
          <w:name w:val="常规"/>
          <w:gallery w:val="placeholder"/>
        </w:category>
        <w:types>
          <w:type w:val="bbPlcHdr"/>
        </w:types>
        <w:behaviors>
          <w:behavior w:val="content"/>
        </w:behaviors>
        <w:description w:val=""/>
        <w:guid w:val="{94a874eb-fe82-4ea3-b464-30c1b29943a1}"/>
      </w:docPartPr>
      <w:docPartBody>
        <w:p>
          <w:r>
            <w:rPr>
              <w:color w:val="808080"/>
            </w:rPr>
            <w:t>单击此处输入文字。</w:t>
          </w:r>
        </w:p>
      </w:docPartBody>
    </w:docPart>
    <w:docPart>
      <w:docPartPr>
        <w:name w:val="{c978d1ef-0514-4fce-953d-ff37c5847856}"/>
        <w:style w:val=""/>
        <w:category>
          <w:name w:val="常规"/>
          <w:gallery w:val="placeholder"/>
        </w:category>
        <w:types>
          <w:type w:val="bbPlcHdr"/>
        </w:types>
        <w:behaviors>
          <w:behavior w:val="content"/>
        </w:behaviors>
        <w:description w:val=""/>
        <w:guid w:val="{c978d1ef-0514-4fce-953d-ff37c5847856}"/>
      </w:docPartPr>
      <w:docPartBody>
        <w:p>
          <w:r>
            <w:rPr>
              <w:color w:val="808080"/>
            </w:rPr>
            <w:t>单击此处输入文字。</w:t>
          </w:r>
        </w:p>
      </w:docPartBody>
    </w:docPart>
    <w:docPart>
      <w:docPartPr>
        <w:name w:val="{3c4226c3-0425-49bb-b951-3876cc93635a}"/>
        <w:style w:val=""/>
        <w:category>
          <w:name w:val="常规"/>
          <w:gallery w:val="placeholder"/>
        </w:category>
        <w:types>
          <w:type w:val="bbPlcHdr"/>
        </w:types>
        <w:behaviors>
          <w:behavior w:val="content"/>
        </w:behaviors>
        <w:description w:val=""/>
        <w:guid w:val="{3c4226c3-0425-49bb-b951-3876cc93635a}"/>
      </w:docPartPr>
      <w:docPartBody>
        <w:p>
          <w:r>
            <w:rPr>
              <w:color w:val="808080"/>
            </w:rPr>
            <w:t>单击此处输入文字。</w:t>
          </w:r>
        </w:p>
      </w:docPartBody>
    </w:docPart>
    <w:docPart>
      <w:docPartPr>
        <w:name w:val="{19447c4b-7a87-4c6e-b790-aa0cba30a63e}"/>
        <w:style w:val=""/>
        <w:category>
          <w:name w:val="常规"/>
          <w:gallery w:val="placeholder"/>
        </w:category>
        <w:types>
          <w:type w:val="bbPlcHdr"/>
        </w:types>
        <w:behaviors>
          <w:behavior w:val="content"/>
        </w:behaviors>
        <w:description w:val=""/>
        <w:guid w:val="{19447c4b-7a87-4c6e-b790-aa0cba30a63e}"/>
      </w:docPartPr>
      <w:docPartBody>
        <w:p>
          <w:r>
            <w:rPr>
              <w:color w:val="808080"/>
            </w:rPr>
            <w:t>单击此处输入文字。</w:t>
          </w:r>
        </w:p>
      </w:docPartBody>
    </w:docPart>
    <w:docPart>
      <w:docPartPr>
        <w:name w:val="{7a2d7940-66bd-4385-873f-beb3cf29579b}"/>
        <w:style w:val=""/>
        <w:category>
          <w:name w:val="常规"/>
          <w:gallery w:val="placeholder"/>
        </w:category>
        <w:types>
          <w:type w:val="bbPlcHdr"/>
        </w:types>
        <w:behaviors>
          <w:behavior w:val="content"/>
        </w:behaviors>
        <w:description w:val=""/>
        <w:guid w:val="{7a2d7940-66bd-4385-873f-beb3cf29579b}"/>
      </w:docPartPr>
      <w:docPartBody>
        <w:p>
          <w:r>
            <w:rPr>
              <w:color w:val="808080"/>
            </w:rPr>
            <w:t>单击此处输入文字。</w:t>
          </w:r>
        </w:p>
      </w:docPartBody>
    </w:docPart>
    <w:docPart>
      <w:docPartPr>
        <w:name w:val="{6c6f8d25-a10b-4db7-911c-e85ae9def8d3}"/>
        <w:style w:val=""/>
        <w:category>
          <w:name w:val="常规"/>
          <w:gallery w:val="placeholder"/>
        </w:category>
        <w:types>
          <w:type w:val="bbPlcHdr"/>
        </w:types>
        <w:behaviors>
          <w:behavior w:val="content"/>
        </w:behaviors>
        <w:description w:val=""/>
        <w:guid w:val="{6c6f8d25-a10b-4db7-911c-e85ae9def8d3}"/>
      </w:docPartPr>
      <w:docPartBody>
        <w:p>
          <w:r>
            <w:rPr>
              <w:color w:val="808080"/>
            </w:rPr>
            <w:t>单击此处输入文字。</w:t>
          </w:r>
        </w:p>
      </w:docPartBody>
    </w:docPart>
    <w:docPart>
      <w:docPartPr>
        <w:name w:val="{472e4b55-2f52-4b60-8ce1-f7c7803a6771}"/>
        <w:style w:val=""/>
        <w:category>
          <w:name w:val="常规"/>
          <w:gallery w:val="placeholder"/>
        </w:category>
        <w:types>
          <w:type w:val="bbPlcHdr"/>
        </w:types>
        <w:behaviors>
          <w:behavior w:val="content"/>
        </w:behaviors>
        <w:description w:val=""/>
        <w:guid w:val="{472e4b55-2f52-4b60-8ce1-f7c7803a6771}"/>
      </w:docPartPr>
      <w:docPartBody>
        <w:p>
          <w:r>
            <w:rPr>
              <w:color w:val="808080"/>
            </w:rPr>
            <w:t>单击此处输入文字。</w:t>
          </w:r>
        </w:p>
      </w:docPartBody>
    </w:docPart>
    <w:docPart>
      <w:docPartPr>
        <w:name w:val="{6e9fc792-d68c-46ae-a06e-ce7c84806c71}"/>
        <w:style w:val=""/>
        <w:category>
          <w:name w:val="常规"/>
          <w:gallery w:val="placeholder"/>
        </w:category>
        <w:types>
          <w:type w:val="bbPlcHdr"/>
        </w:types>
        <w:behaviors>
          <w:behavior w:val="content"/>
        </w:behaviors>
        <w:description w:val=""/>
        <w:guid w:val="{6e9fc792-d68c-46ae-a06e-ce7c84806c71}"/>
      </w:docPartPr>
      <w:docPartBody>
        <w:p>
          <w:r>
            <w:rPr>
              <w:color w:val="808080"/>
            </w:rPr>
            <w:t>单击此处输入文字。</w:t>
          </w:r>
        </w:p>
      </w:docPartBody>
    </w:docPart>
    <w:docPart>
      <w:docPartPr>
        <w:name w:val="{adf588e7-9fee-4b33-85f5-4421cf4159c2}"/>
        <w:style w:val=""/>
        <w:category>
          <w:name w:val="常规"/>
          <w:gallery w:val="placeholder"/>
        </w:category>
        <w:types>
          <w:type w:val="bbPlcHdr"/>
        </w:types>
        <w:behaviors>
          <w:behavior w:val="content"/>
        </w:behaviors>
        <w:description w:val=""/>
        <w:guid w:val="{adf588e7-9fee-4b33-85f5-4421cf4159c2}"/>
      </w:docPartPr>
      <w:docPartBody>
        <w:p>
          <w:r>
            <w:rPr>
              <w:color w:val="808080"/>
            </w:rPr>
            <w:t>单击此处输入文字。</w:t>
          </w:r>
        </w:p>
      </w:docPartBody>
    </w:docPart>
    <w:docPart>
      <w:docPartPr>
        <w:name w:val="{7cdb1a77-f3c3-4c69-b50d-58029a635f65}"/>
        <w:style w:val=""/>
        <w:category>
          <w:name w:val="常规"/>
          <w:gallery w:val="placeholder"/>
        </w:category>
        <w:types>
          <w:type w:val="bbPlcHdr"/>
        </w:types>
        <w:behaviors>
          <w:behavior w:val="content"/>
        </w:behaviors>
        <w:description w:val=""/>
        <w:guid w:val="{7cdb1a77-f3c3-4c69-b50d-58029a635f65}"/>
      </w:docPartPr>
      <w:docPartBody>
        <w:p>
          <w:r>
            <w:rPr>
              <w:color w:val="808080"/>
            </w:rPr>
            <w:t>单击此处输入文字。</w:t>
          </w:r>
        </w:p>
      </w:docPartBody>
    </w:docPart>
    <w:docPart>
      <w:docPartPr>
        <w:name w:val="{71a733a5-3e3f-4052-a2a3-05ad2aaff434}"/>
        <w:style w:val=""/>
        <w:category>
          <w:name w:val="常规"/>
          <w:gallery w:val="placeholder"/>
        </w:category>
        <w:types>
          <w:type w:val="bbPlcHdr"/>
        </w:types>
        <w:behaviors>
          <w:behavior w:val="content"/>
        </w:behaviors>
        <w:description w:val=""/>
        <w:guid w:val="{71a733a5-3e3f-4052-a2a3-05ad2aaff434}"/>
      </w:docPartPr>
      <w:docPartBody>
        <w:p>
          <w:r>
            <w:rPr>
              <w:color w:val="808080"/>
            </w:rPr>
            <w:t>单击此处输入文字。</w:t>
          </w:r>
        </w:p>
      </w:docPartBody>
    </w:docPart>
    <w:docPart>
      <w:docPartPr>
        <w:name w:val="{c91933e7-f8ab-41e3-a838-a49ed25e21ff}"/>
        <w:style w:val=""/>
        <w:category>
          <w:name w:val="常规"/>
          <w:gallery w:val="placeholder"/>
        </w:category>
        <w:types>
          <w:type w:val="bbPlcHdr"/>
        </w:types>
        <w:behaviors>
          <w:behavior w:val="content"/>
        </w:behaviors>
        <w:description w:val=""/>
        <w:guid w:val="{c91933e7-f8ab-41e3-a838-a49ed25e21ff}"/>
      </w:docPartPr>
      <w:docPartBody>
        <w:p>
          <w:r>
            <w:rPr>
              <w:color w:val="808080"/>
            </w:rPr>
            <w:t>单击此处输入文字。</w:t>
          </w:r>
        </w:p>
      </w:docPartBody>
    </w:docPart>
    <w:docPart>
      <w:docPartPr>
        <w:name w:val="{254460d0-ad0d-42b3-a1ae-a5d92f8f709e}"/>
        <w:style w:val=""/>
        <w:category>
          <w:name w:val="常规"/>
          <w:gallery w:val="placeholder"/>
        </w:category>
        <w:types>
          <w:type w:val="bbPlcHdr"/>
        </w:types>
        <w:behaviors>
          <w:behavior w:val="content"/>
        </w:behaviors>
        <w:description w:val=""/>
        <w:guid w:val="{254460d0-ad0d-42b3-a1ae-a5d92f8f709e}"/>
      </w:docPartPr>
      <w:docPartBody>
        <w:p>
          <w:r>
            <w:rPr>
              <w:color w:val="808080"/>
            </w:rPr>
            <w:t>单击此处输入文字。</w:t>
          </w:r>
        </w:p>
      </w:docPartBody>
    </w:docPart>
    <w:docPart>
      <w:docPartPr>
        <w:name w:val="{331d3845-13d3-4376-ba7b-e88ffa48cf71}"/>
        <w:style w:val=""/>
        <w:category>
          <w:name w:val="常规"/>
          <w:gallery w:val="placeholder"/>
        </w:category>
        <w:types>
          <w:type w:val="bbPlcHdr"/>
        </w:types>
        <w:behaviors>
          <w:behavior w:val="content"/>
        </w:behaviors>
        <w:description w:val=""/>
        <w:guid w:val="{331d3845-13d3-4376-ba7b-e88ffa48cf71}"/>
      </w:docPartPr>
      <w:docPartBody>
        <w:p>
          <w:r>
            <w:rPr>
              <w:color w:val="808080"/>
            </w:rPr>
            <w:t>单击此处输入文字。</w:t>
          </w:r>
        </w:p>
      </w:docPartBody>
    </w:docPart>
    <w:docPart>
      <w:docPartPr>
        <w:name w:val="{95fc309d-04fd-410e-8e3f-53e9b2277453}"/>
        <w:style w:val=""/>
        <w:category>
          <w:name w:val="常规"/>
          <w:gallery w:val="placeholder"/>
        </w:category>
        <w:types>
          <w:type w:val="bbPlcHdr"/>
        </w:types>
        <w:behaviors>
          <w:behavior w:val="content"/>
        </w:behaviors>
        <w:description w:val=""/>
        <w:guid w:val="{95fc309d-04fd-410e-8e3f-53e9b2277453}"/>
      </w:docPartPr>
      <w:docPartBody>
        <w:p>
          <w:r>
            <w:rPr>
              <w:color w:val="808080"/>
            </w:rPr>
            <w:t>单击此处输入文字。</w:t>
          </w:r>
        </w:p>
      </w:docPartBody>
    </w:docPart>
    <w:docPart>
      <w:docPartPr>
        <w:name w:val="{78e91e16-0734-4284-8a50-d8fb071a678c}"/>
        <w:style w:val=""/>
        <w:category>
          <w:name w:val="常规"/>
          <w:gallery w:val="placeholder"/>
        </w:category>
        <w:types>
          <w:type w:val="bbPlcHdr"/>
        </w:types>
        <w:behaviors>
          <w:behavior w:val="content"/>
        </w:behaviors>
        <w:description w:val=""/>
        <w:guid w:val="{78e91e16-0734-4284-8a50-d8fb071a678c}"/>
      </w:docPartPr>
      <w:docPartBody>
        <w:p>
          <w:r>
            <w:rPr>
              <w:color w:val="808080"/>
            </w:rPr>
            <w:t>单击此处输入文字。</w:t>
          </w:r>
        </w:p>
      </w:docPartBody>
    </w:docPart>
    <w:docPart>
      <w:docPartPr>
        <w:name w:val="{c6c993da-f0c0-49fa-b8de-e7a2da68509b}"/>
        <w:style w:val=""/>
        <w:category>
          <w:name w:val="常规"/>
          <w:gallery w:val="placeholder"/>
        </w:category>
        <w:types>
          <w:type w:val="bbPlcHdr"/>
        </w:types>
        <w:behaviors>
          <w:behavior w:val="content"/>
        </w:behaviors>
        <w:description w:val=""/>
        <w:guid w:val="{c6c993da-f0c0-49fa-b8de-e7a2da68509b}"/>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40cf370c-bcd3-4e13-9c95-48d20cbd8d58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13607597</paraID>
      <start>12</start>
      <end>13</end>
      <status>modified</status>
      <modifiedWord>—</modifiedWord>
      <trackRevisions>false</trackRevisions>
    </reviewItem>
    <reviewItem>
      <errorID>86ebb469-05bd-478d-afa2-2e7024e90cce</errorID>
      <errorWord>9-10万</errorWord>
      <group>L1_Knowledge</group>
      <groupName>知识性问题</groupName>
      <ability>L2_Knowledge</ability>
      <abilityName>其他知识</abilityName>
      <candidateList>
        <item>9万—10万</item>
      </candidateList>
      <explain>1. “9-10万”中的单位“万”仅出现在后一个数字上，容易引起歧义；根据《现代汉语标点符号数字用法规范手册》，数字表示范围两边需要使用统一的格式。2.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5DD27A6F</paraID>
      <start>165</start>
      <end>170</end>
      <status>ignored</status>
      <modifiedWord/>
      <trackRevisions>false</trackRevisions>
    </reviewItem>
    <reviewItem>
      <errorID>5ac266ed-ccd5-4ad2-858d-3221eaf867a9</errorID>
      <errorWord>、</errorWord>
      <group>L1_Word</group>
      <groupName>字词问题</groupName>
      <ability>L2_Typo</ability>
      <abilityName>字词错误</abilityName>
      <candidateList>
        <item>、镇</item>
      </candidateList>
      <explain/>
      <paraID>2DB33F81</paraID>
      <start>249</start>
      <end>250</end>
      <status>ignored</status>
      <modifiedWord/>
      <trackRevisions>false</trackRevisions>
    </reviewItem>
    <reviewItem>
      <errorID>36404332-90ad-4829-857d-e04b63ee5549</errorID>
      <errorWord>四个不摘</errorWord>
      <group>L1_Political</group>
      <groupName>政治性问题</groupName>
      <ability>L2_Keyword</ability>
      <abilityName>固定表述</abilityName>
      <candidateList>
        <item>“四个不摘”</item>
      </candidateList>
      <explain>注意检查当前固定表述标点是否使用规范。</explain>
      <paraID>64534D06</paraID>
      <start>14</start>
      <end>20</end>
      <status>modified</status>
      <modifiedWord>“四个不摘”</modifiedWord>
      <trackRevisions>false</trackRevisions>
    </reviewItem>
    <reviewItem>
      <errorID>3d8acca6-9df9-4a83-b6a4-2af420b615a2</errorID>
      <errorWord>巩固脱贫攻坚成果同乡村振兴有效衔接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词汇“巩固拓展脱贫攻坚成果同乡村振兴有效衔接”在特定场景下为固定表述形式，请确认此处的“巩固脱贫攻坚成果同乡村振兴有效衔接”是否存在不当。</explain>
      <paraID>64534D06</paraID>
      <start>241</start>
      <end>260</end>
      <status>modified</status>
      <modifiedWord>巩固拓展脱贫攻坚成果同乡村振兴有效衔接</modifiedWord>
      <trackRevisions>false</trackRevisions>
    </reviewItem>
    <reviewItem>
      <errorID>4182101a-465a-4b11-a37a-40f15a74ac4d</errorID>
      <errorWord>主要以农产品初级出口为主</errorWord>
      <group>L1_Grammar</group>
      <groupName>语法问题</groupName>
      <ability>L2_Grammar</ability>
      <abilityName>语法错误</abilityName>
      <candidateList>
        <item>以农产品初级出口为主</item>
      </candidateList>
      <explain>该表达中的“主要以农产品初级出口为主”存在语义重复。</explain>
      <paraID> 4F7DA38</paraID>
      <start>64</start>
      <end>76</end>
      <status>ignored</status>
      <modifiedWord/>
      <trackRevisions>false</trackRevisions>
    </reviewItem>
    <reviewItem>
      <errorID>889a1ce3-faa5-4a5c-ac95-7299e47f5164</errorID>
      <errorWord>巩固脱贫攻坚成果</errorWord>
      <group>L1_Word</group>
      <groupName>字词问题</groupName>
      <ability>L2_Typo</ability>
      <abilityName>字词错误</abilityName>
      <candidateList>
        <item>巩固拓展脱贫攻坚成果</item>
      </candidateList>
      <explain/>
      <paraID>3770861B</paraID>
      <start>0</start>
      <end>10</end>
      <status>modified</status>
      <modifiedWord>巩固拓展脱贫攻坚成果</modifiedWord>
      <trackRevisions>false</trackRevisions>
    </reviewItem>
    <reviewItem>
      <errorID>1a5e5f2b-ac17-4d31-b755-40c4f58d0061</errorID>
      <errorWord>亟需</errorWord>
      <group>L1_Word</group>
      <groupName>字词问题</groupName>
      <ability>L2_Typo</ability>
      <abilityName>字词错误</abilityName>
      <candidateList>
        <item>亟须</item>
      </candidateList>
      <explain/>
      <paraID>3770861B</paraID>
      <start>149</start>
      <end>151</end>
      <status>ignored</status>
      <modifiedWord/>
      <trackRevisions>false</trackRevisions>
    </reviewItem>
    <reviewItem>
      <errorID>2988499c-0edc-4586-b1fb-60546a89133b</errorID>
      <errorWord>农产品出口加工</errorWord>
      <group>L1_Political</group>
      <groupName>政治性问题</groupName>
      <ability>L2_Keyword</ability>
      <abilityName>固定表述</abilityName>
      <candidateList>
        <item>农产品精深加工</item>
      </candidateList>
      <explain>词汇“农产品精深加工”在特定场景下为固定表述形式，请确认此处的“农产品出口加工”是否存在不当。</explain>
      <paraID>74A0748F</paraID>
      <start>158</start>
      <end>165</end>
      <status>ignored</status>
      <modifiedWord/>
      <trackRevisions>false</trackRevisions>
    </reviewItem>
    <reviewItem>
      <errorID>359901ac-fd9b-499e-b5f6-95426a5a8fd0</errorID>
      <errorWord>五大战略定位</errorWord>
      <group>L1_Political</group>
      <groupName>政治性问题</groupName>
      <ability>L2_Keyword</ability>
      <abilityName>固定表述</abilityName>
      <candidateList>
        <item>“五大战略定位”</item>
      </candidateList>
      <explain>注意检查当前固定表述标点是否使用规范。</explain>
      <paraID>218F03A9</paraID>
      <start>135</start>
      <end>143</end>
      <status>modified</status>
      <modifiedWord>“五大战略定位”</modifiedWord>
      <trackRevisions>false</trackRevisions>
    </reviewItem>
    <reviewItem>
      <errorID>6b882796-ec77-465b-8940-f80a00f5e754</errorID>
      <errorWord>三农</errorWord>
      <group>L1_Political</group>
      <groupName>政治性问题</groupName>
      <ability>L2_Keyword</ability>
      <abilityName>固定表述</abilityName>
      <candidateList>
        <item>“三农”</item>
      </candidateList>
      <explain>注意检查当前固定表述标点是否使用规范。</explain>
      <paraID>3228C2D8</paraID>
      <start>7</start>
      <end>11</end>
      <status>modified</status>
      <modifiedWord>“三农”</modifiedWord>
      <trackRevisions>false</trackRevisions>
    </reviewItem>
    <reviewItem>
      <errorID>74db911f-13a6-4634-b267-c6e5cdb7f40f</errorID>
      <errorWord>一二三产融合</errorWord>
      <group>L1_Political</group>
      <groupName>政治性问题</groupName>
      <ability>L2_Keyword</ability>
      <abilityName>固定表述</abilityName>
      <candidateList>
        <item>一二三产业融合</item>
      </candidateList>
      <explain>词汇“一二三产业融合”在特定场景下为固定表述形式，请确认此处的“一二三产融合”是否存在不当。</explain>
      <paraID>5FD94A95</paraID>
      <start>86</start>
      <end>93</end>
      <status>modified</status>
      <modifiedWord>一二三产业融合</modifiedWord>
      <trackRevisions>false</trackRevisions>
    </reviewItem>
    <reviewItem>
      <errorID>4f22dee6-223b-4e10-a48e-817f3dc4553b</errorID>
      <errorWord>巩固脱贫攻坚成果</errorWord>
      <group>L1_Word</group>
      <groupName>字词问题</groupName>
      <ability>L2_Typo</ability>
      <abilityName>字词错误</abilityName>
      <candidateList>
        <item>巩固拓展脱贫攻坚成果</item>
      </candidateList>
      <explain/>
      <paraID>7FE6EA6C</paraID>
      <start>46</start>
      <end>56</end>
      <status>modified</status>
      <modifiedWord>巩固拓展脱贫攻坚成果</modifiedWord>
      <trackRevisions>false</trackRevisions>
    </reviewItem>
    <reviewItem>
      <errorID>0a0bc1bf-225a-41e8-a2de-3bb447734dff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360973B</paraID>
      <start>11</start>
      <end>12</end>
      <status>modified</status>
      <modifiedWord>—</modifiedWord>
      <trackRevisions>false</trackRevisions>
    </reviewItem>
    <reviewItem>
      <errorID>622f6d2d-d096-4ab0-b770-35db7ad45ce9</errorID>
      <errorWord>巩固脱贫攻坚成果</errorWord>
      <group>L1_Word</group>
      <groupName>字词问题</groupName>
      <ability>L2_Typo</ability>
      <abilityName>字词错误</abilityName>
      <candidateList>
        <item>巩固拓展脱贫攻坚成果</item>
      </candidateList>
      <explain/>
      <paraID>5D9E8D81</paraID>
      <start>0</start>
      <end>10</end>
      <status>modified</status>
      <modifiedWord>巩固拓展脱贫攻坚成果</modifiedWord>
      <trackRevisions>false</trackRevisions>
    </reviewItem>
    <reviewItem>
      <errorID>4b5e6418-39bf-499e-b1cc-17ba99d01335</errorID>
      <errorWord>农业灌溉水有效利用系数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词汇“农田灌溉水有效利用系数”在特定场景下为固定表述形式，请确认此处的“农业灌溉水有效利用系数”是否存在不当。</explain>
      <paraID>342C85D0</paraID>
      <start>55</start>
      <end>66</end>
      <status>modified</status>
      <modifiedWord>农田灌溉水有效利用系数</modifiedWord>
      <trackRevisions>false</trackRevisions>
    </reviewItem>
    <reviewItem>
      <errorID>47f94dcf-0c15-4d65-91f6-df2a061c79e6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5B64612E</paraID>
      <start>84</start>
      <end>85</end>
      <status>modified</status>
      <modifiedWord>—</modifiedWord>
      <trackRevisions>false</trackRevisions>
    </reviewItem>
    <reviewItem>
      <errorID>1e1478a0-8a7e-4581-88e4-17a3dcd5e780</errorID>
      <errorWord>-</errorWord>
      <group>L1_Format</group>
      <groupName>格式问题</groupName>
      <ability>L2_HalfPunc_CN</ability>
      <abilityName>全半角问题</abilityName>
      <candidateList>
        <item>－</item>
      </candidateList>
      <explain>文本全半角错误。</explain>
      <paraID>7B74396D</paraID>
      <start>122</start>
      <end>123</end>
      <status>modified</status>
      <modifiedWord>－</modifiedWord>
      <trackRevisions>false</trackRevisions>
    </reviewItem>
    <reviewItem>
      <errorID>956ce811-d128-43c7-bbf6-ecf3841beece</errorID>
      <errorWord>-</errorWord>
      <group>L1_Format</group>
      <groupName>格式问题</groupName>
      <ability>L2_HalfPunc_CN</ability>
      <abilityName>全半角问题</abilityName>
      <candidateList>
        <item>－</item>
      </candidateList>
      <explain>文本全半角错误。</explain>
      <paraID>7B74396D</paraID>
      <start>127</start>
      <end>128</end>
      <status>modified</status>
      <modifiedWord>－</modifiedWord>
      <trackRevisions>false</trackRevisions>
    </reviewItem>
    <reviewItem>
      <errorID>94934293-ae7e-45a2-b434-179c27635eb4</errorID>
      <errorWord>-</errorWord>
      <group>L1_Format</group>
      <groupName>格式问题</groupName>
      <ability>L2_HalfPunc_CN</ability>
      <abilityName>全半角问题</abilityName>
      <candidateList>
        <item>－</item>
      </candidateList>
      <explain>文本全半角错误。</explain>
      <paraID>7B74396D</paraID>
      <start>132</start>
      <end>133</end>
      <status>modified</status>
      <modifiedWord>－</modifiedWord>
      <trackRevisions>false</trackRevisions>
    </reviewItem>
    <reviewItem>
      <errorID>e904c915-64f7-4d9e-baff-82fc89e17889</errorID>
      <errorWord>到</errorWord>
      <group>L1_Word</group>
      <groupName>字词问题</groupName>
      <ability>L2_Typo</ability>
      <abilityName>字词错误</abilityName>
      <candidateList>
        <item>到千</item>
      </candidateList>
      <explain/>
      <paraID>125CC697</paraID>
      <start>56</start>
      <end>57</end>
      <status>ignored</status>
      <modifiedWord/>
      <trackRevisions>false</trackRevisions>
    </reviewItem>
    <reviewItem>
      <errorID>73d3916c-f2cd-4f81-956d-50d429b563b4</errorID>
      <errorWord>一二三产融合</errorWord>
      <group>L1_Political</group>
      <groupName>政治性问题</groupName>
      <ability>L2_Keyword</ability>
      <abilityName>固定表述</abilityName>
      <candidateList>
        <item>一二三产业融合</item>
      </candidateList>
      <explain>词汇“一二三产业融合”在特定场景下为固定表述形式，请确认此处的“一二三产融合”是否存在不当。</explain>
      <paraID> A7DC16C</paraID>
      <start>2</start>
      <end>8</end>
      <status>ignored</status>
      <modifiedWord/>
      <trackRevisions>false</trackRevisions>
    </reviewItem>
    <reviewItem>
      <errorID>4e0f7808-4324-4a7a-8f4e-2504ef450c9b</errorID>
      <errorWord>办好的</errorWord>
      <group>L1_Word</group>
      <groupName>字词问题</groupName>
      <ability>L2_Typo</ability>
      <abilityName>字词错误</abilityName>
      <candidateList>
        <item>办好</item>
      </candidateList>
      <explain/>
      <paraID>456E8B33</paraID>
      <start>14</start>
      <end>16</end>
      <status>modified</status>
      <modifiedWord>办好</modifiedWord>
      <trackRevisions>false</trackRevisions>
    </reviewItem>
    <reviewItem>
      <errorID>2af6987d-e533-4aa0-b7cf-b91174c318ef</errorID>
      <errorWord>医疗卫生强基工程</errorWord>
      <group>L1_Political</group>
      <groupName>政治性问题</groupName>
      <ability>L2_Keyword</ability>
      <abilityName>固定表述</abilityName>
      <candidateList>
        <item>医疗卫生“强基工程”</item>
      </candidateList>
      <explain>注意检查当前固定表述标点是否使用规范。</explain>
      <paraID>31117116</paraID>
      <start>61</start>
      <end>71</end>
      <status>modified</status>
      <modifiedWord>医疗卫生“强基工程”</modifiedWord>
      <trackRevisions>false</trackRevisions>
    </reviewItem>
    <reviewItem>
      <errorID>746da54c-7cc1-4eef-b955-ab8d58671c5b</errorID>
      <errorWord>紧密型市域医共体</errorWord>
      <group>L1_Political</group>
      <groupName>政治性问题</groupName>
      <ability>L2_Keyword</ability>
      <abilityName>固定表述</abilityName>
      <candidateList>
        <item>紧密型县域医共体</item>
      </candidateList>
      <explain>词汇“紧密型县域医共体”在特定场景下为固定表述形式，请确认此处的“紧密型市域医共体”是否存在不当。</explain>
      <paraID>31117116</paraID>
      <start>107</start>
      <end>115</end>
      <status>modified</status>
      <modifiedWord>紧密型县域医共体</modifiedWord>
      <trackRevisions>false</trackRevisions>
    </reviewItem>
    <reviewItem>
      <errorID>eede49df-c603-4258-9fee-103b44b5784c</errorID>
      <errorWord>惠农惠农</errorWord>
      <group>L1_Word</group>
      <groupName>字词问题</groupName>
      <ability>L2_Typo</ability>
      <abilityName>字词错误</abilityName>
      <candidateList>
        <item>惠农</item>
      </candidateList>
      <explain/>
      <paraID>46A48715</paraID>
      <start>30</start>
      <end>32</end>
      <status>modified</status>
      <modifiedWord>惠农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5fee16-73ff-4f7b-866a-8d4a95b69410}">
  <ds:schemaRefs/>
</ds:datastoreItem>
</file>

<file path=docProps/app.xml><?xml version="1.0" encoding="utf-8"?>
<Properties xmlns="http://schemas.openxmlformats.org/officeDocument/2006/extended-properties" xmlns:vt="http://schemas.openxmlformats.org/officeDocument/2006/docPropsVTypes">
  <Pages>37</Pages>
  <Words>18301</Words>
  <Characters>18758</Characters>
  <TotalTime>42</TotalTime>
  <ScaleCrop>false</ScaleCrop>
  <LinksUpToDate>false</LinksUpToDate>
  <CharactersWithSpaces>18767</CharactersWithSpaces>
  <Application>WPS Office_11.8.2.8696_F1E327BC-269C-435d-A152-05C5408002CA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2026-04-29T04:06:00Z</dcterms:created>
  <dc:creator>Apache POI</dc:creator>
  <cp:lastModifiedBy>admiin</cp:lastModifiedBy>
  <cp:lastPrinted>2026-09-29T11:45:32Z</cp:lastPrinted>
  <dcterms:modified xsi:type="dcterms:W3CDTF">2026-09-29T11:58:07Z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eyJoZGlkIjoiYmVlZDYwNjFmODIwZTc3YWE2NmU1ZTJkMGZlNWVlOGUiLCJ1c2VySWQiOiIxMTgxNDA4ODgyIn0=</vt:lpwstr>
  </property>
  <property fmtid="{D5CDD505-2E9C-101B-9397-08002B2CF9AE}" pid="3" name="KSOProductBuildVer">
    <vt:lpwstr>2052-11.8.2.8696</vt:lpwstr>
  </property>
  <property fmtid="{D5CDD505-2E9C-101B-9397-08002B2CF9AE}" pid="4" name="ICV">
    <vt:lpwstr>AACEE6B7585A43FD8C1123033B934C09_13</vt:lpwstr>
  </property>
</Properties>
</file>