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i w:val="0"/>
          <w:caps w:val="0"/>
          <w:color w:val="auto"/>
          <w:spacing w:val="0"/>
          <w:w w:val="9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i w:val="0"/>
          <w:caps w:val="0"/>
          <w:color w:val="auto"/>
          <w:spacing w:val="0"/>
          <w:w w:val="9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i w:val="0"/>
          <w:caps w:val="0"/>
          <w:color w:val="auto"/>
          <w:spacing w:val="0"/>
          <w:w w:val="9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i w:val="0"/>
          <w:caps w:val="0"/>
          <w:color w:val="auto"/>
          <w:spacing w:val="0"/>
          <w:w w:val="9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i w:val="0"/>
          <w:caps w:val="0"/>
          <w:color w:val="auto"/>
          <w:spacing w:val="0"/>
          <w:w w:val="9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700" w:lineRule="exact"/>
        <w:jc w:val="center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霍市乡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振发〔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2022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〕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i w:val="0"/>
          <w:caps w:val="0"/>
          <w:color w:val="auto"/>
          <w:spacing w:val="0"/>
          <w:w w:val="9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4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i w:val="0"/>
          <w:caps w:val="0"/>
          <w:color w:val="auto"/>
          <w:spacing w:val="0"/>
          <w:w w:val="9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i w:val="0"/>
          <w:caps w:val="0"/>
          <w:color w:val="auto"/>
          <w:spacing w:val="0"/>
          <w:w w:val="90"/>
          <w:sz w:val="44"/>
          <w:szCs w:val="44"/>
          <w:lang w:eastAsia="zh-CN"/>
        </w:rPr>
        <w:t>霍尔果斯市</w:t>
      </w: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lang w:val="en-US" w:eastAsia="zh-CN"/>
        </w:rPr>
        <w:t>2022</w:t>
      </w: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  <w:t>年</w:t>
      </w: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lang w:eastAsia="zh-CN"/>
        </w:rPr>
        <w:t>中央财政衔接推进乡村振兴</w:t>
      </w:r>
      <w:r>
        <w:rPr>
          <w:rFonts w:hint="default" w:ascii="Times New Roman" w:hAnsi="Times New Roman" w:eastAsia="方正小标宋_GBK" w:cs="Times New Roman"/>
          <w:b w:val="0"/>
          <w:bCs w:val="0"/>
          <w:i w:val="0"/>
          <w:caps w:val="0"/>
          <w:color w:val="auto"/>
          <w:spacing w:val="0"/>
          <w:w w:val="90"/>
          <w:sz w:val="44"/>
          <w:szCs w:val="44"/>
          <w:lang w:eastAsia="zh-CN"/>
        </w:rPr>
        <w:t>补助资金项目</w:t>
      </w:r>
      <w:r>
        <w:rPr>
          <w:rFonts w:hint="default" w:ascii="Times New Roman" w:hAnsi="Times New Roman" w:eastAsia="方正小标宋_GBK" w:cs="Times New Roman"/>
          <w:b w:val="0"/>
          <w:bCs w:val="0"/>
          <w:i w:val="0"/>
          <w:caps w:val="0"/>
          <w:color w:val="auto"/>
          <w:spacing w:val="0"/>
          <w:w w:val="90"/>
          <w:sz w:val="44"/>
          <w:szCs w:val="44"/>
          <w:lang w:val="en-US" w:eastAsia="zh-CN"/>
        </w:rPr>
        <w:t>实施方案</w:t>
      </w:r>
    </w:p>
    <w:p>
      <w:pPr>
        <w:pStyle w:val="2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方正仿宋简体" w:cs="Times New Roman"/>
          <w:b w:val="0"/>
          <w:bCs w:val="0"/>
          <w:kern w:val="2"/>
          <w:sz w:val="32"/>
          <w:szCs w:val="32"/>
          <w:lang w:val="en-US" w:eastAsia="zh-CN" w:bidi="zh-TW"/>
        </w:rPr>
        <w:t>根据自治州财政局（关于下达2022年中央财政衔接推进乡村振兴补助资金的通知》（伊州财农</w:t>
      </w:r>
      <w:r>
        <w:rPr>
          <w:rFonts w:hint="default" w:ascii="Times New Roman" w:hAnsi="Times New Roman" w:eastAsia="仿宋" w:cs="Times New Roman"/>
          <w:sz w:val="32"/>
          <w:szCs w:val="32"/>
        </w:rPr>
        <w:t>〔20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22</w:t>
      </w:r>
      <w:r>
        <w:rPr>
          <w:rFonts w:hint="default" w:ascii="Times New Roman" w:hAnsi="Times New Roman" w:eastAsia="仿宋" w:cs="Times New Roman"/>
          <w:sz w:val="32"/>
          <w:szCs w:val="32"/>
        </w:rPr>
        <w:t>〕</w:t>
      </w:r>
      <w:r>
        <w:rPr>
          <w:rFonts w:hint="default" w:ascii="Times New Roman" w:hAnsi="Times New Roman" w:eastAsia="方正仿宋简体" w:cs="Times New Roman"/>
          <w:b w:val="0"/>
          <w:bCs w:val="0"/>
          <w:kern w:val="2"/>
          <w:sz w:val="32"/>
          <w:szCs w:val="32"/>
          <w:lang w:val="en-US" w:eastAsia="zh-CN" w:bidi="zh-TW"/>
        </w:rPr>
        <w:t>15号），下达至</w:t>
      </w:r>
      <w:r>
        <w:rPr>
          <w:rFonts w:hint="eastAsia" w:ascii="Times New Roman" w:hAnsi="Times New Roman" w:eastAsia="方正仿宋简体" w:cs="Times New Roman"/>
          <w:b w:val="0"/>
          <w:bCs w:val="0"/>
          <w:kern w:val="2"/>
          <w:sz w:val="32"/>
          <w:szCs w:val="32"/>
          <w:lang w:val="en-US" w:eastAsia="zh-CN" w:bidi="zh-TW"/>
        </w:rPr>
        <w:t>霍尔果斯市</w:t>
      </w:r>
      <w:r>
        <w:rPr>
          <w:rFonts w:hint="default" w:ascii="Times New Roman" w:hAnsi="Times New Roman" w:eastAsia="方正仿宋简体" w:cs="Times New Roman"/>
          <w:b w:val="0"/>
          <w:bCs w:val="0"/>
          <w:kern w:val="2"/>
          <w:sz w:val="32"/>
          <w:szCs w:val="32"/>
          <w:lang w:val="en-US" w:eastAsia="zh-CN" w:bidi="zh-TW"/>
        </w:rPr>
        <w:t>2022年中央财政衔接推进乡村振兴补助资金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zh-TW"/>
        </w:rPr>
        <w:t>2518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万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元，备案实施乡村振兴补助资金项目</w:t>
      </w:r>
      <w:r>
        <w:rPr>
          <w:rFonts w:hint="eastAsia" w:ascii="Times New Roman" w:hAnsi="Times New Roman" w:eastAsia="仿宋" w:cs="Times New Roman"/>
          <w:color w:val="FF000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个。为扎实有序推进项目建设，确保项目建设取得实效，按照《新疆维吾尔自治区财政衔接推进乡村振兴补助资金管理办法》（新财规〔2021〕11号</w:t>
      </w:r>
      <w:bookmarkStart w:id="0" w:name="_GoBack"/>
      <w:bookmarkEnd w:id="0"/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）、《新疆维吾尔自治区财政衔接推进乡村振兴补助资金（巩固拓展脱贫攻坚成果和乡村振兴任务）项目管理办法（暂行）》（新乡振〔2021〕32）的要求，制定本实施方案。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简体" w:cs="Times New Roman"/>
          <w:b/>
          <w:bCs/>
          <w:kern w:val="2"/>
          <w:sz w:val="32"/>
          <w:szCs w:val="32"/>
          <w:lang w:val="en-US" w:eastAsia="zh-CN" w:bidi="zh-TW"/>
        </w:rPr>
      </w:pPr>
      <w:r>
        <w:rPr>
          <w:rFonts w:hint="default" w:ascii="Times New Roman" w:hAnsi="Times New Roman" w:eastAsia="方正黑体简体" w:cs="Times New Roman"/>
          <w:b/>
          <w:bCs/>
          <w:kern w:val="2"/>
          <w:sz w:val="32"/>
          <w:szCs w:val="32"/>
          <w:lang w:val="en-US" w:eastAsia="zh-CN" w:bidi="zh-TW"/>
        </w:rPr>
        <w:t>一、项目建设指导思想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深入贯彻落实中央、自治区、州关于衔接推进乡村振兴工作的部署要求，牢固树立新发展理念，落实高质量发展要求，坚持农业农村优先发展总方针，以实施乡村振兴战略为总抓手，以农业供给侧结构性改革为主线，围绕农村一二三产业融合发展，与脱贫攻坚有效衔接，充分挖掘乡村多种功能和价值，聚焦重点产业，聚集资源要素，加快构建现代产业体系、生产体系和经营体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简体" w:cs="Times New Roman"/>
          <w:b/>
          <w:bCs/>
          <w:kern w:val="2"/>
          <w:sz w:val="32"/>
          <w:szCs w:val="32"/>
          <w:lang w:val="en-US" w:eastAsia="zh-CN" w:bidi="zh-TW"/>
        </w:rPr>
      </w:pPr>
      <w:r>
        <w:rPr>
          <w:rFonts w:hint="default" w:ascii="Times New Roman" w:hAnsi="Times New Roman" w:eastAsia="方正黑体简体" w:cs="Times New Roman"/>
          <w:b/>
          <w:bCs/>
          <w:kern w:val="2"/>
          <w:sz w:val="32"/>
          <w:szCs w:val="32"/>
          <w:lang w:val="en-US" w:eastAsia="zh-CN" w:bidi="zh-TW"/>
        </w:rPr>
        <w:t>二、项目建设原则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（一）合力推进原则。由项目主管部门牵头组织，社会广泛参与，群众投工投劳，各司其职、各记其功、合力攻坚，共同推进乡村振兴补助资金项目建设。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（二）群众主体原则。优先选择群众最关心、最直接、最迫切的项目，确保最大受益、最广泛受益。建设项目根据群众意见科学安排，建设过程有群众参与监督，后续管理有管护台账，形成群众自我建设、自我管理、自我发展的良好机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（三）创新示范原则。在项目建设过程中，注重政策、机制和方法创新，边实施、边总结、边宣传、边示范，充分发挥示范引领作用。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简体" w:cs="Times New Roman"/>
          <w:b/>
          <w:bCs/>
          <w:kern w:val="2"/>
          <w:sz w:val="32"/>
          <w:szCs w:val="32"/>
          <w:lang w:val="en-US" w:eastAsia="zh-CN" w:bidi="zh-TW"/>
        </w:rPr>
      </w:pPr>
      <w:r>
        <w:rPr>
          <w:rFonts w:hint="default" w:ascii="Times New Roman" w:hAnsi="Times New Roman" w:eastAsia="方正黑体简体" w:cs="Times New Roman"/>
          <w:b/>
          <w:bCs/>
          <w:kern w:val="2"/>
          <w:sz w:val="32"/>
          <w:szCs w:val="32"/>
          <w:lang w:val="en-US" w:eastAsia="zh-CN" w:bidi="zh-TW"/>
        </w:rPr>
        <w:t>三、项目建设内容及投资估算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FF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项目投入资金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2518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万元，实施项目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个，其中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产业发展项目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个，实施霍尔果斯市现代农业科技产业园自动分拣包装生产线建设项目100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万元；乡村建设行动项目3个，霍尔果斯市莫乎尔片区卡拉巴克旅游民宿示范村基础设施建设项目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1107万元，霍尔果斯市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莫乎尔片区三泉沟水源地清淤及管网更换工程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78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万元，霍尔果斯市伊车嘎善锡伯乡应急抗旱蓄水池项目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308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万元；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项目管理费1个，资金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25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万元（详见附件）。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简体" w:cs="Times New Roman"/>
          <w:b/>
          <w:bCs/>
          <w:kern w:val="2"/>
          <w:sz w:val="32"/>
          <w:szCs w:val="32"/>
          <w:lang w:val="en-US" w:eastAsia="zh-CN" w:bidi="zh-TW"/>
        </w:rPr>
      </w:pPr>
      <w:r>
        <w:rPr>
          <w:rFonts w:hint="default" w:ascii="Times New Roman" w:hAnsi="Times New Roman" w:eastAsia="方正黑体简体" w:cs="Times New Roman"/>
          <w:b/>
          <w:bCs/>
          <w:kern w:val="2"/>
          <w:sz w:val="32"/>
          <w:szCs w:val="32"/>
          <w:lang w:val="en-US" w:eastAsia="zh-CN" w:bidi="zh-TW"/>
        </w:rPr>
        <w:t>四、项目实施计划进度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（一）准备阶段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2022年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月，完成工程设计、造价咨询、招投标等项目前期工作，做好群众宣传发动和动员工作。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（二）实施阶段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2022年7月－9月，项目实施竣工并验收完成。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（三）总结阶段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2022年10月，完成项目结算、报账、资产入账等工作。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简体" w:cs="Times New Roman"/>
          <w:b/>
          <w:bCs/>
          <w:kern w:val="2"/>
          <w:sz w:val="32"/>
          <w:szCs w:val="32"/>
          <w:lang w:val="en-US" w:eastAsia="zh-CN" w:bidi="zh-TW"/>
        </w:rPr>
      </w:pPr>
      <w:r>
        <w:rPr>
          <w:rFonts w:hint="default" w:ascii="Times New Roman" w:hAnsi="Times New Roman" w:eastAsia="方正黑体简体" w:cs="Times New Roman"/>
          <w:b/>
          <w:bCs/>
          <w:kern w:val="2"/>
          <w:sz w:val="32"/>
          <w:szCs w:val="32"/>
          <w:lang w:val="en-US" w:eastAsia="zh-CN" w:bidi="zh-TW"/>
        </w:rPr>
        <w:t>五、项目建设保障措施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（一）组织保障</w:t>
      </w:r>
    </w:p>
    <w:p>
      <w:pPr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 xml:space="preserve">为确保项目顺利实施，实现预期目标，成立项目建设工作领导小组，负责项目的组织协调和监督管理作。  </w:t>
      </w:r>
      <w:r>
        <w:rPr>
          <w:rFonts w:hint="default" w:ascii="Times New Roman" w:hAnsi="Times New Roman" w:cs="Times New Roma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（二）资金管理</w:t>
      </w: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严格按照相关规定，项目资金实行专项管理，专款专用，建立完善的项目资金管理机制，严格执行财务审批制度，坚持做到项目建设事前公示事后公告，提高资金使用透明度。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（三）项目档案管理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 xml:space="preserve">  加强项目管理制度和管理建设，对项目建设过程中的图像、文字等痕迹资料进行收集管理，明确专人负责项目资料收集和管理工作，建立台帐，及时进行档案移交。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（四）公示公告</w:t>
      </w: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对项目实施情况实行公示、公告，使群众能掌握项目实施前、后的建设内容、规模、投资和完成情况，设立监督举报电话，接受群众的监督，保障群众的知情权、监督权和参与管理权。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（五）认真做好项目资产移交及后续管理</w:t>
      </w: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项目竣工验收合格后，及时进行项目资产移交，并按照“谁受益、谁管理”的原则，督促村委会和村民小组制定科学合理的项目后续管理办法，指导和监督村民小组抓好项目后续管理，确保项目充分发挥效益。</w:t>
      </w: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</w:p>
    <w:p>
      <w:pPr>
        <w:spacing w:before="0" w:beforeAutospacing="0" w:after="0" w:afterAutospacing="0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简体" w:cs="Times New Roman"/>
          <w:sz w:val="32"/>
          <w:szCs w:val="32"/>
          <w:lang w:val="en-US" w:eastAsia="zh-CN"/>
        </w:rPr>
        <w:t>附件：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霍尔果斯市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2022年中央财政衔接推进乡村振兴补助资金项目备案表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;</w:t>
      </w:r>
    </w:p>
    <w:p>
      <w:pPr>
        <w:pStyle w:val="2"/>
        <w:rPr>
          <w:rFonts w:hint="default" w:ascii="Times New Roman" w:hAnsi="Times New Roman" w:cs="Times New Roman"/>
          <w:lang w:val="en-US" w:eastAsia="zh-CN"/>
        </w:rPr>
      </w:pPr>
    </w:p>
    <w:p>
      <w:pPr>
        <w:jc w:val="center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</w:p>
    <w:p>
      <w:pPr>
        <w:jc w:val="center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</w:p>
    <w:p>
      <w:pPr>
        <w:jc w:val="center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 xml:space="preserve">                 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霍尔果斯市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乡村振兴局</w:t>
      </w: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 xml:space="preserve">                       2022年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30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日</w:t>
      </w: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0N2JmNmZlMDI3YzM5M2ViODgxYTJmOTg0MmU5NTkifQ=="/>
  </w:docVars>
  <w:rsids>
    <w:rsidRoot w:val="00000000"/>
    <w:rsid w:val="05DD74AE"/>
    <w:rsid w:val="0A0359AE"/>
    <w:rsid w:val="2C9A123B"/>
    <w:rsid w:val="2EA645D8"/>
    <w:rsid w:val="364C212A"/>
    <w:rsid w:val="3AB93FE2"/>
    <w:rsid w:val="3E657C6D"/>
    <w:rsid w:val="576454A0"/>
    <w:rsid w:val="57DA6C4E"/>
    <w:rsid w:val="5B607364"/>
    <w:rsid w:val="6726566F"/>
    <w:rsid w:val="673E0844"/>
    <w:rsid w:val="68CE09C0"/>
    <w:rsid w:val="70D8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rPr>
      <w:rFonts w:ascii="Calibri" w:hAnsi="Calibri" w:eastAsia="宋体" w:cs="Times New Roman"/>
    </w:rPr>
  </w:style>
  <w:style w:type="paragraph" w:styleId="3">
    <w:name w:val="table of authorities"/>
    <w:basedOn w:val="1"/>
    <w:next w:val="1"/>
    <w:qFormat/>
    <w:uiPriority w:val="0"/>
    <w:pPr>
      <w:ind w:left="420" w:leftChars="200"/>
    </w:pPr>
    <w:rPr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1536</Words>
  <Characters>1603</Characters>
  <Lines>0</Lines>
  <Paragraphs>0</Paragraphs>
  <TotalTime>27</TotalTime>
  <ScaleCrop>false</ScaleCrop>
  <LinksUpToDate>false</LinksUpToDate>
  <CharactersWithSpaces>1661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2022-06-12T02:34:00Z</cp:lastPrinted>
  <dcterms:modified xsi:type="dcterms:W3CDTF">2022-07-01T03:20:11Z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9EA13CE7D87E40C9B766355179AF9326</vt:lpwstr>
  </property>
</Properties>
</file>