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B83E2B">
      <w:pPr>
        <w:autoSpaceDE w:val="0"/>
        <w:autoSpaceDN w:val="0"/>
        <w:adjustRightInd w:val="0"/>
        <w:rPr>
          <w:b/>
          <w:bCs/>
          <w:kern w:val="0"/>
          <w:sz w:val="30"/>
          <w:szCs w:val="30"/>
        </w:rPr>
      </w:pPr>
      <w:r>
        <w:rPr>
          <w:b/>
          <w:bCs/>
          <w:kern w:val="0"/>
          <w:sz w:val="30"/>
          <w:szCs w:val="30"/>
        </w:rPr>
        <w:t>UDC</w:t>
      </w:r>
    </w:p>
    <w:p w14:paraId="1B35BD15">
      <w:pPr>
        <w:wordWrap w:val="0"/>
        <w:autoSpaceDE w:val="0"/>
        <w:autoSpaceDN w:val="0"/>
        <w:adjustRightInd w:val="0"/>
        <w:jc w:val="right"/>
        <w:rPr>
          <w:rFonts w:eastAsia="黑体"/>
          <w:kern w:val="0"/>
          <w:sz w:val="36"/>
          <w:szCs w:val="36"/>
        </w:rPr>
      </w:pPr>
      <w:r>
        <w:rPr>
          <w:rFonts w:hint="eastAsia" w:eastAsia="黑体"/>
          <w:kern w:val="0"/>
          <w:sz w:val="36"/>
          <w:szCs w:val="36"/>
        </w:rPr>
        <w:t>中华人民共和国国家标准</w:t>
      </w:r>
      <w:r>
        <w:rPr>
          <w:rFonts w:eastAsia="黑体"/>
          <w:kern w:val="0"/>
          <w:sz w:val="36"/>
          <w:szCs w:val="36"/>
        </w:rPr>
        <w:t xml:space="preserve">    </w:t>
      </w:r>
      <w:r>
        <w:rPr>
          <w:rFonts w:eastAsia="黑体"/>
          <w:kern w:val="0"/>
          <w:sz w:val="36"/>
          <w:szCs w:val="36"/>
        </w:rPr>
        <w:drawing>
          <wp:inline distT="0" distB="0" distL="114300" distR="114300">
            <wp:extent cx="1077595" cy="586740"/>
            <wp:effectExtent l="0" t="0" r="825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rcRect r="1682"/>
                    <a:stretch>
                      <a:fillRect/>
                    </a:stretch>
                  </pic:blipFill>
                  <pic:spPr>
                    <a:xfrm>
                      <a:off x="0" y="0"/>
                      <a:ext cx="1077595" cy="586740"/>
                    </a:xfrm>
                    <a:prstGeom prst="rect">
                      <a:avLst/>
                    </a:prstGeom>
                    <a:noFill/>
                    <a:ln>
                      <a:noFill/>
                    </a:ln>
                  </pic:spPr>
                </pic:pic>
              </a:graphicData>
            </a:graphic>
          </wp:inline>
        </w:drawing>
      </w:r>
    </w:p>
    <w:p w14:paraId="77A390B6">
      <w:pPr>
        <w:autoSpaceDE w:val="0"/>
        <w:autoSpaceDN w:val="0"/>
        <w:adjustRightInd w:val="0"/>
        <w:rPr>
          <w:b/>
          <w:bCs/>
          <w:kern w:val="0"/>
          <w:szCs w:val="28"/>
        </w:rPr>
      </w:pPr>
      <w:r>
        <w:rPr>
          <w:b/>
          <w:bCs/>
          <w:kern w:val="0"/>
          <w:sz w:val="24"/>
        </w:rPr>
        <w:t xml:space="preserve">P                                      </w:t>
      </w:r>
      <w:r>
        <w:rPr>
          <w:rFonts w:hint="eastAsia"/>
          <w:b/>
          <w:bCs/>
          <w:kern w:val="0"/>
          <w:sz w:val="24"/>
        </w:rPr>
        <w:t xml:space="preserve">     </w:t>
      </w:r>
      <w:r>
        <w:rPr>
          <w:b/>
          <w:bCs/>
          <w:kern w:val="0"/>
          <w:sz w:val="24"/>
        </w:rPr>
        <w:t xml:space="preserve">        </w:t>
      </w:r>
      <w:r>
        <w:rPr>
          <w:b/>
          <w:bCs/>
          <w:kern w:val="0"/>
          <w:szCs w:val="28"/>
        </w:rPr>
        <w:t xml:space="preserve">GB/T </w:t>
      </w:r>
      <w:r>
        <w:rPr>
          <w:rFonts w:hint="eastAsia"/>
          <w:b/>
          <w:bCs/>
          <w:kern w:val="0"/>
          <w:szCs w:val="28"/>
        </w:rPr>
        <w:t>50420</w:t>
      </w:r>
      <w:r>
        <w:rPr>
          <w:b/>
          <w:bCs/>
          <w:kern w:val="0"/>
          <w:szCs w:val="28"/>
        </w:rPr>
        <w:t>– 20</w:t>
      </w:r>
      <w:r>
        <w:rPr>
          <w:rFonts w:hint="eastAsia"/>
          <w:b/>
          <w:bCs/>
          <w:kern w:val="0"/>
          <w:szCs w:val="28"/>
          <w:lang w:val="en-US" w:eastAsia="zh-CN"/>
        </w:rPr>
        <w:t>2</w:t>
      </w:r>
      <w:r>
        <w:rPr>
          <w:b/>
          <w:bCs/>
          <w:kern w:val="0"/>
          <w:szCs w:val="28"/>
        </w:rPr>
        <w:t>X</w:t>
      </w:r>
    </w:p>
    <w:p w14:paraId="58F39E43">
      <w:pPr>
        <w:autoSpaceDE w:val="0"/>
        <w:autoSpaceDN w:val="0"/>
        <w:adjustRightInd w:val="0"/>
        <w:rPr>
          <w:b/>
          <w:bCs/>
          <w:kern w:val="0"/>
          <w:szCs w:val="28"/>
        </w:rPr>
      </w:pPr>
      <w:r>
        <mc:AlternateContent>
          <mc:Choice Requires="wps">
            <w:drawing>
              <wp:anchor distT="0" distB="0" distL="114300" distR="114300" simplePos="0" relativeHeight="251659264" behindDoc="0" locked="0" layoutInCell="1" allowOverlap="1">
                <wp:simplePos x="0" y="0"/>
                <wp:positionH relativeFrom="column">
                  <wp:posOffset>-125095</wp:posOffset>
                </wp:positionH>
                <wp:positionV relativeFrom="paragraph">
                  <wp:posOffset>55245</wp:posOffset>
                </wp:positionV>
                <wp:extent cx="5666740" cy="0"/>
                <wp:effectExtent l="0" t="9525" r="10160" b="9525"/>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flipV="1">
                          <a:off x="0" y="0"/>
                          <a:ext cx="5666740" cy="0"/>
                        </a:xfrm>
                        <a:prstGeom prst="line">
                          <a:avLst/>
                        </a:prstGeom>
                        <a:noFill/>
                        <a:ln w="19050">
                          <a:solidFill>
                            <a:srgbClr val="000000"/>
                          </a:solidFill>
                          <a:round/>
                        </a:ln>
                        <a:effectLst/>
                      </wps:spPr>
                      <wps:bodyPr/>
                    </wps:wsp>
                  </a:graphicData>
                </a:graphic>
              </wp:anchor>
            </w:drawing>
          </mc:Choice>
          <mc:Fallback>
            <w:pict>
              <v:line id="_x0000_s1026" o:spid="_x0000_s1026" o:spt="20" style="position:absolute;left:0pt;flip:y;margin-left:-9.85pt;margin-top:4.35pt;height:0pt;width:446.2pt;z-index:251659264;mso-width-relative:page;mso-height-relative:page;" filled="f" stroked="t" coordsize="21600,21600" o:gfxdata="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08KF4NQAAAAHAQAADwAAAAAAAAABACAAAAAiAAAAZHJzL2Rvd25yZXYueG1sUEsBAhQAFAAAAAgA&#10;h07iQPRuKQ/wAQAAwwMAAA4AAAAAAAAAAQAgAAAAIwEAAGRycy9lMm9Eb2MueG1sUEsFBgAAAAAG&#10;AAYAWQEAAIUFAAAAAA==&#10;">
                <v:fill on="f" focussize="0,0"/>
                <v:stroke weight="1.5pt" color="#000000" joinstyle="round"/>
                <v:imagedata o:title=""/>
                <o:lock v:ext="edit" aspectratio="f"/>
              </v:line>
            </w:pict>
          </mc:Fallback>
        </mc:AlternateContent>
      </w:r>
    </w:p>
    <w:p w14:paraId="150B4BD5">
      <w:pPr>
        <w:autoSpaceDE w:val="0"/>
        <w:autoSpaceDN w:val="0"/>
        <w:adjustRightInd w:val="0"/>
        <w:rPr>
          <w:b/>
          <w:bCs/>
          <w:kern w:val="0"/>
          <w:szCs w:val="28"/>
        </w:rPr>
      </w:pPr>
    </w:p>
    <w:p w14:paraId="10443284">
      <w:pPr>
        <w:spacing w:before="312" w:beforeLines="100" w:after="312" w:afterLines="100" w:line="300" w:lineRule="auto"/>
        <w:jc w:val="center"/>
        <w:rPr>
          <w:rFonts w:hint="eastAsia" w:eastAsia="黑体"/>
          <w:b/>
          <w:bCs/>
          <w:w w:val="95"/>
          <w:sz w:val="48"/>
          <w:szCs w:val="28"/>
        </w:rPr>
      </w:pPr>
    </w:p>
    <w:p w14:paraId="6D68D589">
      <w:pPr>
        <w:spacing w:before="312" w:beforeLines="100" w:after="312" w:afterLines="100" w:line="300" w:lineRule="auto"/>
        <w:jc w:val="center"/>
        <w:rPr>
          <w:rFonts w:eastAsia="黑体"/>
          <w:b/>
          <w:bCs/>
          <w:w w:val="95"/>
          <w:sz w:val="48"/>
          <w:szCs w:val="28"/>
        </w:rPr>
      </w:pPr>
      <w:r>
        <w:rPr>
          <w:rFonts w:hint="eastAsia" w:eastAsia="黑体"/>
          <w:b/>
          <w:bCs/>
          <w:w w:val="95"/>
          <w:sz w:val="48"/>
          <w:szCs w:val="28"/>
        </w:rPr>
        <w:t>城市绿地设计标准</w:t>
      </w:r>
    </w:p>
    <w:p w14:paraId="69D4DA95">
      <w:pPr>
        <w:autoSpaceDE w:val="0"/>
        <w:autoSpaceDN w:val="0"/>
        <w:adjustRightInd w:val="0"/>
        <w:jc w:val="center"/>
        <w:rPr>
          <w:rFonts w:hint="default" w:ascii="Times New Roman" w:hAnsi="Times New Roman" w:eastAsia="黑体" w:cs="Times New Roman"/>
          <w:w w:val="95"/>
          <w:sz w:val="32"/>
          <w:szCs w:val="32"/>
        </w:rPr>
      </w:pPr>
      <w:r>
        <w:rPr>
          <w:rFonts w:hint="default" w:ascii="Times New Roman" w:hAnsi="Times New Roman" w:eastAsia="黑体" w:cs="Times New Roman"/>
          <w:w w:val="95"/>
          <w:sz w:val="32"/>
          <w:szCs w:val="32"/>
        </w:rPr>
        <w:t>Standard for urban green space design</w:t>
      </w:r>
    </w:p>
    <w:p w14:paraId="25D28309">
      <w:pPr>
        <w:autoSpaceDE w:val="0"/>
        <w:autoSpaceDN w:val="0"/>
        <w:adjustRightInd w:val="0"/>
        <w:jc w:val="center"/>
        <w:rPr>
          <w:b/>
          <w:bCs/>
          <w:kern w:val="0"/>
          <w:sz w:val="32"/>
          <w:szCs w:val="32"/>
        </w:rPr>
      </w:pPr>
      <w:r>
        <w:rPr>
          <w:rFonts w:hint="eastAsia"/>
          <w:b/>
          <w:bCs/>
          <w:kern w:val="0"/>
          <w:sz w:val="32"/>
          <w:szCs w:val="32"/>
        </w:rPr>
        <w:t>（</w:t>
      </w:r>
      <w:r>
        <w:rPr>
          <w:rFonts w:hint="eastAsia"/>
          <w:b/>
          <w:bCs/>
          <w:kern w:val="0"/>
          <w:sz w:val="32"/>
          <w:szCs w:val="32"/>
          <w:lang w:val="en-US" w:eastAsia="zh-CN"/>
        </w:rPr>
        <w:t>修订</w:t>
      </w:r>
      <w:r>
        <w:rPr>
          <w:rFonts w:hint="eastAsia"/>
          <w:b/>
          <w:bCs/>
          <w:kern w:val="0"/>
          <w:sz w:val="32"/>
          <w:szCs w:val="32"/>
        </w:rPr>
        <w:t>征求意见稿）</w:t>
      </w:r>
    </w:p>
    <w:p w14:paraId="17F9C23E">
      <w:pPr>
        <w:autoSpaceDE w:val="0"/>
        <w:autoSpaceDN w:val="0"/>
        <w:adjustRightInd w:val="0"/>
        <w:jc w:val="center"/>
        <w:rPr>
          <w:b/>
          <w:bCs/>
          <w:kern w:val="0"/>
          <w:sz w:val="32"/>
          <w:szCs w:val="32"/>
        </w:rPr>
      </w:pPr>
    </w:p>
    <w:p w14:paraId="783850F2">
      <w:pPr>
        <w:autoSpaceDE w:val="0"/>
        <w:autoSpaceDN w:val="0"/>
        <w:adjustRightInd w:val="0"/>
        <w:jc w:val="center"/>
        <w:rPr>
          <w:b/>
          <w:bCs/>
          <w:kern w:val="0"/>
          <w:sz w:val="32"/>
          <w:szCs w:val="32"/>
        </w:rPr>
      </w:pPr>
    </w:p>
    <w:p w14:paraId="297EB3EB">
      <w:pPr>
        <w:autoSpaceDE w:val="0"/>
        <w:autoSpaceDN w:val="0"/>
        <w:adjustRightInd w:val="0"/>
        <w:jc w:val="both"/>
        <w:rPr>
          <w:b/>
          <w:bCs/>
          <w:kern w:val="0"/>
          <w:sz w:val="32"/>
          <w:szCs w:val="32"/>
        </w:rPr>
      </w:pPr>
    </w:p>
    <w:p w14:paraId="7533FE5B">
      <w:pPr>
        <w:autoSpaceDE w:val="0"/>
        <w:autoSpaceDN w:val="0"/>
        <w:adjustRightInd w:val="0"/>
        <w:jc w:val="center"/>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sz w:val="28"/>
          <w:szCs w:val="28"/>
          <w:lang w:val="en-US" w:eastAsia="zh-CN"/>
        </w:rPr>
        <w:t>在提交反馈意见时，请将您知道的相关专利连同支持性文件一并附上。</w:t>
      </w:r>
    </w:p>
    <w:p w14:paraId="71882EFA">
      <w:pPr>
        <w:autoSpaceDE w:val="0"/>
        <w:autoSpaceDN w:val="0"/>
        <w:adjustRightInd w:val="0"/>
        <w:jc w:val="center"/>
        <w:rPr>
          <w:b/>
          <w:kern w:val="0"/>
          <w:sz w:val="36"/>
          <w:szCs w:val="36"/>
        </w:rPr>
      </w:pPr>
    </w:p>
    <w:p w14:paraId="6D1B3DCF">
      <w:pPr>
        <w:autoSpaceDE w:val="0"/>
        <w:autoSpaceDN w:val="0"/>
        <w:adjustRightInd w:val="0"/>
        <w:jc w:val="both"/>
        <w:rPr>
          <w:b/>
          <w:kern w:val="0"/>
          <w:sz w:val="36"/>
          <w:szCs w:val="36"/>
        </w:rPr>
      </w:pPr>
    </w:p>
    <w:p w14:paraId="03EE2C6F">
      <w:pPr>
        <w:autoSpaceDE w:val="0"/>
        <w:autoSpaceDN w:val="0"/>
        <w:adjustRightInd w:val="0"/>
        <w:jc w:val="both"/>
        <w:rPr>
          <w:b/>
          <w:kern w:val="0"/>
          <w:sz w:val="36"/>
          <w:szCs w:val="36"/>
        </w:rPr>
      </w:pPr>
    </w:p>
    <w:p w14:paraId="632B498E">
      <w:pPr>
        <w:autoSpaceDE w:val="0"/>
        <w:autoSpaceDN w:val="0"/>
        <w:adjustRightInd w:val="0"/>
        <w:jc w:val="center"/>
        <w:rPr>
          <w:b/>
          <w:kern w:val="0"/>
          <w:sz w:val="36"/>
          <w:szCs w:val="36"/>
        </w:rPr>
      </w:pPr>
    </w:p>
    <w:p w14:paraId="0EB1C560">
      <w:pPr>
        <w:autoSpaceDE w:val="0"/>
        <w:autoSpaceDN w:val="0"/>
        <w:adjustRightInd w:val="0"/>
        <w:rPr>
          <w:kern w:val="0"/>
          <w:szCs w:val="28"/>
        </w:rPr>
      </w:pPr>
    </w:p>
    <w:p w14:paraId="3B1A864D">
      <w:pPr>
        <w:autoSpaceDE w:val="0"/>
        <w:autoSpaceDN w:val="0"/>
        <w:adjustRightInd w:val="0"/>
        <w:rPr>
          <w:kern w:val="0"/>
          <w:szCs w:val="28"/>
        </w:rPr>
      </w:pPr>
    </w:p>
    <w:p w14:paraId="039F077A">
      <w:pPr>
        <w:autoSpaceDE w:val="0"/>
        <w:autoSpaceDN w:val="0"/>
        <w:adjustRightInd w:val="0"/>
        <w:spacing w:after="312" w:afterLines="100"/>
        <w:rPr>
          <w:rFonts w:eastAsia="黑体"/>
          <w:kern w:val="0"/>
          <w:sz w:val="24"/>
          <w:szCs w:val="36"/>
        </w:rPr>
      </w:pPr>
      <w:r>
        <w:rPr>
          <w:sz w:val="24"/>
          <w:szCs w:val="28"/>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369570</wp:posOffset>
                </wp:positionV>
                <wp:extent cx="5666740" cy="0"/>
                <wp:effectExtent l="0" t="9525" r="10160" b="9525"/>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flipV="1">
                          <a:off x="0" y="0"/>
                          <a:ext cx="5666740" cy="0"/>
                        </a:xfrm>
                        <a:prstGeom prst="line">
                          <a:avLst/>
                        </a:prstGeom>
                        <a:noFill/>
                        <a:ln w="19050">
                          <a:solidFill>
                            <a:srgbClr val="000000"/>
                          </a:solidFill>
                          <a:round/>
                        </a:ln>
                        <a:effectLst/>
                      </wps:spPr>
                      <wps:bodyPr/>
                    </wps:wsp>
                  </a:graphicData>
                </a:graphic>
              </wp:anchor>
            </w:drawing>
          </mc:Choice>
          <mc:Fallback>
            <w:pict>
              <v:line id="_x0000_s1026" o:spid="_x0000_s1026" o:spt="20" style="position:absolute;left:0pt;flip:y;margin-left:-9pt;margin-top:29.1pt;height:0pt;width:446.2pt;z-index:251660288;mso-width-relative:page;mso-height-relative:page;" filled="f" stroked="t" coordsize="21600,21600" o:gfxdata="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GzybAdcAAAAJAQAADwAAAAAAAAABACAAAAAiAAAAZHJzL2Rvd25yZXYueG1sUEsBAhQAFAAA&#10;AAgAh07iQKCc+ynwAQAAwwMAAA4AAAAAAAAAAQAgAAAAJgEAAGRycy9lMm9Eb2MueG1sUEsFBgAA&#10;AAAGAAYAWQEAAIgFAAAAAA==&#10;">
                <v:fill on="f" focussize="0,0"/>
                <v:stroke weight="1.5pt" color="#000000" joinstyle="round"/>
                <v:imagedata o:title=""/>
                <o:lock v:ext="edit" aspectratio="f"/>
              </v:line>
            </w:pict>
          </mc:Fallback>
        </mc:AlternateContent>
      </w:r>
      <w:r>
        <w:rPr>
          <w:rFonts w:eastAsia="黑体"/>
          <w:kern w:val="0"/>
          <w:sz w:val="24"/>
          <w:szCs w:val="36"/>
        </w:rPr>
        <w:t>20</w:t>
      </w:r>
      <w:r>
        <w:rPr>
          <w:rFonts w:hint="eastAsia" w:eastAsia="黑体"/>
          <w:kern w:val="0"/>
          <w:sz w:val="24"/>
          <w:szCs w:val="36"/>
          <w:lang w:val="en-US" w:eastAsia="zh-CN"/>
        </w:rPr>
        <w:t>2</w:t>
      </w:r>
      <w:r>
        <w:rPr>
          <w:rFonts w:eastAsia="黑体"/>
          <w:kern w:val="0"/>
          <w:sz w:val="24"/>
          <w:szCs w:val="36"/>
        </w:rPr>
        <w:t xml:space="preserve">X– XX –XX </w:t>
      </w:r>
      <w:r>
        <w:rPr>
          <w:rFonts w:hint="eastAsia" w:eastAsia="黑体"/>
          <w:kern w:val="0"/>
          <w:sz w:val="24"/>
          <w:szCs w:val="36"/>
        </w:rPr>
        <w:t>发布</w:t>
      </w:r>
      <w:r>
        <w:rPr>
          <w:rFonts w:eastAsia="黑体"/>
          <w:kern w:val="0"/>
          <w:sz w:val="24"/>
          <w:szCs w:val="36"/>
        </w:rPr>
        <w:t xml:space="preserve">                                    20</w:t>
      </w:r>
      <w:r>
        <w:rPr>
          <w:rFonts w:hint="eastAsia" w:eastAsia="黑体"/>
          <w:kern w:val="0"/>
          <w:sz w:val="24"/>
          <w:szCs w:val="36"/>
          <w:lang w:val="en-US" w:eastAsia="zh-CN"/>
        </w:rPr>
        <w:t>2</w:t>
      </w:r>
      <w:r>
        <w:rPr>
          <w:rFonts w:eastAsia="黑体"/>
          <w:kern w:val="0"/>
          <w:sz w:val="24"/>
          <w:szCs w:val="36"/>
        </w:rPr>
        <w:t>X – XX –</w:t>
      </w:r>
      <w:r>
        <w:rPr>
          <w:rFonts w:eastAsia="黑体"/>
          <w:kern w:val="0"/>
          <w:sz w:val="24"/>
          <w:szCs w:val="36"/>
        </w:rPr>
        <w:t xml:space="preserve"> XX</w:t>
      </w:r>
      <w:r>
        <w:rPr>
          <w:rFonts w:eastAsia="黑体"/>
          <w:kern w:val="0"/>
          <w:sz w:val="24"/>
          <w:szCs w:val="36"/>
        </w:rPr>
        <w:t xml:space="preserve"> </w:t>
      </w:r>
      <w:r>
        <w:rPr>
          <w:rFonts w:hint="eastAsia" w:eastAsia="黑体"/>
          <w:kern w:val="0"/>
          <w:sz w:val="24"/>
          <w:szCs w:val="36"/>
        </w:rPr>
        <w:t>实施</w:t>
      </w:r>
    </w:p>
    <w:tbl>
      <w:tblPr>
        <w:tblStyle w:val="22"/>
        <w:tblW w:w="8764" w:type="dxa"/>
        <w:tblInd w:w="-108" w:type="dxa"/>
        <w:tblLayout w:type="fixed"/>
        <w:tblCellMar>
          <w:top w:w="0" w:type="dxa"/>
          <w:left w:w="108" w:type="dxa"/>
          <w:bottom w:w="0" w:type="dxa"/>
          <w:right w:w="108" w:type="dxa"/>
        </w:tblCellMar>
      </w:tblPr>
      <w:tblGrid>
        <w:gridCol w:w="5958"/>
        <w:gridCol w:w="2806"/>
      </w:tblGrid>
      <w:tr w14:paraId="557FD8AE">
        <w:tblPrEx>
          <w:tblCellMar>
            <w:top w:w="0" w:type="dxa"/>
            <w:left w:w="108" w:type="dxa"/>
            <w:bottom w:w="0" w:type="dxa"/>
            <w:right w:w="108" w:type="dxa"/>
          </w:tblCellMar>
        </w:tblPrEx>
        <w:tc>
          <w:tcPr>
            <w:tcW w:w="5958" w:type="dxa"/>
          </w:tcPr>
          <w:p w14:paraId="06EE7C16">
            <w:pPr>
              <w:autoSpaceDE w:val="0"/>
              <w:autoSpaceDN w:val="0"/>
              <w:adjustRightInd w:val="0"/>
              <w:jc w:val="distribute"/>
              <w:rPr>
                <w:spacing w:val="40"/>
                <w:kern w:val="0"/>
                <w:szCs w:val="28"/>
              </w:rPr>
            </w:pPr>
            <w:r>
              <w:rPr>
                <w:rFonts w:hint="eastAsia" w:eastAsia="黑体"/>
                <w:spacing w:val="40"/>
                <w:kern w:val="0"/>
                <w:szCs w:val="28"/>
              </w:rPr>
              <w:t>中华人民共和国住房和城乡建设部</w:t>
            </w:r>
          </w:p>
        </w:tc>
        <w:tc>
          <w:tcPr>
            <w:tcW w:w="2806" w:type="dxa"/>
            <w:vMerge w:val="restart"/>
            <w:vAlign w:val="center"/>
          </w:tcPr>
          <w:p w14:paraId="061B0447">
            <w:pPr>
              <w:autoSpaceDE w:val="0"/>
              <w:autoSpaceDN w:val="0"/>
              <w:adjustRightInd w:val="0"/>
              <w:jc w:val="center"/>
              <w:rPr>
                <w:kern w:val="0"/>
                <w:szCs w:val="28"/>
              </w:rPr>
            </w:pPr>
            <w:r>
              <w:rPr>
                <w:rFonts w:hint="eastAsia" w:eastAsia="黑体"/>
                <w:kern w:val="0"/>
                <w:szCs w:val="28"/>
              </w:rPr>
              <w:t>联合发布</w:t>
            </w:r>
          </w:p>
        </w:tc>
      </w:tr>
      <w:tr w14:paraId="6CB5303E">
        <w:tblPrEx>
          <w:tblCellMar>
            <w:top w:w="0" w:type="dxa"/>
            <w:left w:w="108" w:type="dxa"/>
            <w:bottom w:w="0" w:type="dxa"/>
            <w:right w:w="108" w:type="dxa"/>
          </w:tblCellMar>
        </w:tblPrEx>
        <w:tc>
          <w:tcPr>
            <w:tcW w:w="5958" w:type="dxa"/>
          </w:tcPr>
          <w:p w14:paraId="24A87097">
            <w:pPr>
              <w:autoSpaceDE w:val="0"/>
              <w:autoSpaceDN w:val="0"/>
              <w:adjustRightInd w:val="0"/>
              <w:jc w:val="distribute"/>
              <w:rPr>
                <w:kern w:val="0"/>
                <w:szCs w:val="28"/>
              </w:rPr>
            </w:pPr>
            <w:r>
              <w:rPr>
                <w:rFonts w:hint="eastAsia" w:eastAsia="黑体"/>
                <w:kern w:val="0"/>
                <w:szCs w:val="28"/>
              </w:rPr>
              <w:t>中华人民共和国国家市场监督管理总局</w:t>
            </w:r>
          </w:p>
        </w:tc>
        <w:tc>
          <w:tcPr>
            <w:tcW w:w="2806" w:type="dxa"/>
            <w:vMerge w:val="continue"/>
            <w:vAlign w:val="center"/>
          </w:tcPr>
          <w:p w14:paraId="6CF4217A">
            <w:pPr>
              <w:widowControl/>
              <w:jc w:val="left"/>
              <w:rPr>
                <w:kern w:val="0"/>
                <w:szCs w:val="28"/>
              </w:rPr>
            </w:pPr>
          </w:p>
        </w:tc>
      </w:tr>
    </w:tbl>
    <w:p w14:paraId="7E089C27">
      <w:pPr>
        <w:tabs>
          <w:tab w:val="center" w:pos="4873"/>
        </w:tabs>
        <w:jc w:val="center"/>
        <w:rPr>
          <w:rFonts w:ascii="Times New Roman"/>
          <w:b/>
          <w:szCs w:val="28"/>
        </w:rPr>
      </w:pPr>
    </w:p>
    <w:p w14:paraId="70C0F415">
      <w:pPr>
        <w:autoSpaceDE w:val="0"/>
        <w:autoSpaceDN w:val="0"/>
        <w:adjustRightInd w:val="0"/>
        <w:spacing w:line="360" w:lineRule="auto"/>
        <w:rPr>
          <w:rFonts w:ascii="Times New Roman" w:hAnsi="Times New Roman"/>
          <w:b/>
          <w:kern w:val="0"/>
          <w:szCs w:val="28"/>
        </w:rPr>
        <w:sectPr>
          <w:pgSz w:w="11906" w:h="16838"/>
          <w:pgMar w:top="1440" w:right="1800" w:bottom="1440" w:left="1800" w:header="851" w:footer="992" w:gutter="0"/>
          <w:pgNumType w:start="1"/>
          <w:cols w:space="425" w:num="1"/>
          <w:docGrid w:type="lines" w:linePitch="312" w:charSpace="0"/>
        </w:sectPr>
      </w:pPr>
    </w:p>
    <w:p w14:paraId="590431FA">
      <w:pPr>
        <w:pStyle w:val="34"/>
      </w:pPr>
      <w:bookmarkStart w:id="0" w:name="_Toc13181"/>
      <w:bookmarkStart w:id="1" w:name="_Toc223768687"/>
      <w:bookmarkStart w:id="2" w:name="_Toc29564"/>
      <w:bookmarkStart w:id="3" w:name="_Hlk224054601"/>
      <w:r>
        <w:rPr>
          <w:rFonts w:hint="eastAsia"/>
        </w:rPr>
        <w:t>前　言</w:t>
      </w:r>
      <w:bookmarkEnd w:id="0"/>
      <w:bookmarkEnd w:id="1"/>
      <w:bookmarkEnd w:id="2"/>
    </w:p>
    <w:p w14:paraId="10FE1A71">
      <w:pPr>
        <w:autoSpaceDE w:val="0"/>
        <w:autoSpaceDN w:val="0"/>
        <w:adjustRightInd w:val="0"/>
        <w:spacing w:line="360" w:lineRule="auto"/>
        <w:ind w:firstLine="480" w:firstLineChars="200"/>
        <w:rPr>
          <w:rFonts w:ascii="Times New Roman" w:hAnsi="Times New Roman"/>
          <w:kern w:val="0"/>
          <w:sz w:val="24"/>
        </w:rPr>
      </w:pPr>
      <w:r>
        <w:rPr>
          <w:rFonts w:ascii="Times New Roman" w:hAnsi="Times New Roman"/>
          <w:kern w:val="0"/>
          <w:sz w:val="24"/>
        </w:rPr>
        <w:t>根据</w:t>
      </w:r>
      <w:r>
        <w:rPr>
          <w:rFonts w:hint="eastAsia" w:ascii="Times New Roman" w:hAnsi="Times New Roman"/>
          <w:kern w:val="0"/>
          <w:sz w:val="24"/>
        </w:rPr>
        <w:t>住房城乡建设部《关于印发&lt;2020年工程建设规范标准编制及相关工作计划&gt;的通知》（建标函〔2020〕9号）的要求</w:t>
      </w:r>
      <w:r>
        <w:rPr>
          <w:rFonts w:ascii="Times New Roman" w:hAnsi="Times New Roman"/>
          <w:kern w:val="0"/>
          <w:sz w:val="24"/>
        </w:rPr>
        <w:t>，</w:t>
      </w:r>
      <w:r>
        <w:rPr>
          <w:rFonts w:hint="eastAsia" w:ascii="Times New Roman" w:hAnsi="Times New Roman"/>
          <w:kern w:val="0"/>
          <w:sz w:val="24"/>
        </w:rPr>
        <w:t>标准</w:t>
      </w:r>
      <w:r>
        <w:rPr>
          <w:rFonts w:ascii="Times New Roman" w:hAnsi="Times New Roman"/>
          <w:kern w:val="0"/>
          <w:sz w:val="24"/>
        </w:rPr>
        <w:t>编制组经广泛调查研究，认真总结</w:t>
      </w:r>
      <w:r>
        <w:rPr>
          <w:rFonts w:hint="eastAsia" w:ascii="Times New Roman" w:hAnsi="Times New Roman"/>
          <w:kern w:val="0"/>
          <w:sz w:val="24"/>
        </w:rPr>
        <w:t>实践</w:t>
      </w:r>
      <w:r>
        <w:rPr>
          <w:rFonts w:ascii="Times New Roman" w:hAnsi="Times New Roman"/>
          <w:kern w:val="0"/>
          <w:sz w:val="24"/>
        </w:rPr>
        <w:t>经验，</w:t>
      </w:r>
      <w:r>
        <w:rPr>
          <w:rFonts w:hint="eastAsia" w:ascii="Times New Roman" w:hAnsi="Times New Roman"/>
          <w:kern w:val="0"/>
          <w:sz w:val="24"/>
        </w:rPr>
        <w:t>参考有关国际标准和国外先进标准，</w:t>
      </w:r>
      <w:r>
        <w:rPr>
          <w:rFonts w:ascii="Times New Roman" w:hAnsi="Times New Roman"/>
          <w:kern w:val="0"/>
          <w:sz w:val="24"/>
        </w:rPr>
        <w:t>并在广泛征求意见的基础上，</w:t>
      </w:r>
      <w:r>
        <w:rPr>
          <w:rFonts w:hint="eastAsia" w:ascii="Times New Roman" w:hAnsi="Times New Roman"/>
          <w:kern w:val="0"/>
          <w:sz w:val="24"/>
        </w:rPr>
        <w:t>修订了本标准</w:t>
      </w:r>
      <w:r>
        <w:rPr>
          <w:rFonts w:ascii="Times New Roman" w:hAnsi="Times New Roman"/>
          <w:kern w:val="0"/>
          <w:sz w:val="24"/>
        </w:rPr>
        <w:t>。</w:t>
      </w:r>
    </w:p>
    <w:p w14:paraId="7F4913A0">
      <w:pPr>
        <w:tabs>
          <w:tab w:val="right" w:leader="middleDot" w:pos="8400"/>
        </w:tabs>
        <w:spacing w:line="360" w:lineRule="auto"/>
        <w:ind w:firstLine="480" w:firstLineChars="200"/>
        <w:rPr>
          <w:rFonts w:ascii="宋体" w:hAnsi="宋体"/>
          <w:sz w:val="24"/>
        </w:rPr>
      </w:pPr>
      <w:r>
        <w:rPr>
          <w:rFonts w:ascii="宋体" w:hAnsi="宋体"/>
          <w:sz w:val="24"/>
        </w:rPr>
        <w:t>本</w:t>
      </w:r>
      <w:r>
        <w:rPr>
          <w:rFonts w:hint="eastAsia" w:ascii="宋体" w:hAnsi="宋体"/>
          <w:sz w:val="24"/>
        </w:rPr>
        <w:t>标准</w:t>
      </w:r>
      <w:r>
        <w:rPr>
          <w:rFonts w:ascii="宋体" w:hAnsi="宋体"/>
          <w:sz w:val="24"/>
        </w:rPr>
        <w:t>主要技术内容：</w:t>
      </w:r>
      <w:r>
        <w:rPr>
          <w:rFonts w:hint="eastAsia" w:ascii="宋体" w:hAnsi="宋体"/>
          <w:sz w:val="24"/>
        </w:rPr>
        <w:t>1.总则；2.术语；3基本规定；4公园绿地；5防护绿地；6广场用地；7附属绿地；8区域绿地；9专项设计；10要素设计。</w:t>
      </w:r>
    </w:p>
    <w:p w14:paraId="3182D245">
      <w:pPr>
        <w:tabs>
          <w:tab w:val="right" w:leader="middleDot" w:pos="8400"/>
        </w:tabs>
        <w:spacing w:line="360" w:lineRule="auto"/>
        <w:ind w:firstLine="480" w:firstLineChars="200"/>
        <w:rPr>
          <w:rFonts w:ascii="宋体" w:hAnsi="宋体"/>
          <w:sz w:val="24"/>
        </w:rPr>
      </w:pPr>
      <w:r>
        <w:rPr>
          <w:rFonts w:ascii="宋体" w:hAnsi="宋体"/>
          <w:sz w:val="24"/>
        </w:rPr>
        <w:t>本</w:t>
      </w:r>
      <w:r>
        <w:rPr>
          <w:rFonts w:hint="eastAsia" w:ascii="宋体" w:hAnsi="宋体"/>
          <w:sz w:val="24"/>
        </w:rPr>
        <w:t>标准修订的</w:t>
      </w:r>
      <w:r>
        <w:rPr>
          <w:rFonts w:ascii="宋体" w:hAnsi="宋体"/>
          <w:sz w:val="24"/>
        </w:rPr>
        <w:t>主要技术内容</w:t>
      </w:r>
      <w:r>
        <w:rPr>
          <w:rFonts w:hint="eastAsia" w:ascii="宋体" w:hAnsi="宋体"/>
          <w:sz w:val="24"/>
        </w:rPr>
        <w:t>：1.内容上与《园林绿化工程项目规范》GB</w:t>
      </w:r>
      <w:r>
        <w:rPr>
          <w:rFonts w:ascii="宋体" w:hAnsi="宋体"/>
          <w:sz w:val="24"/>
        </w:rPr>
        <w:t xml:space="preserve"> </w:t>
      </w:r>
      <w:r>
        <w:rPr>
          <w:rFonts w:hint="eastAsia" w:ascii="宋体" w:hAnsi="宋体"/>
          <w:sz w:val="24"/>
        </w:rPr>
        <w:t>55014-2021等强制性工程建设规范相衔接；2.结构上将原</w:t>
      </w:r>
      <w:r>
        <w:rPr>
          <w:rFonts w:ascii="宋体" w:hAnsi="宋体"/>
          <w:sz w:val="24"/>
        </w:rPr>
        <w:t>8</w:t>
      </w:r>
      <w:r>
        <w:rPr>
          <w:rFonts w:hint="eastAsia" w:ascii="宋体" w:hAnsi="宋体"/>
          <w:sz w:val="24"/>
        </w:rPr>
        <w:t>章扩展为</w:t>
      </w:r>
      <w:r>
        <w:rPr>
          <w:rFonts w:ascii="宋体" w:hAnsi="宋体"/>
          <w:sz w:val="24"/>
        </w:rPr>
        <w:t>10</w:t>
      </w:r>
      <w:r>
        <w:rPr>
          <w:rFonts w:hint="eastAsia" w:ascii="宋体" w:hAnsi="宋体"/>
          <w:sz w:val="24"/>
        </w:rPr>
        <w:t>章，细化了各类城市绿地的具体设计要求；</w:t>
      </w:r>
      <w:r>
        <w:rPr>
          <w:rFonts w:ascii="宋体" w:hAnsi="宋体"/>
          <w:sz w:val="24"/>
        </w:rPr>
        <w:t>3</w:t>
      </w:r>
      <w:r>
        <w:rPr>
          <w:rFonts w:hint="eastAsia" w:ascii="宋体" w:hAnsi="宋体"/>
          <w:sz w:val="24"/>
        </w:rPr>
        <w:t>.新增“专项设计”章节，强调城市绿地的生态、社会、景观、经济等多功能协同，涵盖水文调节、生物多样性保护、防灾避险、全龄友好等内容；</w:t>
      </w:r>
      <w:r>
        <w:rPr>
          <w:rFonts w:ascii="宋体" w:hAnsi="宋体"/>
          <w:sz w:val="24"/>
        </w:rPr>
        <w:t>4</w:t>
      </w:r>
      <w:r>
        <w:rPr>
          <w:rFonts w:hint="eastAsia" w:ascii="宋体" w:hAnsi="宋体"/>
          <w:sz w:val="24"/>
        </w:rPr>
        <w:t>.响应</w:t>
      </w:r>
      <w:r>
        <w:rPr>
          <w:rFonts w:ascii="宋体" w:hAnsi="宋体"/>
          <w:sz w:val="24"/>
        </w:rPr>
        <w:t>“</w:t>
      </w:r>
      <w:r>
        <w:rPr>
          <w:rFonts w:hint="eastAsia" w:ascii="宋体" w:hAnsi="宋体"/>
          <w:sz w:val="24"/>
        </w:rPr>
        <w:t>城市更新”“开放共享”“全龄友好”“海绵城市”“低碳韧性”等新理念，突出绿色发展与智慧化建设；</w:t>
      </w:r>
      <w:r>
        <w:rPr>
          <w:rFonts w:ascii="宋体" w:hAnsi="宋体"/>
          <w:sz w:val="24"/>
        </w:rPr>
        <w:t>5</w:t>
      </w:r>
      <w:r>
        <w:rPr>
          <w:rFonts w:hint="eastAsia" w:ascii="宋体" w:hAnsi="宋体"/>
          <w:sz w:val="24"/>
        </w:rPr>
        <w:t>.对雨水径流控制、植物配置、无障碍设计、电气安全等提出更具体、可量化的技术指标，全面提升了本标准的系统性和可操作性。</w:t>
      </w:r>
    </w:p>
    <w:p w14:paraId="02C95F56">
      <w:pPr>
        <w:autoSpaceDE w:val="0"/>
        <w:autoSpaceDN w:val="0"/>
        <w:adjustRightInd w:val="0"/>
        <w:spacing w:line="360" w:lineRule="auto"/>
        <w:ind w:firstLine="480" w:firstLineChars="200"/>
        <w:rPr>
          <w:rFonts w:ascii="Times New Roman" w:hAnsi="Times New Roman"/>
          <w:kern w:val="0"/>
          <w:sz w:val="24"/>
        </w:rPr>
      </w:pPr>
      <w:r>
        <w:rPr>
          <w:rFonts w:hint="eastAsia" w:ascii="Times New Roman" w:hAnsi="Times New Roman"/>
          <w:kern w:val="0"/>
          <w:sz w:val="24"/>
        </w:rPr>
        <w:t>本标准由住房城乡建设部负责管理。</w:t>
      </w:r>
    </w:p>
    <w:p w14:paraId="025B178D">
      <w:pPr>
        <w:autoSpaceDE w:val="0"/>
        <w:autoSpaceDN w:val="0"/>
        <w:adjustRightInd w:val="0"/>
        <w:spacing w:line="360" w:lineRule="auto"/>
        <w:ind w:firstLine="480" w:firstLineChars="200"/>
        <w:rPr>
          <w:rFonts w:ascii="Times New Roman" w:hAnsi="Times New Roman"/>
          <w:kern w:val="0"/>
          <w:sz w:val="24"/>
        </w:rPr>
      </w:pPr>
      <w:r>
        <w:rPr>
          <w:rFonts w:hint="eastAsia" w:ascii="Times New Roman" w:hAnsi="Times New Roman"/>
          <w:kern w:val="0"/>
          <w:sz w:val="24"/>
        </w:rPr>
        <w:t>本标准起草单位、起草人员和审查人员：</w:t>
      </w:r>
    </w:p>
    <w:p w14:paraId="7BA31D44">
      <w:pPr>
        <w:spacing w:line="360" w:lineRule="auto"/>
        <w:ind w:firstLine="480" w:firstLineChars="200"/>
        <w:rPr>
          <w:kern w:val="0"/>
          <w:sz w:val="24"/>
        </w:rPr>
      </w:pPr>
      <w:r>
        <w:rPr>
          <w:rFonts w:hint="eastAsia"/>
          <w:kern w:val="0"/>
          <w:sz w:val="24"/>
        </w:rPr>
        <w:t>起草</w:t>
      </w:r>
      <w:r>
        <w:rPr>
          <w:kern w:val="0"/>
          <w:sz w:val="24"/>
        </w:rPr>
        <w:t>单位：</w:t>
      </w:r>
      <w:r>
        <w:rPr>
          <w:rFonts w:hint="eastAsia" w:ascii="宋体" w:hAnsi="宋体" w:cs="宋体"/>
          <w:kern w:val="0"/>
          <w:sz w:val="24"/>
        </w:rPr>
        <w:t>上海市园林设计研究总院有限公司、……</w:t>
      </w:r>
    </w:p>
    <w:p w14:paraId="0481B0AF">
      <w:pPr>
        <w:spacing w:line="360" w:lineRule="auto"/>
        <w:ind w:firstLine="480" w:firstLineChars="200"/>
        <w:rPr>
          <w:rFonts w:hint="eastAsia" w:eastAsia="宋体"/>
          <w:kern w:val="0"/>
          <w:sz w:val="24"/>
          <w:lang w:eastAsia="zh-CN"/>
        </w:rPr>
      </w:pPr>
      <w:r>
        <w:rPr>
          <w:kern w:val="0"/>
          <w:sz w:val="24"/>
        </w:rPr>
        <w:t>起草人员：</w:t>
      </w:r>
      <w:r>
        <w:rPr>
          <w:rFonts w:hint="eastAsia"/>
          <w:kern w:val="0"/>
          <w:sz w:val="24"/>
          <w:lang w:val="en-US" w:eastAsia="zh-CN"/>
        </w:rPr>
        <w:t xml:space="preserve"> </w:t>
      </w:r>
    </w:p>
    <w:p w14:paraId="7E63DBEC">
      <w:pPr>
        <w:spacing w:line="360" w:lineRule="auto"/>
        <w:ind w:firstLine="480" w:firstLineChars="200"/>
        <w:rPr>
          <w:rFonts w:hint="eastAsia" w:eastAsia="宋体"/>
          <w:kern w:val="0"/>
          <w:sz w:val="24"/>
          <w:lang w:eastAsia="zh-CN"/>
        </w:rPr>
      </w:pPr>
      <w:r>
        <w:rPr>
          <w:rFonts w:hint="eastAsia"/>
          <w:kern w:val="0"/>
          <w:sz w:val="24"/>
        </w:rPr>
        <w:t>审查</w:t>
      </w:r>
      <w:r>
        <w:rPr>
          <w:kern w:val="0"/>
          <w:sz w:val="24"/>
        </w:rPr>
        <w:t>人员：</w:t>
      </w:r>
      <w:r>
        <w:rPr>
          <w:rFonts w:hint="eastAsia"/>
          <w:kern w:val="0"/>
          <w:sz w:val="24"/>
          <w:lang w:val="en-US" w:eastAsia="zh-CN"/>
        </w:rPr>
        <w:t xml:space="preserve"> </w:t>
      </w:r>
    </w:p>
    <w:p w14:paraId="57F8EF55">
      <w:pPr>
        <w:pStyle w:val="42"/>
        <w:jc w:val="center"/>
        <w:rPr>
          <w:sz w:val="24"/>
        </w:rPr>
        <w:sectPr>
          <w:footerReference r:id="rId3" w:type="default"/>
          <w:pgSz w:w="11906" w:h="16838"/>
          <w:pgMar w:top="1440" w:right="1800" w:bottom="1440" w:left="1800" w:header="851" w:footer="992" w:gutter="0"/>
          <w:pgNumType w:fmt="upperRoman" w:start="1"/>
          <w:cols w:space="425" w:num="1"/>
          <w:docGrid w:type="lines" w:linePitch="312" w:charSpace="0"/>
        </w:sectPr>
      </w:pPr>
    </w:p>
    <w:p w14:paraId="040280CD">
      <w:pPr>
        <w:pStyle w:val="42"/>
        <w:jc w:val="center"/>
        <w:rPr>
          <w:color w:val="auto"/>
          <w:sz w:val="30"/>
          <w:szCs w:val="30"/>
        </w:rPr>
      </w:pPr>
      <w:r>
        <w:rPr>
          <w:color w:val="auto"/>
          <w:sz w:val="30"/>
          <w:szCs w:val="30"/>
          <w:lang w:val="zh-CN"/>
        </w:rPr>
        <w:t>目</w:t>
      </w:r>
      <w:r>
        <w:rPr>
          <w:rFonts w:hint="eastAsia"/>
          <w:color w:val="auto"/>
          <w:sz w:val="30"/>
          <w:szCs w:val="30"/>
          <w:lang w:val="zh-CN"/>
        </w:rPr>
        <w:t>　</w:t>
      </w:r>
      <w:r>
        <w:rPr>
          <w:rFonts w:hint="eastAsia"/>
          <w:color w:val="auto"/>
          <w:sz w:val="30"/>
          <w:szCs w:val="30"/>
        </w:rPr>
        <w:t>次</w:t>
      </w:r>
    </w:p>
    <w:p w14:paraId="0A395B51">
      <w:pPr>
        <w:pStyle w:val="17"/>
        <w:tabs>
          <w:tab w:val="right" w:leader="dot" w:pos="8306"/>
        </w:tabs>
      </w:pPr>
      <w:r>
        <w:fldChar w:fldCharType="begin"/>
      </w:r>
      <w:r>
        <w:instrText xml:space="preserve"> TOC \h \z \t "标题111,1,标题22,2" </w:instrText>
      </w:r>
      <w:r>
        <w:fldChar w:fldCharType="separate"/>
      </w:r>
      <w:r>
        <w:fldChar w:fldCharType="begin"/>
      </w:r>
      <w:r>
        <w:instrText xml:space="preserve"> HYPERLINK \l _Toc29564 </w:instrText>
      </w:r>
      <w:r>
        <w:fldChar w:fldCharType="separate"/>
      </w:r>
      <w:r>
        <w:rPr>
          <w:rFonts w:hint="eastAsia"/>
        </w:rPr>
        <w:t>前　言</w:t>
      </w:r>
      <w:r>
        <w:tab/>
      </w:r>
      <w:r>
        <w:fldChar w:fldCharType="begin"/>
      </w:r>
      <w:r>
        <w:instrText xml:space="preserve"> PAGEREF _Toc29564 \h </w:instrText>
      </w:r>
      <w:r>
        <w:fldChar w:fldCharType="separate"/>
      </w:r>
      <w:r>
        <w:t>I</w:t>
      </w:r>
      <w:r>
        <w:fldChar w:fldCharType="end"/>
      </w:r>
      <w:r>
        <w:fldChar w:fldCharType="end"/>
      </w:r>
    </w:p>
    <w:p w14:paraId="74E1E46C">
      <w:pPr>
        <w:pStyle w:val="17"/>
        <w:tabs>
          <w:tab w:val="right" w:leader="dot" w:pos="8306"/>
        </w:tabs>
      </w:pPr>
      <w:r>
        <w:fldChar w:fldCharType="begin"/>
      </w:r>
      <w:r>
        <w:instrText xml:space="preserve"> HYPERLINK \l _Toc12229 </w:instrText>
      </w:r>
      <w:r>
        <w:fldChar w:fldCharType="separate"/>
      </w:r>
      <w:r>
        <w:rPr>
          <w:rFonts w:hint="eastAsia"/>
        </w:rPr>
        <w:t>1　总　则</w:t>
      </w:r>
      <w:r>
        <w:tab/>
      </w:r>
      <w:r>
        <w:fldChar w:fldCharType="begin"/>
      </w:r>
      <w:r>
        <w:instrText xml:space="preserve"> PAGEREF _Toc12229 \h </w:instrText>
      </w:r>
      <w:r>
        <w:fldChar w:fldCharType="separate"/>
      </w:r>
      <w:r>
        <w:t>1</w:t>
      </w:r>
      <w:r>
        <w:fldChar w:fldCharType="end"/>
      </w:r>
      <w:r>
        <w:fldChar w:fldCharType="end"/>
      </w:r>
    </w:p>
    <w:p w14:paraId="4DD6C536">
      <w:pPr>
        <w:pStyle w:val="17"/>
        <w:tabs>
          <w:tab w:val="right" w:leader="dot" w:pos="8306"/>
        </w:tabs>
      </w:pPr>
      <w:r>
        <w:fldChar w:fldCharType="begin"/>
      </w:r>
      <w:r>
        <w:instrText xml:space="preserve"> HYPERLINK \l _Toc7968 </w:instrText>
      </w:r>
      <w:r>
        <w:fldChar w:fldCharType="separate"/>
      </w:r>
      <w:r>
        <w:rPr>
          <w:rFonts w:hint="eastAsia"/>
        </w:rPr>
        <w:t>2　术　语</w:t>
      </w:r>
      <w:r>
        <w:tab/>
      </w:r>
      <w:r>
        <w:fldChar w:fldCharType="begin"/>
      </w:r>
      <w:r>
        <w:instrText xml:space="preserve"> PAGEREF _Toc7968 \h </w:instrText>
      </w:r>
      <w:r>
        <w:fldChar w:fldCharType="separate"/>
      </w:r>
      <w:r>
        <w:t>2</w:t>
      </w:r>
      <w:r>
        <w:fldChar w:fldCharType="end"/>
      </w:r>
      <w:r>
        <w:fldChar w:fldCharType="end"/>
      </w:r>
    </w:p>
    <w:p w14:paraId="13A4B35F">
      <w:pPr>
        <w:pStyle w:val="17"/>
        <w:tabs>
          <w:tab w:val="right" w:leader="dot" w:pos="8306"/>
        </w:tabs>
      </w:pPr>
      <w:r>
        <w:fldChar w:fldCharType="begin"/>
      </w:r>
      <w:r>
        <w:instrText xml:space="preserve"> HYPERLINK \l _Toc22086 </w:instrText>
      </w:r>
      <w:r>
        <w:fldChar w:fldCharType="separate"/>
      </w:r>
      <w:r>
        <w:rPr>
          <w:rFonts w:hint="eastAsia"/>
        </w:rPr>
        <w:t>3　基本规定</w:t>
      </w:r>
      <w:r>
        <w:tab/>
      </w:r>
      <w:r>
        <w:fldChar w:fldCharType="begin"/>
      </w:r>
      <w:r>
        <w:instrText xml:space="preserve"> PAGEREF _Toc22086 \h </w:instrText>
      </w:r>
      <w:r>
        <w:fldChar w:fldCharType="separate"/>
      </w:r>
      <w:r>
        <w:t>4</w:t>
      </w:r>
      <w:r>
        <w:fldChar w:fldCharType="end"/>
      </w:r>
      <w:r>
        <w:fldChar w:fldCharType="end"/>
      </w:r>
    </w:p>
    <w:p w14:paraId="77CF73AA">
      <w:pPr>
        <w:pStyle w:val="17"/>
        <w:tabs>
          <w:tab w:val="right" w:leader="dot" w:pos="8306"/>
        </w:tabs>
      </w:pPr>
      <w:r>
        <w:fldChar w:fldCharType="begin"/>
      </w:r>
      <w:r>
        <w:instrText xml:space="preserve"> HYPERLINK \l _Toc26449 </w:instrText>
      </w:r>
      <w:r>
        <w:fldChar w:fldCharType="separate"/>
      </w:r>
      <w:r>
        <w:rPr>
          <w:rFonts w:hint="eastAsia"/>
        </w:rPr>
        <w:t>4　公园绿地</w:t>
      </w:r>
      <w:r>
        <w:tab/>
      </w:r>
      <w:r>
        <w:fldChar w:fldCharType="begin"/>
      </w:r>
      <w:r>
        <w:instrText xml:space="preserve"> PAGEREF _Toc26449 \h </w:instrText>
      </w:r>
      <w:r>
        <w:fldChar w:fldCharType="separate"/>
      </w:r>
      <w:r>
        <w:t>5</w:t>
      </w:r>
      <w:r>
        <w:fldChar w:fldCharType="end"/>
      </w:r>
      <w:r>
        <w:fldChar w:fldCharType="end"/>
      </w:r>
    </w:p>
    <w:p w14:paraId="6EABE314">
      <w:pPr>
        <w:pStyle w:val="19"/>
        <w:tabs>
          <w:tab w:val="right" w:leader="dot" w:pos="8306"/>
        </w:tabs>
      </w:pPr>
      <w:r>
        <w:fldChar w:fldCharType="begin"/>
      </w:r>
      <w:r>
        <w:instrText xml:space="preserve"> HYPERLINK \l _Toc8877 </w:instrText>
      </w:r>
      <w:r>
        <w:fldChar w:fldCharType="separate"/>
      </w:r>
      <w:r>
        <w:rPr>
          <w:rFonts w:hint="eastAsia"/>
        </w:rPr>
        <w:t>4.1　一般规定</w:t>
      </w:r>
      <w:r>
        <w:tab/>
      </w:r>
      <w:r>
        <w:fldChar w:fldCharType="begin"/>
      </w:r>
      <w:r>
        <w:instrText xml:space="preserve"> PAGEREF _Toc8877 \h </w:instrText>
      </w:r>
      <w:r>
        <w:fldChar w:fldCharType="separate"/>
      </w:r>
      <w:r>
        <w:t>5</w:t>
      </w:r>
      <w:r>
        <w:fldChar w:fldCharType="end"/>
      </w:r>
      <w:r>
        <w:fldChar w:fldCharType="end"/>
      </w:r>
    </w:p>
    <w:p w14:paraId="1F0C0DEC">
      <w:pPr>
        <w:pStyle w:val="19"/>
        <w:tabs>
          <w:tab w:val="right" w:leader="dot" w:pos="8306"/>
        </w:tabs>
      </w:pPr>
      <w:r>
        <w:fldChar w:fldCharType="begin"/>
      </w:r>
      <w:r>
        <w:instrText xml:space="preserve"> HYPERLINK \l _Toc12115 </w:instrText>
      </w:r>
      <w:r>
        <w:fldChar w:fldCharType="separate"/>
      </w:r>
      <w:r>
        <w:rPr>
          <w:rFonts w:hint="eastAsia"/>
        </w:rPr>
        <w:t>4.2　综合公园</w:t>
      </w:r>
      <w:r>
        <w:tab/>
      </w:r>
      <w:r>
        <w:fldChar w:fldCharType="begin"/>
      </w:r>
      <w:r>
        <w:instrText xml:space="preserve"> PAGEREF _Toc12115 \h </w:instrText>
      </w:r>
      <w:r>
        <w:fldChar w:fldCharType="separate"/>
      </w:r>
      <w:r>
        <w:t>5</w:t>
      </w:r>
      <w:r>
        <w:fldChar w:fldCharType="end"/>
      </w:r>
      <w:r>
        <w:fldChar w:fldCharType="end"/>
      </w:r>
    </w:p>
    <w:p w14:paraId="465B5609">
      <w:pPr>
        <w:pStyle w:val="19"/>
        <w:tabs>
          <w:tab w:val="right" w:leader="dot" w:pos="8306"/>
        </w:tabs>
      </w:pPr>
      <w:r>
        <w:fldChar w:fldCharType="begin"/>
      </w:r>
      <w:r>
        <w:instrText xml:space="preserve"> HYPERLINK \l _Toc28323 </w:instrText>
      </w:r>
      <w:r>
        <w:fldChar w:fldCharType="separate"/>
      </w:r>
      <w:r>
        <w:rPr>
          <w:rFonts w:hint="eastAsia"/>
        </w:rPr>
        <w:t>4.3　社区公园</w:t>
      </w:r>
      <w:r>
        <w:tab/>
      </w:r>
      <w:r>
        <w:fldChar w:fldCharType="begin"/>
      </w:r>
      <w:r>
        <w:instrText xml:space="preserve"> PAGEREF _Toc28323 \h </w:instrText>
      </w:r>
      <w:r>
        <w:fldChar w:fldCharType="separate"/>
      </w:r>
      <w:r>
        <w:t>6</w:t>
      </w:r>
      <w:r>
        <w:fldChar w:fldCharType="end"/>
      </w:r>
      <w:r>
        <w:fldChar w:fldCharType="end"/>
      </w:r>
    </w:p>
    <w:p w14:paraId="0DFE1272">
      <w:pPr>
        <w:pStyle w:val="19"/>
        <w:tabs>
          <w:tab w:val="right" w:leader="dot" w:pos="8306"/>
        </w:tabs>
      </w:pPr>
      <w:r>
        <w:fldChar w:fldCharType="begin"/>
      </w:r>
      <w:r>
        <w:instrText xml:space="preserve"> HYPERLINK \l _Toc23705 </w:instrText>
      </w:r>
      <w:r>
        <w:fldChar w:fldCharType="separate"/>
      </w:r>
      <w:r>
        <w:rPr>
          <w:rFonts w:hint="eastAsia"/>
        </w:rPr>
        <w:t>4.4　专类公园</w:t>
      </w:r>
      <w:r>
        <w:tab/>
      </w:r>
      <w:r>
        <w:fldChar w:fldCharType="begin"/>
      </w:r>
      <w:r>
        <w:instrText xml:space="preserve"> PAGEREF _Toc23705 \h </w:instrText>
      </w:r>
      <w:r>
        <w:fldChar w:fldCharType="separate"/>
      </w:r>
      <w:r>
        <w:t>6</w:t>
      </w:r>
      <w:r>
        <w:fldChar w:fldCharType="end"/>
      </w:r>
      <w:r>
        <w:fldChar w:fldCharType="end"/>
      </w:r>
    </w:p>
    <w:p w14:paraId="3582FB7C">
      <w:pPr>
        <w:pStyle w:val="19"/>
        <w:tabs>
          <w:tab w:val="right" w:leader="dot" w:pos="8306"/>
        </w:tabs>
      </w:pPr>
      <w:r>
        <w:fldChar w:fldCharType="begin"/>
      </w:r>
      <w:r>
        <w:instrText xml:space="preserve"> HYPERLINK \l _Toc15350 </w:instrText>
      </w:r>
      <w:r>
        <w:fldChar w:fldCharType="separate"/>
      </w:r>
      <w:r>
        <w:rPr>
          <w:rFonts w:hint="eastAsia"/>
        </w:rPr>
        <w:t>4.5　游园</w:t>
      </w:r>
      <w:r>
        <w:tab/>
      </w:r>
      <w:r>
        <w:fldChar w:fldCharType="begin"/>
      </w:r>
      <w:r>
        <w:instrText xml:space="preserve"> PAGEREF _Toc15350 \h </w:instrText>
      </w:r>
      <w:r>
        <w:fldChar w:fldCharType="separate"/>
      </w:r>
      <w:r>
        <w:t>7</w:t>
      </w:r>
      <w:r>
        <w:fldChar w:fldCharType="end"/>
      </w:r>
      <w:r>
        <w:fldChar w:fldCharType="end"/>
      </w:r>
    </w:p>
    <w:p w14:paraId="163BAB3D">
      <w:pPr>
        <w:pStyle w:val="17"/>
        <w:tabs>
          <w:tab w:val="right" w:leader="dot" w:pos="8306"/>
        </w:tabs>
      </w:pPr>
      <w:r>
        <w:fldChar w:fldCharType="begin"/>
      </w:r>
      <w:r>
        <w:instrText xml:space="preserve"> HYPERLINK \l _Toc23385 </w:instrText>
      </w:r>
      <w:r>
        <w:fldChar w:fldCharType="separate"/>
      </w:r>
      <w:r>
        <w:rPr>
          <w:rFonts w:hint="eastAsia"/>
        </w:rPr>
        <w:t>5　防护绿地</w:t>
      </w:r>
      <w:r>
        <w:tab/>
      </w:r>
      <w:r>
        <w:fldChar w:fldCharType="begin"/>
      </w:r>
      <w:r>
        <w:instrText xml:space="preserve"> PAGEREF _Toc23385 \h </w:instrText>
      </w:r>
      <w:r>
        <w:fldChar w:fldCharType="separate"/>
      </w:r>
      <w:r>
        <w:t>9</w:t>
      </w:r>
      <w:r>
        <w:fldChar w:fldCharType="end"/>
      </w:r>
      <w:r>
        <w:fldChar w:fldCharType="end"/>
      </w:r>
    </w:p>
    <w:p w14:paraId="05C0E8DD">
      <w:pPr>
        <w:pStyle w:val="19"/>
        <w:tabs>
          <w:tab w:val="right" w:leader="dot" w:pos="8306"/>
        </w:tabs>
      </w:pPr>
      <w:r>
        <w:fldChar w:fldCharType="begin"/>
      </w:r>
      <w:r>
        <w:instrText xml:space="preserve"> HYPERLINK \l _Toc22832 </w:instrText>
      </w:r>
      <w:r>
        <w:fldChar w:fldCharType="separate"/>
      </w:r>
      <w:r>
        <w:rPr>
          <w:rFonts w:hint="eastAsia"/>
        </w:rPr>
        <w:t>5.1　一般规定</w:t>
      </w:r>
      <w:r>
        <w:tab/>
      </w:r>
      <w:r>
        <w:fldChar w:fldCharType="begin"/>
      </w:r>
      <w:r>
        <w:instrText xml:space="preserve"> PAGEREF _Toc22832 \h </w:instrText>
      </w:r>
      <w:r>
        <w:fldChar w:fldCharType="separate"/>
      </w:r>
      <w:r>
        <w:t>9</w:t>
      </w:r>
      <w:r>
        <w:fldChar w:fldCharType="end"/>
      </w:r>
      <w:r>
        <w:fldChar w:fldCharType="end"/>
      </w:r>
    </w:p>
    <w:p w14:paraId="0BC56F76">
      <w:pPr>
        <w:pStyle w:val="19"/>
        <w:tabs>
          <w:tab w:val="right" w:leader="dot" w:pos="8306"/>
        </w:tabs>
      </w:pPr>
      <w:r>
        <w:fldChar w:fldCharType="begin"/>
      </w:r>
      <w:r>
        <w:instrText xml:space="preserve"> HYPERLINK \l _Toc23239 </w:instrText>
      </w:r>
      <w:r>
        <w:fldChar w:fldCharType="separate"/>
      </w:r>
      <w:r>
        <w:rPr>
          <w:rFonts w:hint="eastAsia"/>
        </w:rPr>
        <w:t>5.2　卫生隔离防护绿地</w:t>
      </w:r>
      <w:r>
        <w:tab/>
      </w:r>
      <w:r>
        <w:fldChar w:fldCharType="begin"/>
      </w:r>
      <w:r>
        <w:instrText xml:space="preserve"> PAGEREF _Toc23239 \h </w:instrText>
      </w:r>
      <w:r>
        <w:fldChar w:fldCharType="separate"/>
      </w:r>
      <w:r>
        <w:t>9</w:t>
      </w:r>
      <w:r>
        <w:fldChar w:fldCharType="end"/>
      </w:r>
      <w:r>
        <w:fldChar w:fldCharType="end"/>
      </w:r>
    </w:p>
    <w:p w14:paraId="0059BD8F">
      <w:pPr>
        <w:pStyle w:val="19"/>
        <w:tabs>
          <w:tab w:val="right" w:leader="dot" w:pos="8306"/>
        </w:tabs>
      </w:pPr>
      <w:r>
        <w:fldChar w:fldCharType="begin"/>
      </w:r>
      <w:r>
        <w:instrText xml:space="preserve"> HYPERLINK \l _Toc2545 </w:instrText>
      </w:r>
      <w:r>
        <w:fldChar w:fldCharType="separate"/>
      </w:r>
      <w:r>
        <w:rPr>
          <w:rFonts w:hint="eastAsia"/>
        </w:rPr>
        <w:t>5.3　道路及铁路防护绿地</w:t>
      </w:r>
      <w:r>
        <w:tab/>
      </w:r>
      <w:r>
        <w:fldChar w:fldCharType="begin"/>
      </w:r>
      <w:r>
        <w:instrText xml:space="preserve"> PAGEREF _Toc2545 \h </w:instrText>
      </w:r>
      <w:r>
        <w:fldChar w:fldCharType="separate"/>
      </w:r>
      <w:r>
        <w:t>10</w:t>
      </w:r>
      <w:r>
        <w:fldChar w:fldCharType="end"/>
      </w:r>
      <w:r>
        <w:fldChar w:fldCharType="end"/>
      </w:r>
    </w:p>
    <w:p w14:paraId="3CEA92BD">
      <w:pPr>
        <w:pStyle w:val="19"/>
        <w:tabs>
          <w:tab w:val="right" w:leader="dot" w:pos="8306"/>
        </w:tabs>
      </w:pPr>
      <w:r>
        <w:fldChar w:fldCharType="begin"/>
      </w:r>
      <w:r>
        <w:instrText xml:space="preserve"> HYPERLINK \l _Toc30334 </w:instrText>
      </w:r>
      <w:r>
        <w:fldChar w:fldCharType="separate"/>
      </w:r>
      <w:r>
        <w:rPr>
          <w:rFonts w:hint="eastAsia"/>
        </w:rPr>
        <w:t>5.4　高压走廊防护绿地</w:t>
      </w:r>
      <w:r>
        <w:tab/>
      </w:r>
      <w:r>
        <w:fldChar w:fldCharType="begin"/>
      </w:r>
      <w:r>
        <w:instrText xml:space="preserve"> PAGEREF _Toc30334 \h </w:instrText>
      </w:r>
      <w:r>
        <w:fldChar w:fldCharType="separate"/>
      </w:r>
      <w:r>
        <w:t>10</w:t>
      </w:r>
      <w:r>
        <w:fldChar w:fldCharType="end"/>
      </w:r>
      <w:r>
        <w:fldChar w:fldCharType="end"/>
      </w:r>
    </w:p>
    <w:p w14:paraId="6EE7BF66">
      <w:pPr>
        <w:pStyle w:val="19"/>
        <w:tabs>
          <w:tab w:val="right" w:leader="dot" w:pos="8306"/>
        </w:tabs>
      </w:pPr>
      <w:r>
        <w:fldChar w:fldCharType="begin"/>
      </w:r>
      <w:r>
        <w:instrText xml:space="preserve"> HYPERLINK \l _Toc7271 </w:instrText>
      </w:r>
      <w:r>
        <w:fldChar w:fldCharType="separate"/>
      </w:r>
      <w:r>
        <w:rPr>
          <w:rFonts w:hint="eastAsia"/>
        </w:rPr>
        <w:t>5.5　公用设施防护绿地</w:t>
      </w:r>
      <w:r>
        <w:tab/>
      </w:r>
      <w:r>
        <w:fldChar w:fldCharType="begin"/>
      </w:r>
      <w:r>
        <w:instrText xml:space="preserve"> PAGEREF _Toc7271 \h </w:instrText>
      </w:r>
      <w:r>
        <w:fldChar w:fldCharType="separate"/>
      </w:r>
      <w:r>
        <w:t>10</w:t>
      </w:r>
      <w:r>
        <w:fldChar w:fldCharType="end"/>
      </w:r>
      <w:r>
        <w:fldChar w:fldCharType="end"/>
      </w:r>
    </w:p>
    <w:p w14:paraId="7D49F911">
      <w:pPr>
        <w:pStyle w:val="17"/>
        <w:tabs>
          <w:tab w:val="right" w:leader="dot" w:pos="8306"/>
        </w:tabs>
      </w:pPr>
      <w:r>
        <w:fldChar w:fldCharType="begin"/>
      </w:r>
      <w:r>
        <w:instrText xml:space="preserve"> HYPERLINK \l _Toc6894 </w:instrText>
      </w:r>
      <w:r>
        <w:fldChar w:fldCharType="separate"/>
      </w:r>
      <w:r>
        <w:rPr>
          <w:rFonts w:hint="eastAsia"/>
        </w:rPr>
        <w:t>6　广场用地</w:t>
      </w:r>
      <w:r>
        <w:tab/>
      </w:r>
      <w:r>
        <w:fldChar w:fldCharType="begin"/>
      </w:r>
      <w:r>
        <w:instrText xml:space="preserve"> PAGEREF _Toc6894 \h </w:instrText>
      </w:r>
      <w:r>
        <w:fldChar w:fldCharType="separate"/>
      </w:r>
      <w:r>
        <w:t>12</w:t>
      </w:r>
      <w:r>
        <w:fldChar w:fldCharType="end"/>
      </w:r>
      <w:r>
        <w:fldChar w:fldCharType="end"/>
      </w:r>
    </w:p>
    <w:p w14:paraId="69C75E69">
      <w:pPr>
        <w:pStyle w:val="19"/>
        <w:tabs>
          <w:tab w:val="right" w:leader="dot" w:pos="8306"/>
        </w:tabs>
      </w:pPr>
      <w:r>
        <w:fldChar w:fldCharType="begin"/>
      </w:r>
      <w:r>
        <w:instrText xml:space="preserve"> HYPERLINK \l _Toc30151 </w:instrText>
      </w:r>
      <w:r>
        <w:fldChar w:fldCharType="separate"/>
      </w:r>
      <w:r>
        <w:rPr>
          <w:rFonts w:hint="eastAsia"/>
        </w:rPr>
        <w:t>6.1　一般规定</w:t>
      </w:r>
      <w:r>
        <w:tab/>
      </w:r>
      <w:r>
        <w:fldChar w:fldCharType="begin"/>
      </w:r>
      <w:r>
        <w:instrText xml:space="preserve"> PAGEREF _Toc30151 \h </w:instrText>
      </w:r>
      <w:r>
        <w:fldChar w:fldCharType="separate"/>
      </w:r>
      <w:r>
        <w:t>12</w:t>
      </w:r>
      <w:r>
        <w:fldChar w:fldCharType="end"/>
      </w:r>
      <w:r>
        <w:fldChar w:fldCharType="end"/>
      </w:r>
    </w:p>
    <w:p w14:paraId="0E7423E3">
      <w:pPr>
        <w:pStyle w:val="19"/>
        <w:tabs>
          <w:tab w:val="right" w:leader="dot" w:pos="8306"/>
        </w:tabs>
      </w:pPr>
      <w:r>
        <w:fldChar w:fldCharType="begin"/>
      </w:r>
      <w:r>
        <w:instrText xml:space="preserve"> HYPERLINK \l _Toc11358 </w:instrText>
      </w:r>
      <w:r>
        <w:fldChar w:fldCharType="separate"/>
      </w:r>
      <w:r>
        <w:rPr>
          <w:rFonts w:hint="eastAsia"/>
        </w:rPr>
        <w:t>6.2　绿化、设施及铺装</w:t>
      </w:r>
      <w:r>
        <w:tab/>
      </w:r>
      <w:r>
        <w:fldChar w:fldCharType="begin"/>
      </w:r>
      <w:r>
        <w:instrText xml:space="preserve"> PAGEREF _Toc11358 \h </w:instrText>
      </w:r>
      <w:r>
        <w:fldChar w:fldCharType="separate"/>
      </w:r>
      <w:r>
        <w:t>12</w:t>
      </w:r>
      <w:r>
        <w:fldChar w:fldCharType="end"/>
      </w:r>
      <w:r>
        <w:fldChar w:fldCharType="end"/>
      </w:r>
    </w:p>
    <w:p w14:paraId="0B9D4490">
      <w:pPr>
        <w:pStyle w:val="17"/>
        <w:tabs>
          <w:tab w:val="right" w:leader="dot" w:pos="8306"/>
        </w:tabs>
      </w:pPr>
      <w:r>
        <w:fldChar w:fldCharType="begin"/>
      </w:r>
      <w:r>
        <w:instrText xml:space="preserve"> HYPERLINK \l _Toc5096 </w:instrText>
      </w:r>
      <w:r>
        <w:fldChar w:fldCharType="separate"/>
      </w:r>
      <w:r>
        <w:rPr>
          <w:rFonts w:hint="eastAsia"/>
        </w:rPr>
        <w:t>7　附属绿地</w:t>
      </w:r>
      <w:r>
        <w:tab/>
      </w:r>
      <w:r>
        <w:fldChar w:fldCharType="begin"/>
      </w:r>
      <w:r>
        <w:instrText xml:space="preserve"> PAGEREF _Toc5096 \h </w:instrText>
      </w:r>
      <w:r>
        <w:fldChar w:fldCharType="separate"/>
      </w:r>
      <w:r>
        <w:t>14</w:t>
      </w:r>
      <w:r>
        <w:fldChar w:fldCharType="end"/>
      </w:r>
      <w:r>
        <w:fldChar w:fldCharType="end"/>
      </w:r>
    </w:p>
    <w:p w14:paraId="2AD70A17">
      <w:pPr>
        <w:pStyle w:val="19"/>
        <w:tabs>
          <w:tab w:val="right" w:leader="dot" w:pos="8306"/>
        </w:tabs>
      </w:pPr>
      <w:r>
        <w:fldChar w:fldCharType="begin"/>
      </w:r>
      <w:r>
        <w:instrText xml:space="preserve"> HYPERLINK \l _Toc22860 </w:instrText>
      </w:r>
      <w:r>
        <w:fldChar w:fldCharType="separate"/>
      </w:r>
      <w:r>
        <w:rPr>
          <w:rFonts w:hint="eastAsia"/>
        </w:rPr>
        <w:t>7.1　一般规定</w:t>
      </w:r>
      <w:r>
        <w:tab/>
      </w:r>
      <w:r>
        <w:fldChar w:fldCharType="begin"/>
      </w:r>
      <w:r>
        <w:instrText xml:space="preserve"> PAGEREF _Toc22860 \h </w:instrText>
      </w:r>
      <w:r>
        <w:fldChar w:fldCharType="separate"/>
      </w:r>
      <w:r>
        <w:t>14</w:t>
      </w:r>
      <w:r>
        <w:fldChar w:fldCharType="end"/>
      </w:r>
      <w:r>
        <w:fldChar w:fldCharType="end"/>
      </w:r>
    </w:p>
    <w:p w14:paraId="322E7ACA">
      <w:pPr>
        <w:pStyle w:val="19"/>
        <w:tabs>
          <w:tab w:val="right" w:leader="dot" w:pos="8306"/>
        </w:tabs>
      </w:pPr>
      <w:r>
        <w:fldChar w:fldCharType="begin"/>
      </w:r>
      <w:r>
        <w:instrText xml:space="preserve"> HYPERLINK \l _Toc31558 </w:instrText>
      </w:r>
      <w:r>
        <w:fldChar w:fldCharType="separate"/>
      </w:r>
      <w:r>
        <w:rPr>
          <w:rFonts w:hint="eastAsia"/>
        </w:rPr>
        <w:t>7.2　居住用地附属绿地</w:t>
      </w:r>
      <w:r>
        <w:tab/>
      </w:r>
      <w:r>
        <w:fldChar w:fldCharType="begin"/>
      </w:r>
      <w:r>
        <w:instrText xml:space="preserve"> PAGEREF _Toc31558 \h </w:instrText>
      </w:r>
      <w:r>
        <w:fldChar w:fldCharType="separate"/>
      </w:r>
      <w:r>
        <w:t>14</w:t>
      </w:r>
      <w:r>
        <w:fldChar w:fldCharType="end"/>
      </w:r>
      <w:r>
        <w:fldChar w:fldCharType="end"/>
      </w:r>
    </w:p>
    <w:p w14:paraId="6F89EF8F">
      <w:pPr>
        <w:pStyle w:val="19"/>
        <w:tabs>
          <w:tab w:val="right" w:leader="dot" w:pos="8306"/>
        </w:tabs>
      </w:pPr>
      <w:r>
        <w:fldChar w:fldCharType="begin"/>
      </w:r>
      <w:r>
        <w:instrText xml:space="preserve"> HYPERLINK \l _Toc19547 </w:instrText>
      </w:r>
      <w:r>
        <w:fldChar w:fldCharType="separate"/>
      </w:r>
      <w:r>
        <w:rPr>
          <w:rFonts w:hint="eastAsia"/>
        </w:rPr>
        <w:t>7.3　公共管理和服务设施用地附属绿地</w:t>
      </w:r>
      <w:r>
        <w:tab/>
      </w:r>
      <w:r>
        <w:fldChar w:fldCharType="begin"/>
      </w:r>
      <w:r>
        <w:instrText xml:space="preserve"> PAGEREF _Toc19547 \h </w:instrText>
      </w:r>
      <w:r>
        <w:fldChar w:fldCharType="separate"/>
      </w:r>
      <w:r>
        <w:t>15</w:t>
      </w:r>
      <w:r>
        <w:fldChar w:fldCharType="end"/>
      </w:r>
      <w:r>
        <w:fldChar w:fldCharType="end"/>
      </w:r>
    </w:p>
    <w:p w14:paraId="4EDC030E">
      <w:pPr>
        <w:pStyle w:val="19"/>
        <w:tabs>
          <w:tab w:val="right" w:leader="dot" w:pos="8306"/>
        </w:tabs>
      </w:pPr>
      <w:r>
        <w:fldChar w:fldCharType="begin"/>
      </w:r>
      <w:r>
        <w:instrText xml:space="preserve"> HYPERLINK \l _Toc19396 </w:instrText>
      </w:r>
      <w:r>
        <w:fldChar w:fldCharType="separate"/>
      </w:r>
      <w:r>
        <w:rPr>
          <w:rFonts w:hint="eastAsia"/>
        </w:rPr>
        <w:t>7.4　商业服务设施用地附属绿地</w:t>
      </w:r>
      <w:r>
        <w:tab/>
      </w:r>
      <w:r>
        <w:fldChar w:fldCharType="begin"/>
      </w:r>
      <w:r>
        <w:instrText xml:space="preserve"> PAGEREF _Toc19396 \h </w:instrText>
      </w:r>
      <w:r>
        <w:fldChar w:fldCharType="separate"/>
      </w:r>
      <w:r>
        <w:t>15</w:t>
      </w:r>
      <w:r>
        <w:fldChar w:fldCharType="end"/>
      </w:r>
      <w:r>
        <w:fldChar w:fldCharType="end"/>
      </w:r>
    </w:p>
    <w:p w14:paraId="49649F05">
      <w:pPr>
        <w:pStyle w:val="19"/>
        <w:tabs>
          <w:tab w:val="right" w:leader="dot" w:pos="8306"/>
        </w:tabs>
      </w:pPr>
      <w:r>
        <w:fldChar w:fldCharType="begin"/>
      </w:r>
      <w:r>
        <w:instrText xml:space="preserve"> HYPERLINK \l _Toc28283 </w:instrText>
      </w:r>
      <w:r>
        <w:fldChar w:fldCharType="separate"/>
      </w:r>
      <w:r>
        <w:rPr>
          <w:rFonts w:hint="eastAsia"/>
        </w:rPr>
        <w:t>7.5　工业用地附属绿地</w:t>
      </w:r>
      <w:r>
        <w:tab/>
      </w:r>
      <w:r>
        <w:fldChar w:fldCharType="begin"/>
      </w:r>
      <w:r>
        <w:instrText xml:space="preserve"> PAGEREF _Toc28283 \h </w:instrText>
      </w:r>
      <w:r>
        <w:fldChar w:fldCharType="separate"/>
      </w:r>
      <w:r>
        <w:t>15</w:t>
      </w:r>
      <w:r>
        <w:fldChar w:fldCharType="end"/>
      </w:r>
      <w:r>
        <w:fldChar w:fldCharType="end"/>
      </w:r>
    </w:p>
    <w:p w14:paraId="12158DF2">
      <w:pPr>
        <w:pStyle w:val="19"/>
        <w:tabs>
          <w:tab w:val="right" w:leader="dot" w:pos="8306"/>
        </w:tabs>
      </w:pPr>
      <w:r>
        <w:fldChar w:fldCharType="begin"/>
      </w:r>
      <w:r>
        <w:instrText xml:space="preserve"> HYPERLINK \l _Toc30893 </w:instrText>
      </w:r>
      <w:r>
        <w:fldChar w:fldCharType="separate"/>
      </w:r>
      <w:r>
        <w:rPr>
          <w:rFonts w:hint="eastAsia"/>
        </w:rPr>
        <w:t>7.6　物流仓储用地附属绿地</w:t>
      </w:r>
      <w:r>
        <w:tab/>
      </w:r>
      <w:r>
        <w:fldChar w:fldCharType="begin"/>
      </w:r>
      <w:r>
        <w:instrText xml:space="preserve"> PAGEREF _Toc30893 \h </w:instrText>
      </w:r>
      <w:r>
        <w:fldChar w:fldCharType="separate"/>
      </w:r>
      <w:r>
        <w:t>16</w:t>
      </w:r>
      <w:r>
        <w:fldChar w:fldCharType="end"/>
      </w:r>
      <w:r>
        <w:fldChar w:fldCharType="end"/>
      </w:r>
    </w:p>
    <w:p w14:paraId="41571CCE">
      <w:pPr>
        <w:pStyle w:val="19"/>
        <w:tabs>
          <w:tab w:val="right" w:leader="dot" w:pos="8306"/>
        </w:tabs>
      </w:pPr>
      <w:r>
        <w:fldChar w:fldCharType="begin"/>
      </w:r>
      <w:r>
        <w:instrText xml:space="preserve"> HYPERLINK \l _Toc17287 </w:instrText>
      </w:r>
      <w:r>
        <w:fldChar w:fldCharType="separate"/>
      </w:r>
      <w:r>
        <w:rPr>
          <w:rFonts w:hint="eastAsia"/>
        </w:rPr>
        <w:t>7.7　道路与交通设施用地附属绿地</w:t>
      </w:r>
      <w:r>
        <w:tab/>
      </w:r>
      <w:r>
        <w:fldChar w:fldCharType="begin"/>
      </w:r>
      <w:r>
        <w:instrText xml:space="preserve"> PAGEREF _Toc17287 \h </w:instrText>
      </w:r>
      <w:r>
        <w:fldChar w:fldCharType="separate"/>
      </w:r>
      <w:r>
        <w:t>16</w:t>
      </w:r>
      <w:r>
        <w:fldChar w:fldCharType="end"/>
      </w:r>
      <w:r>
        <w:fldChar w:fldCharType="end"/>
      </w:r>
    </w:p>
    <w:p w14:paraId="78C844F5">
      <w:pPr>
        <w:pStyle w:val="19"/>
        <w:tabs>
          <w:tab w:val="right" w:leader="dot" w:pos="8306"/>
        </w:tabs>
      </w:pPr>
      <w:r>
        <w:fldChar w:fldCharType="begin"/>
      </w:r>
      <w:r>
        <w:instrText xml:space="preserve"> HYPERLINK \l _Toc9561 </w:instrText>
      </w:r>
      <w:r>
        <w:fldChar w:fldCharType="separate"/>
      </w:r>
      <w:r>
        <w:rPr>
          <w:rFonts w:hint="eastAsia"/>
        </w:rPr>
        <w:t>7.8　公用设施用地附属绿地</w:t>
      </w:r>
      <w:r>
        <w:tab/>
      </w:r>
      <w:r>
        <w:fldChar w:fldCharType="begin"/>
      </w:r>
      <w:r>
        <w:instrText xml:space="preserve"> PAGEREF _Toc9561 \h </w:instrText>
      </w:r>
      <w:r>
        <w:fldChar w:fldCharType="separate"/>
      </w:r>
      <w:r>
        <w:t>16</w:t>
      </w:r>
      <w:r>
        <w:fldChar w:fldCharType="end"/>
      </w:r>
      <w:r>
        <w:fldChar w:fldCharType="end"/>
      </w:r>
    </w:p>
    <w:p w14:paraId="10BB92C5">
      <w:pPr>
        <w:pStyle w:val="17"/>
        <w:tabs>
          <w:tab w:val="right" w:leader="dot" w:pos="8306"/>
        </w:tabs>
      </w:pPr>
      <w:r>
        <w:fldChar w:fldCharType="begin"/>
      </w:r>
      <w:r>
        <w:instrText xml:space="preserve"> HYPERLINK \l _Toc31924 </w:instrText>
      </w:r>
      <w:r>
        <w:fldChar w:fldCharType="separate"/>
      </w:r>
      <w:r>
        <w:t xml:space="preserve">8 </w:t>
      </w:r>
      <w:r>
        <w:rPr>
          <w:rFonts w:hint="eastAsia"/>
        </w:rPr>
        <w:t>区域绿地</w:t>
      </w:r>
      <w:r>
        <w:tab/>
      </w:r>
      <w:r>
        <w:fldChar w:fldCharType="begin"/>
      </w:r>
      <w:r>
        <w:instrText xml:space="preserve"> PAGEREF _Toc31924 \h </w:instrText>
      </w:r>
      <w:r>
        <w:fldChar w:fldCharType="separate"/>
      </w:r>
      <w:r>
        <w:t>18</w:t>
      </w:r>
      <w:r>
        <w:fldChar w:fldCharType="end"/>
      </w:r>
      <w:r>
        <w:fldChar w:fldCharType="end"/>
      </w:r>
    </w:p>
    <w:p w14:paraId="11BCECFD">
      <w:pPr>
        <w:pStyle w:val="19"/>
        <w:tabs>
          <w:tab w:val="right" w:leader="dot" w:pos="8306"/>
        </w:tabs>
      </w:pPr>
      <w:r>
        <w:fldChar w:fldCharType="begin"/>
      </w:r>
      <w:r>
        <w:instrText xml:space="preserve"> HYPERLINK \l _Toc29797 </w:instrText>
      </w:r>
      <w:r>
        <w:fldChar w:fldCharType="separate"/>
      </w:r>
      <w:r>
        <w:rPr>
          <w:rFonts w:hint="eastAsia"/>
        </w:rPr>
        <w:t>8.1　一般规定</w:t>
      </w:r>
      <w:r>
        <w:tab/>
      </w:r>
      <w:r>
        <w:fldChar w:fldCharType="begin"/>
      </w:r>
      <w:r>
        <w:instrText xml:space="preserve"> PAGEREF _Toc29797 \h </w:instrText>
      </w:r>
      <w:r>
        <w:fldChar w:fldCharType="separate"/>
      </w:r>
      <w:r>
        <w:t>18</w:t>
      </w:r>
      <w:r>
        <w:fldChar w:fldCharType="end"/>
      </w:r>
      <w:r>
        <w:fldChar w:fldCharType="end"/>
      </w:r>
    </w:p>
    <w:p w14:paraId="4765A316">
      <w:pPr>
        <w:pStyle w:val="19"/>
        <w:tabs>
          <w:tab w:val="right" w:leader="dot" w:pos="8306"/>
        </w:tabs>
      </w:pPr>
      <w:r>
        <w:fldChar w:fldCharType="begin"/>
      </w:r>
      <w:r>
        <w:instrText xml:space="preserve"> HYPERLINK \l _Toc30587 </w:instrText>
      </w:r>
      <w:r>
        <w:fldChar w:fldCharType="separate"/>
      </w:r>
      <w:r>
        <w:rPr>
          <w:rFonts w:hint="eastAsia"/>
        </w:rPr>
        <w:t>8.2　区域设施防护绿地</w:t>
      </w:r>
      <w:r>
        <w:tab/>
      </w:r>
      <w:r>
        <w:fldChar w:fldCharType="begin"/>
      </w:r>
      <w:r>
        <w:instrText xml:space="preserve"> PAGEREF _Toc30587 \h </w:instrText>
      </w:r>
      <w:r>
        <w:fldChar w:fldCharType="separate"/>
      </w:r>
      <w:r>
        <w:t>18</w:t>
      </w:r>
      <w:r>
        <w:fldChar w:fldCharType="end"/>
      </w:r>
      <w:r>
        <w:fldChar w:fldCharType="end"/>
      </w:r>
    </w:p>
    <w:p w14:paraId="4872A99F">
      <w:pPr>
        <w:pStyle w:val="19"/>
        <w:tabs>
          <w:tab w:val="right" w:leader="dot" w:pos="8306"/>
        </w:tabs>
      </w:pPr>
      <w:r>
        <w:fldChar w:fldCharType="begin"/>
      </w:r>
      <w:r>
        <w:instrText xml:space="preserve"> HYPERLINK \l _Toc17772 </w:instrText>
      </w:r>
      <w:r>
        <w:fldChar w:fldCharType="separate"/>
      </w:r>
      <w:r>
        <w:rPr>
          <w:rFonts w:hint="eastAsia"/>
        </w:rPr>
        <w:t>8.3　生产绿地</w:t>
      </w:r>
      <w:r>
        <w:tab/>
      </w:r>
      <w:r>
        <w:fldChar w:fldCharType="begin"/>
      </w:r>
      <w:r>
        <w:instrText xml:space="preserve"> PAGEREF _Toc17772 \h </w:instrText>
      </w:r>
      <w:r>
        <w:fldChar w:fldCharType="separate"/>
      </w:r>
      <w:r>
        <w:t>19</w:t>
      </w:r>
      <w:r>
        <w:fldChar w:fldCharType="end"/>
      </w:r>
      <w:r>
        <w:fldChar w:fldCharType="end"/>
      </w:r>
    </w:p>
    <w:p w14:paraId="74C61A4E">
      <w:pPr>
        <w:pStyle w:val="19"/>
        <w:tabs>
          <w:tab w:val="right" w:leader="dot" w:pos="8306"/>
        </w:tabs>
      </w:pPr>
      <w:r>
        <w:fldChar w:fldCharType="begin"/>
      </w:r>
      <w:r>
        <w:instrText xml:space="preserve"> HYPERLINK \l _Toc21743 </w:instrText>
      </w:r>
      <w:r>
        <w:fldChar w:fldCharType="separate"/>
      </w:r>
      <w:r>
        <w:rPr>
          <w:rFonts w:hint="eastAsia"/>
        </w:rPr>
        <w:t>9.1　一般规定</w:t>
      </w:r>
      <w:r>
        <w:tab/>
      </w:r>
      <w:r>
        <w:fldChar w:fldCharType="begin"/>
      </w:r>
      <w:r>
        <w:instrText xml:space="preserve"> PAGEREF _Toc21743 \h </w:instrText>
      </w:r>
      <w:r>
        <w:fldChar w:fldCharType="separate"/>
      </w:r>
      <w:r>
        <w:t>20</w:t>
      </w:r>
      <w:r>
        <w:fldChar w:fldCharType="end"/>
      </w:r>
      <w:r>
        <w:fldChar w:fldCharType="end"/>
      </w:r>
    </w:p>
    <w:p w14:paraId="75BAF725">
      <w:pPr>
        <w:pStyle w:val="19"/>
        <w:tabs>
          <w:tab w:val="right" w:leader="dot" w:pos="8306"/>
        </w:tabs>
      </w:pPr>
      <w:r>
        <w:fldChar w:fldCharType="begin"/>
      </w:r>
      <w:r>
        <w:instrText xml:space="preserve"> HYPERLINK \l _Toc32146 </w:instrText>
      </w:r>
      <w:r>
        <w:fldChar w:fldCharType="separate"/>
      </w:r>
      <w:r>
        <w:rPr>
          <w:rFonts w:hint="eastAsia"/>
        </w:rPr>
        <w:t>9.2　生态功能专项设计</w:t>
      </w:r>
      <w:r>
        <w:tab/>
      </w:r>
      <w:r>
        <w:fldChar w:fldCharType="begin"/>
      </w:r>
      <w:r>
        <w:instrText xml:space="preserve"> PAGEREF _Toc32146 \h </w:instrText>
      </w:r>
      <w:r>
        <w:fldChar w:fldCharType="separate"/>
      </w:r>
      <w:r>
        <w:t>20</w:t>
      </w:r>
      <w:r>
        <w:fldChar w:fldCharType="end"/>
      </w:r>
      <w:r>
        <w:fldChar w:fldCharType="end"/>
      </w:r>
    </w:p>
    <w:p w14:paraId="1BC3A509">
      <w:pPr>
        <w:pStyle w:val="19"/>
        <w:tabs>
          <w:tab w:val="right" w:leader="dot" w:pos="8306"/>
        </w:tabs>
      </w:pPr>
      <w:r>
        <w:fldChar w:fldCharType="begin"/>
      </w:r>
      <w:r>
        <w:instrText xml:space="preserve"> HYPERLINK \l _Toc29849 </w:instrText>
      </w:r>
      <w:r>
        <w:fldChar w:fldCharType="separate"/>
      </w:r>
      <w:r>
        <w:rPr>
          <w:rFonts w:hint="eastAsia"/>
        </w:rPr>
        <w:t>9.3　社会功能专项设计</w:t>
      </w:r>
      <w:r>
        <w:tab/>
      </w:r>
      <w:r>
        <w:fldChar w:fldCharType="begin"/>
      </w:r>
      <w:r>
        <w:instrText xml:space="preserve"> PAGEREF _Toc29849 \h </w:instrText>
      </w:r>
      <w:r>
        <w:fldChar w:fldCharType="separate"/>
      </w:r>
      <w:r>
        <w:t>25</w:t>
      </w:r>
      <w:r>
        <w:fldChar w:fldCharType="end"/>
      </w:r>
      <w:r>
        <w:fldChar w:fldCharType="end"/>
      </w:r>
    </w:p>
    <w:p w14:paraId="0E1C2256">
      <w:pPr>
        <w:pStyle w:val="19"/>
        <w:tabs>
          <w:tab w:val="right" w:leader="dot" w:pos="8306"/>
        </w:tabs>
      </w:pPr>
      <w:r>
        <w:fldChar w:fldCharType="begin"/>
      </w:r>
      <w:r>
        <w:instrText xml:space="preserve"> HYPERLINK \l _Toc6501 </w:instrText>
      </w:r>
      <w:r>
        <w:fldChar w:fldCharType="separate"/>
      </w:r>
      <w:r>
        <w:rPr>
          <w:rFonts w:hint="eastAsia"/>
        </w:rPr>
        <w:t>9.4　景观功能专项设计</w:t>
      </w:r>
      <w:r>
        <w:tab/>
      </w:r>
      <w:r>
        <w:fldChar w:fldCharType="begin"/>
      </w:r>
      <w:r>
        <w:instrText xml:space="preserve"> PAGEREF _Toc6501 \h </w:instrText>
      </w:r>
      <w:r>
        <w:fldChar w:fldCharType="separate"/>
      </w:r>
      <w:r>
        <w:t>27</w:t>
      </w:r>
      <w:r>
        <w:fldChar w:fldCharType="end"/>
      </w:r>
      <w:r>
        <w:fldChar w:fldCharType="end"/>
      </w:r>
    </w:p>
    <w:p w14:paraId="31A0AFF8">
      <w:pPr>
        <w:pStyle w:val="19"/>
        <w:tabs>
          <w:tab w:val="right" w:leader="dot" w:pos="8306"/>
        </w:tabs>
      </w:pPr>
      <w:r>
        <w:fldChar w:fldCharType="begin"/>
      </w:r>
      <w:r>
        <w:instrText xml:space="preserve"> HYPERLINK \l _Toc14155 </w:instrText>
      </w:r>
      <w:r>
        <w:fldChar w:fldCharType="separate"/>
      </w:r>
      <w:r>
        <w:rPr>
          <w:rFonts w:hint="eastAsia"/>
        </w:rPr>
        <w:t>9.5　经济功能专项设计</w:t>
      </w:r>
      <w:r>
        <w:tab/>
      </w:r>
      <w:r>
        <w:fldChar w:fldCharType="begin"/>
      </w:r>
      <w:r>
        <w:instrText xml:space="preserve"> PAGEREF _Toc14155 \h </w:instrText>
      </w:r>
      <w:r>
        <w:fldChar w:fldCharType="separate"/>
      </w:r>
      <w:r>
        <w:t>28</w:t>
      </w:r>
      <w:r>
        <w:fldChar w:fldCharType="end"/>
      </w:r>
      <w:r>
        <w:fldChar w:fldCharType="end"/>
      </w:r>
    </w:p>
    <w:p w14:paraId="605605BC">
      <w:pPr>
        <w:pStyle w:val="17"/>
        <w:tabs>
          <w:tab w:val="right" w:leader="dot" w:pos="8306"/>
        </w:tabs>
      </w:pPr>
      <w:r>
        <w:fldChar w:fldCharType="begin"/>
      </w:r>
      <w:r>
        <w:instrText xml:space="preserve"> HYPERLINK \l _Toc31464 </w:instrText>
      </w:r>
      <w:r>
        <w:fldChar w:fldCharType="separate"/>
      </w:r>
      <w:r>
        <w:rPr>
          <w:rFonts w:hint="eastAsia"/>
          <w:shd w:val="clear" w:color="auto" w:fill="FFFFFF"/>
        </w:rPr>
        <w:t>10　要素设计</w:t>
      </w:r>
      <w:r>
        <w:tab/>
      </w:r>
      <w:r>
        <w:fldChar w:fldCharType="begin"/>
      </w:r>
      <w:r>
        <w:instrText xml:space="preserve"> PAGEREF _Toc31464 \h </w:instrText>
      </w:r>
      <w:r>
        <w:fldChar w:fldCharType="separate"/>
      </w:r>
      <w:r>
        <w:t>30</w:t>
      </w:r>
      <w:r>
        <w:fldChar w:fldCharType="end"/>
      </w:r>
      <w:r>
        <w:fldChar w:fldCharType="end"/>
      </w:r>
    </w:p>
    <w:p w14:paraId="27B9829F">
      <w:pPr>
        <w:pStyle w:val="19"/>
        <w:tabs>
          <w:tab w:val="right" w:leader="dot" w:pos="8306"/>
        </w:tabs>
      </w:pPr>
      <w:r>
        <w:fldChar w:fldCharType="begin"/>
      </w:r>
      <w:r>
        <w:instrText xml:space="preserve"> HYPERLINK \l _Toc20884 </w:instrText>
      </w:r>
      <w:r>
        <w:fldChar w:fldCharType="separate"/>
      </w:r>
      <w:r>
        <w:rPr>
          <w:rFonts w:hint="eastAsia"/>
        </w:rPr>
        <w:t>10.1</w:t>
      </w:r>
      <w:r>
        <w:rPr>
          <w:rFonts w:hint="eastAsia" w:asciiTheme="minorEastAsia" w:hAnsiTheme="minorEastAsia" w:eastAsiaTheme="minorEastAsia"/>
          <w:szCs w:val="24"/>
        </w:rPr>
        <w:t>　</w:t>
      </w:r>
      <w:r>
        <w:rPr>
          <w:rFonts w:hint="eastAsia"/>
        </w:rPr>
        <w:t>一般规定</w:t>
      </w:r>
      <w:r>
        <w:tab/>
      </w:r>
      <w:r>
        <w:fldChar w:fldCharType="begin"/>
      </w:r>
      <w:r>
        <w:instrText xml:space="preserve"> PAGEREF _Toc20884 \h </w:instrText>
      </w:r>
      <w:r>
        <w:fldChar w:fldCharType="separate"/>
      </w:r>
      <w:r>
        <w:t>30</w:t>
      </w:r>
      <w:r>
        <w:fldChar w:fldCharType="end"/>
      </w:r>
      <w:r>
        <w:fldChar w:fldCharType="end"/>
      </w:r>
    </w:p>
    <w:p w14:paraId="03F6A968">
      <w:pPr>
        <w:pStyle w:val="19"/>
        <w:tabs>
          <w:tab w:val="right" w:leader="dot" w:pos="8306"/>
        </w:tabs>
      </w:pPr>
      <w:r>
        <w:fldChar w:fldCharType="begin"/>
      </w:r>
      <w:r>
        <w:instrText xml:space="preserve"> HYPERLINK \l _Toc15547 </w:instrText>
      </w:r>
      <w:r>
        <w:fldChar w:fldCharType="separate"/>
      </w:r>
      <w:r>
        <w:t>10</w:t>
      </w:r>
      <w:r>
        <w:rPr>
          <w:rFonts w:hint="eastAsia"/>
        </w:rPr>
        <w:t>.2　竖向地形、土壤、水体</w:t>
      </w:r>
      <w:r>
        <w:tab/>
      </w:r>
      <w:r>
        <w:fldChar w:fldCharType="begin"/>
      </w:r>
      <w:r>
        <w:instrText xml:space="preserve"> PAGEREF _Toc15547 \h </w:instrText>
      </w:r>
      <w:r>
        <w:fldChar w:fldCharType="separate"/>
      </w:r>
      <w:r>
        <w:t>30</w:t>
      </w:r>
      <w:r>
        <w:fldChar w:fldCharType="end"/>
      </w:r>
      <w:r>
        <w:fldChar w:fldCharType="end"/>
      </w:r>
    </w:p>
    <w:p w14:paraId="353060B3">
      <w:pPr>
        <w:pStyle w:val="19"/>
        <w:tabs>
          <w:tab w:val="right" w:leader="dot" w:pos="8306"/>
        </w:tabs>
      </w:pPr>
      <w:r>
        <w:fldChar w:fldCharType="begin"/>
      </w:r>
      <w:r>
        <w:instrText xml:space="preserve"> HYPERLINK \l _Toc29361 </w:instrText>
      </w:r>
      <w:r>
        <w:fldChar w:fldCharType="separate"/>
      </w:r>
      <w:r>
        <w:t>10</w:t>
      </w:r>
      <w:r>
        <w:rPr>
          <w:rFonts w:hint="eastAsia"/>
        </w:rPr>
        <w:t>.3　植物</w:t>
      </w:r>
      <w:r>
        <w:tab/>
      </w:r>
      <w:r>
        <w:fldChar w:fldCharType="begin"/>
      </w:r>
      <w:r>
        <w:instrText xml:space="preserve"> PAGEREF _Toc29361 \h </w:instrText>
      </w:r>
      <w:r>
        <w:fldChar w:fldCharType="separate"/>
      </w:r>
      <w:r>
        <w:t>31</w:t>
      </w:r>
      <w:r>
        <w:fldChar w:fldCharType="end"/>
      </w:r>
      <w:r>
        <w:fldChar w:fldCharType="end"/>
      </w:r>
    </w:p>
    <w:p w14:paraId="7B3BB0A2">
      <w:pPr>
        <w:pStyle w:val="19"/>
        <w:tabs>
          <w:tab w:val="right" w:leader="dot" w:pos="8306"/>
        </w:tabs>
      </w:pPr>
      <w:r>
        <w:fldChar w:fldCharType="begin"/>
      </w:r>
      <w:r>
        <w:instrText xml:space="preserve"> HYPERLINK \l _Toc23487 </w:instrText>
      </w:r>
      <w:r>
        <w:fldChar w:fldCharType="separate"/>
      </w:r>
      <w:r>
        <w:t>10</w:t>
      </w:r>
      <w:r>
        <w:rPr>
          <w:rFonts w:hint="eastAsia"/>
        </w:rPr>
        <w:t>.4　道路、台阶、铺装场地、桥梁</w:t>
      </w:r>
      <w:r>
        <w:tab/>
      </w:r>
      <w:r>
        <w:fldChar w:fldCharType="begin"/>
      </w:r>
      <w:r>
        <w:instrText xml:space="preserve"> PAGEREF _Toc23487 \h </w:instrText>
      </w:r>
      <w:r>
        <w:fldChar w:fldCharType="separate"/>
      </w:r>
      <w:r>
        <w:t>32</w:t>
      </w:r>
      <w:r>
        <w:fldChar w:fldCharType="end"/>
      </w:r>
      <w:r>
        <w:fldChar w:fldCharType="end"/>
      </w:r>
    </w:p>
    <w:p w14:paraId="6AA8074A">
      <w:pPr>
        <w:pStyle w:val="19"/>
        <w:tabs>
          <w:tab w:val="right" w:leader="dot" w:pos="8306"/>
        </w:tabs>
      </w:pPr>
      <w:r>
        <w:fldChar w:fldCharType="begin"/>
      </w:r>
      <w:r>
        <w:instrText xml:space="preserve"> HYPERLINK \l _Toc27699 </w:instrText>
      </w:r>
      <w:r>
        <w:fldChar w:fldCharType="separate"/>
      </w:r>
      <w:r>
        <w:t>10</w:t>
      </w:r>
      <w:r>
        <w:rPr>
          <w:rFonts w:hint="eastAsia"/>
        </w:rPr>
        <w:t>.5　建（构）筑物</w:t>
      </w:r>
      <w:r>
        <w:tab/>
      </w:r>
      <w:r>
        <w:fldChar w:fldCharType="begin"/>
      </w:r>
      <w:r>
        <w:instrText xml:space="preserve"> PAGEREF _Toc27699 \h </w:instrText>
      </w:r>
      <w:r>
        <w:fldChar w:fldCharType="separate"/>
      </w:r>
      <w:r>
        <w:t>33</w:t>
      </w:r>
      <w:r>
        <w:fldChar w:fldCharType="end"/>
      </w:r>
      <w:r>
        <w:fldChar w:fldCharType="end"/>
      </w:r>
    </w:p>
    <w:p w14:paraId="0EE2CBFA">
      <w:pPr>
        <w:pStyle w:val="19"/>
        <w:tabs>
          <w:tab w:val="right" w:leader="dot" w:pos="8306"/>
        </w:tabs>
      </w:pPr>
      <w:r>
        <w:fldChar w:fldCharType="begin"/>
      </w:r>
      <w:r>
        <w:instrText xml:space="preserve"> HYPERLINK \l _Toc21165 </w:instrText>
      </w:r>
      <w:r>
        <w:fldChar w:fldCharType="separate"/>
      </w:r>
      <w:r>
        <w:t>10</w:t>
      </w:r>
      <w:r>
        <w:rPr>
          <w:rFonts w:hint="eastAsia"/>
        </w:rPr>
        <w:t>.6　配套设施</w:t>
      </w:r>
      <w:r>
        <w:tab/>
      </w:r>
      <w:r>
        <w:fldChar w:fldCharType="begin"/>
      </w:r>
      <w:r>
        <w:instrText xml:space="preserve"> PAGEREF _Toc21165 \h </w:instrText>
      </w:r>
      <w:r>
        <w:fldChar w:fldCharType="separate"/>
      </w:r>
      <w:r>
        <w:t>33</w:t>
      </w:r>
      <w:r>
        <w:fldChar w:fldCharType="end"/>
      </w:r>
      <w:r>
        <w:fldChar w:fldCharType="end"/>
      </w:r>
    </w:p>
    <w:p w14:paraId="6FD4AE4D">
      <w:pPr>
        <w:pStyle w:val="19"/>
        <w:tabs>
          <w:tab w:val="right" w:leader="dot" w:pos="8306"/>
        </w:tabs>
      </w:pPr>
      <w:r>
        <w:fldChar w:fldCharType="begin"/>
      </w:r>
      <w:r>
        <w:instrText xml:space="preserve"> HYPERLINK \l _Toc10164 </w:instrText>
      </w:r>
      <w:r>
        <w:fldChar w:fldCharType="separate"/>
      </w:r>
      <w:r>
        <w:t>10</w:t>
      </w:r>
      <w:r>
        <w:rPr>
          <w:rFonts w:hint="eastAsia"/>
        </w:rPr>
        <w:t>.7　给水排水</w:t>
      </w:r>
      <w:r>
        <w:tab/>
      </w:r>
      <w:r>
        <w:fldChar w:fldCharType="begin"/>
      </w:r>
      <w:r>
        <w:instrText xml:space="preserve"> PAGEREF _Toc10164 \h </w:instrText>
      </w:r>
      <w:r>
        <w:fldChar w:fldCharType="separate"/>
      </w:r>
      <w:r>
        <w:t>34</w:t>
      </w:r>
      <w:r>
        <w:fldChar w:fldCharType="end"/>
      </w:r>
      <w:r>
        <w:fldChar w:fldCharType="end"/>
      </w:r>
    </w:p>
    <w:p w14:paraId="6C5A0490">
      <w:pPr>
        <w:pStyle w:val="19"/>
        <w:tabs>
          <w:tab w:val="right" w:leader="dot" w:pos="8306"/>
        </w:tabs>
      </w:pPr>
      <w:r>
        <w:fldChar w:fldCharType="begin"/>
      </w:r>
      <w:r>
        <w:instrText xml:space="preserve"> HYPERLINK \l _Toc24426 </w:instrText>
      </w:r>
      <w:r>
        <w:fldChar w:fldCharType="separate"/>
      </w:r>
      <w:r>
        <w:t>10</w:t>
      </w:r>
      <w:r>
        <w:rPr>
          <w:rFonts w:hint="eastAsia"/>
        </w:rPr>
        <w:t>.8　电气</w:t>
      </w:r>
      <w:r>
        <w:tab/>
      </w:r>
      <w:r>
        <w:fldChar w:fldCharType="begin"/>
      </w:r>
      <w:r>
        <w:instrText xml:space="preserve"> PAGEREF _Toc24426 \h </w:instrText>
      </w:r>
      <w:r>
        <w:fldChar w:fldCharType="separate"/>
      </w:r>
      <w:r>
        <w:t>37</w:t>
      </w:r>
      <w:r>
        <w:fldChar w:fldCharType="end"/>
      </w:r>
      <w:r>
        <w:fldChar w:fldCharType="end"/>
      </w:r>
    </w:p>
    <w:p w14:paraId="4AD0D7A0">
      <w:pPr>
        <w:pStyle w:val="17"/>
        <w:tabs>
          <w:tab w:val="right" w:leader="dot" w:pos="8306"/>
        </w:tabs>
      </w:pPr>
      <w:r>
        <w:fldChar w:fldCharType="begin"/>
      </w:r>
      <w:r>
        <w:instrText xml:space="preserve"> HYPERLINK \l _Toc25425 </w:instrText>
      </w:r>
      <w:r>
        <w:fldChar w:fldCharType="separate"/>
      </w:r>
      <w:r>
        <w:rPr>
          <w:rFonts w:hint="eastAsia"/>
        </w:rPr>
        <w:t>本标准用词说明</w:t>
      </w:r>
      <w:r>
        <w:tab/>
      </w:r>
      <w:r>
        <w:fldChar w:fldCharType="begin"/>
      </w:r>
      <w:r>
        <w:instrText xml:space="preserve"> PAGEREF _Toc25425 \h </w:instrText>
      </w:r>
      <w:r>
        <w:fldChar w:fldCharType="separate"/>
      </w:r>
      <w:r>
        <w:t>40</w:t>
      </w:r>
      <w:r>
        <w:fldChar w:fldCharType="end"/>
      </w:r>
      <w:r>
        <w:fldChar w:fldCharType="end"/>
      </w:r>
    </w:p>
    <w:p w14:paraId="405862AF">
      <w:pPr>
        <w:pStyle w:val="17"/>
        <w:tabs>
          <w:tab w:val="right" w:leader="dot" w:pos="8306"/>
        </w:tabs>
      </w:pPr>
      <w:r>
        <w:fldChar w:fldCharType="begin"/>
      </w:r>
      <w:r>
        <w:instrText xml:space="preserve"> HYPERLINK \l _Toc10291 </w:instrText>
      </w:r>
      <w:r>
        <w:fldChar w:fldCharType="separate"/>
      </w:r>
      <w:r>
        <w:rPr>
          <w:rFonts w:hint="eastAsia"/>
        </w:rPr>
        <w:t>引用标准名录</w:t>
      </w:r>
      <w:r>
        <w:tab/>
      </w:r>
      <w:r>
        <w:fldChar w:fldCharType="begin"/>
      </w:r>
      <w:r>
        <w:instrText xml:space="preserve"> PAGEREF _Toc10291 \h </w:instrText>
      </w:r>
      <w:r>
        <w:fldChar w:fldCharType="separate"/>
      </w:r>
      <w:r>
        <w:t>41</w:t>
      </w:r>
      <w:r>
        <w:fldChar w:fldCharType="end"/>
      </w:r>
      <w:r>
        <w:fldChar w:fldCharType="end"/>
      </w:r>
    </w:p>
    <w:p w14:paraId="41BB847E">
      <w:r>
        <w:fldChar w:fldCharType="end"/>
      </w:r>
      <w:r>
        <w:br w:type="page"/>
      </w:r>
    </w:p>
    <w:sdt>
      <w:sdtPr>
        <w:rPr>
          <w:rFonts w:ascii="Cambria" w:hAnsi="Cambria"/>
          <w:color w:val="365F91"/>
          <w:kern w:val="0"/>
          <w:sz w:val="32"/>
          <w:szCs w:val="32"/>
          <w:lang w:val="zh-CN"/>
          <w14:ligatures w14:val="standardContextual"/>
        </w:rPr>
        <w:id w:val="147481001"/>
        <w:docPartObj>
          <w:docPartGallery w:val="Table of Contents"/>
          <w:docPartUnique/>
        </w:docPartObj>
      </w:sdtPr>
      <w:sdtEndPr>
        <w:rPr>
          <w:rFonts w:ascii="Calibri" w:hAnsi="Calibri"/>
          <w:color w:val="auto"/>
          <w:kern w:val="2"/>
          <w:sz w:val="21"/>
          <w:szCs w:val="22"/>
          <w:lang w:val="zh-CN"/>
          <w14:ligatures w14:val="standardContextual"/>
        </w:rPr>
      </w:sdtEndPr>
      <w:sdtContent>
        <w:p w14:paraId="51D6A1E6">
          <w:pPr>
            <w:keepNext/>
            <w:keepLines/>
            <w:widowControl/>
            <w:numPr>
              <w:ilvl w:val="0"/>
              <w:numId w:val="2"/>
            </w:numPr>
            <w:spacing w:before="240" w:line="259" w:lineRule="auto"/>
            <w:jc w:val="center"/>
            <w:rPr>
              <w:rFonts w:ascii="Cambria" w:hAnsi="Cambria"/>
              <w:kern w:val="0"/>
              <w:sz w:val="30"/>
              <w:szCs w:val="30"/>
              <w14:ligatures w14:val="standardContextual"/>
            </w:rPr>
          </w:pPr>
          <w:r>
            <w:rPr>
              <w:rFonts w:hint="eastAsia" w:ascii="Cambria" w:hAnsi="Cambria"/>
              <w:kern w:val="0"/>
              <w:sz w:val="30"/>
              <w:szCs w:val="30"/>
              <w14:ligatures w14:val="standardContextual"/>
            </w:rPr>
            <w:t>C</w:t>
          </w:r>
          <w:r>
            <w:rPr>
              <w:rFonts w:ascii="Cambria" w:hAnsi="Cambria"/>
              <w:kern w:val="0"/>
              <w:sz w:val="30"/>
              <w:szCs w:val="30"/>
              <w14:ligatures w14:val="standardContextual"/>
            </w:rPr>
            <w:t>ontents</w:t>
          </w:r>
        </w:p>
        <w:p w14:paraId="320DE360">
          <w:pPr>
            <w:tabs>
              <w:tab w:val="right" w:leader="dot" w:pos="8190"/>
              <w:tab w:val="right" w:leader="dot" w:pos="8222"/>
            </w:tabs>
            <w:rPr>
              <w14:ligatures w14:val="standardContextual"/>
            </w:rPr>
          </w:pPr>
          <w:r>
            <w:rPr>
              <w14:ligatures w14:val="standardContextual"/>
            </w:rPr>
            <w:t>1</w:t>
          </w:r>
          <w:r>
            <w:rPr>
              <w:rFonts w:hint="eastAsia" w:asciiTheme="minorEastAsia" w:hAnsiTheme="minorEastAsia" w:eastAsiaTheme="minorEastAsia" w:cstheme="minorEastAsia"/>
              <w:sz w:val="24"/>
              <w:szCs w:val="24"/>
            </w:rPr>
            <w:t>　</w:t>
          </w:r>
          <w:r>
            <w:rPr>
              <w14:ligatures w14:val="standardContextual"/>
            </w:rPr>
            <w:t>General Provisions</w:t>
          </w:r>
          <w:r>
            <w:rPr>
              <w14:ligatures w14:val="standardContextual"/>
            </w:rPr>
            <w:tab/>
          </w:r>
          <w:r>
            <w:rPr>
              <w:rFonts w:hint="eastAsia"/>
              <w14:ligatures w14:val="standardContextual"/>
            </w:rPr>
            <w:t>1</w:t>
          </w:r>
        </w:p>
        <w:p w14:paraId="59D8A627">
          <w:pPr>
            <w:tabs>
              <w:tab w:val="right" w:leader="dot" w:pos="8190"/>
              <w:tab w:val="right" w:leader="dot" w:pos="8222"/>
            </w:tabs>
            <w:rPr>
              <w14:ligatures w14:val="standardContextual"/>
            </w:rPr>
          </w:pPr>
          <w:r>
            <w:rPr>
              <w14:ligatures w14:val="standardContextual"/>
            </w:rPr>
            <w:t>2</w:t>
          </w:r>
          <w:r>
            <w:rPr>
              <w:rFonts w:hint="eastAsia" w:asciiTheme="minorEastAsia" w:hAnsiTheme="minorEastAsia" w:eastAsiaTheme="minorEastAsia" w:cstheme="minorEastAsia"/>
              <w:sz w:val="24"/>
              <w:szCs w:val="24"/>
            </w:rPr>
            <w:t>　</w:t>
          </w:r>
          <w:r>
            <w:rPr>
              <w:rFonts w:hint="eastAsia"/>
              <w14:ligatures w14:val="standardContextual"/>
            </w:rPr>
            <w:t>Terms</w:t>
          </w:r>
          <w:r>
            <w:rPr>
              <w14:ligatures w14:val="standardContextual"/>
            </w:rPr>
            <w:tab/>
          </w:r>
          <w:r>
            <w:rPr>
              <w:rFonts w:hint="eastAsia"/>
              <w14:ligatures w14:val="standardContextual"/>
            </w:rPr>
            <w:t>2</w:t>
          </w:r>
        </w:p>
        <w:p w14:paraId="676AFC8F">
          <w:pPr>
            <w:tabs>
              <w:tab w:val="right" w:leader="dot" w:pos="8190"/>
              <w:tab w:val="right" w:leader="dot" w:pos="8222"/>
            </w:tabs>
            <w:rPr>
              <w14:ligatures w14:val="standardContextual"/>
            </w:rPr>
          </w:pPr>
          <w:r>
            <w:rPr>
              <w14:ligatures w14:val="standardContextual"/>
            </w:rPr>
            <w:t>3</w:t>
          </w:r>
          <w:r>
            <w:rPr>
              <w:rFonts w:hint="eastAsia" w:asciiTheme="minorEastAsia" w:hAnsiTheme="minorEastAsia" w:eastAsiaTheme="minorEastAsia" w:cstheme="minorEastAsia"/>
              <w:sz w:val="24"/>
              <w:szCs w:val="24"/>
            </w:rPr>
            <w:t>　</w:t>
          </w:r>
          <w:r>
            <w:rPr>
              <w14:ligatures w14:val="standardContextual"/>
            </w:rPr>
            <w:t>Basic Provisions</w:t>
          </w:r>
          <w:r>
            <w:rPr>
              <w14:ligatures w14:val="standardContextual"/>
            </w:rPr>
            <w:tab/>
          </w:r>
          <w:r>
            <w:rPr>
              <w:rFonts w:hint="eastAsia"/>
              <w14:ligatures w14:val="standardContextual"/>
            </w:rPr>
            <w:t>4</w:t>
          </w:r>
        </w:p>
        <w:p w14:paraId="7535624F">
          <w:pPr>
            <w:tabs>
              <w:tab w:val="right" w:leader="dot" w:pos="8190"/>
              <w:tab w:val="right" w:leader="dot" w:pos="8222"/>
            </w:tabs>
            <w:rPr>
              <w14:ligatures w14:val="standardContextual"/>
            </w:rPr>
          </w:pPr>
          <w:r>
            <w:rPr>
              <w14:ligatures w14:val="standardContextual"/>
            </w:rPr>
            <w:t>4</w:t>
          </w:r>
          <w:r>
            <w:rPr>
              <w:rFonts w:hint="eastAsia" w:asciiTheme="minorEastAsia" w:hAnsiTheme="minorEastAsia" w:eastAsiaTheme="minorEastAsia" w:cstheme="minorEastAsia"/>
              <w:sz w:val="24"/>
              <w:szCs w:val="24"/>
            </w:rPr>
            <w:t>　</w:t>
          </w:r>
          <w:r>
            <w:rPr>
              <w14:ligatures w14:val="standardContextual"/>
            </w:rPr>
            <w:t>Parks and Green Spaces</w:t>
          </w:r>
          <w:r>
            <w:rPr>
              <w14:ligatures w14:val="standardContextual"/>
            </w:rPr>
            <w:tab/>
          </w:r>
          <w:r>
            <w:rPr>
              <w:rFonts w:hint="eastAsia"/>
              <w14:ligatures w14:val="standardContextual"/>
            </w:rPr>
            <w:t>5</w:t>
          </w:r>
        </w:p>
        <w:p w14:paraId="1C096B5C">
          <w:pPr>
            <w:tabs>
              <w:tab w:val="right" w:leader="dot" w:pos="8190"/>
              <w:tab w:val="right" w:leader="dot" w:pos="8400"/>
            </w:tabs>
            <w:ind w:firstLine="420" w:firstLineChars="200"/>
            <w:rPr>
              <w14:ligatures w14:val="standardContextual"/>
            </w:rPr>
          </w:pPr>
          <w:r>
            <w:rPr>
              <w14:ligatures w14:val="standardContextual"/>
            </w:rPr>
            <w:t>4.1</w:t>
          </w:r>
          <w:r>
            <w:rPr>
              <w:rFonts w:hint="eastAsia" w:asciiTheme="minorEastAsia" w:hAnsiTheme="minorEastAsia" w:eastAsiaTheme="minorEastAsia" w:cstheme="minorEastAsia"/>
              <w:sz w:val="24"/>
              <w:szCs w:val="24"/>
            </w:rPr>
            <w:t>　</w:t>
          </w:r>
          <w:r>
            <w:rPr>
              <w14:ligatures w14:val="standardContextual"/>
            </w:rPr>
            <w:t>General Provisions</w:t>
          </w:r>
          <w:r>
            <w:rPr>
              <w14:ligatures w14:val="standardContextual"/>
            </w:rPr>
            <w:tab/>
          </w:r>
          <w:r>
            <w:rPr>
              <w:rFonts w:hint="eastAsia"/>
              <w14:ligatures w14:val="standardContextual"/>
            </w:rPr>
            <w:t>5</w:t>
          </w:r>
        </w:p>
        <w:p w14:paraId="3068693C">
          <w:pPr>
            <w:tabs>
              <w:tab w:val="right" w:leader="dot" w:pos="8190"/>
              <w:tab w:val="right" w:leader="dot" w:pos="8222"/>
            </w:tabs>
            <w:ind w:firstLine="420" w:firstLineChars="200"/>
            <w:rPr>
              <w14:ligatures w14:val="standardContextual"/>
            </w:rPr>
          </w:pPr>
          <w:r>
            <w:rPr>
              <w14:ligatures w14:val="standardContextual"/>
            </w:rPr>
            <w:t>4.2</w:t>
          </w:r>
          <w:r>
            <w:rPr>
              <w:rFonts w:hint="eastAsia" w:asciiTheme="minorEastAsia" w:hAnsiTheme="minorEastAsia" w:eastAsiaTheme="minorEastAsia" w:cstheme="minorEastAsia"/>
              <w:sz w:val="24"/>
              <w:szCs w:val="24"/>
            </w:rPr>
            <w:t>　</w:t>
          </w:r>
          <w:r>
            <w:rPr>
              <w14:ligatures w14:val="standardContextual"/>
            </w:rPr>
            <w:t>Comprehensive Parks</w:t>
          </w:r>
          <w:r>
            <w:rPr>
              <w14:ligatures w14:val="standardContextual"/>
            </w:rPr>
            <w:tab/>
          </w:r>
          <w:r>
            <w:rPr>
              <w:rFonts w:hint="eastAsia"/>
              <w14:ligatures w14:val="standardContextual"/>
            </w:rPr>
            <w:t>5</w:t>
          </w:r>
        </w:p>
        <w:p w14:paraId="309A0135">
          <w:pPr>
            <w:tabs>
              <w:tab w:val="right" w:leader="dot" w:pos="8190"/>
              <w:tab w:val="right" w:leader="dot" w:pos="8222"/>
            </w:tabs>
            <w:ind w:firstLine="420" w:firstLineChars="200"/>
            <w:rPr>
              <w14:ligatures w14:val="standardContextual"/>
            </w:rPr>
          </w:pPr>
          <w:r>
            <w:rPr>
              <w14:ligatures w14:val="standardContextual"/>
            </w:rPr>
            <w:t>4.3</w:t>
          </w:r>
          <w:r>
            <w:rPr>
              <w:rFonts w:hint="eastAsia" w:asciiTheme="minorEastAsia" w:hAnsiTheme="minorEastAsia" w:eastAsiaTheme="minorEastAsia" w:cstheme="minorEastAsia"/>
              <w:sz w:val="24"/>
              <w:szCs w:val="24"/>
            </w:rPr>
            <w:t>　</w:t>
          </w:r>
          <w:r>
            <w:rPr>
              <w14:ligatures w14:val="standardContextual"/>
            </w:rPr>
            <w:t>Community Parks</w:t>
          </w:r>
          <w:r>
            <w:rPr>
              <w14:ligatures w14:val="standardContextual"/>
            </w:rPr>
            <w:tab/>
          </w:r>
          <w:r>
            <w:rPr>
              <w:rFonts w:hint="eastAsia"/>
              <w14:ligatures w14:val="standardContextual"/>
            </w:rPr>
            <w:t>6</w:t>
          </w:r>
        </w:p>
        <w:p w14:paraId="1F2D2300">
          <w:pPr>
            <w:tabs>
              <w:tab w:val="right" w:leader="dot" w:pos="8190"/>
              <w:tab w:val="right" w:leader="dot" w:pos="8222"/>
            </w:tabs>
            <w:ind w:firstLine="420" w:firstLineChars="200"/>
            <w:rPr>
              <w14:ligatures w14:val="standardContextual"/>
            </w:rPr>
          </w:pPr>
          <w:r>
            <w:rPr>
              <w14:ligatures w14:val="standardContextual"/>
            </w:rPr>
            <w:t>4.4</w:t>
          </w:r>
          <w:r>
            <w:rPr>
              <w:rFonts w:hint="eastAsia" w:asciiTheme="minorEastAsia" w:hAnsiTheme="minorEastAsia" w:eastAsiaTheme="minorEastAsia" w:cstheme="minorEastAsia"/>
              <w:sz w:val="24"/>
              <w:szCs w:val="24"/>
            </w:rPr>
            <w:t>　</w:t>
          </w:r>
          <w:r>
            <w:rPr>
              <w14:ligatures w14:val="standardContextual"/>
            </w:rPr>
            <w:t>Special Parks</w:t>
          </w:r>
          <w:r>
            <w:rPr>
              <w14:ligatures w14:val="standardContextual"/>
            </w:rPr>
            <w:tab/>
          </w:r>
          <w:r>
            <w:rPr>
              <w:rFonts w:hint="eastAsia"/>
              <w14:ligatures w14:val="standardContextual"/>
            </w:rPr>
            <w:t>6</w:t>
          </w:r>
        </w:p>
        <w:p w14:paraId="21A47B30">
          <w:pPr>
            <w:tabs>
              <w:tab w:val="right" w:leader="dot" w:pos="8190"/>
              <w:tab w:val="right" w:leader="dot" w:pos="8222"/>
            </w:tabs>
            <w:ind w:firstLine="420" w:firstLineChars="200"/>
            <w:rPr>
              <w14:ligatures w14:val="standardContextual"/>
            </w:rPr>
          </w:pPr>
          <w:r>
            <w:rPr>
              <w14:ligatures w14:val="standardContextual"/>
            </w:rPr>
            <w:t>4.5</w:t>
          </w:r>
          <w:r>
            <w:rPr>
              <w:rFonts w:hint="eastAsia" w:asciiTheme="minorEastAsia" w:hAnsiTheme="minorEastAsia" w:eastAsiaTheme="minorEastAsia" w:cstheme="minorEastAsia"/>
              <w:sz w:val="24"/>
              <w:szCs w:val="24"/>
            </w:rPr>
            <w:t>　</w:t>
          </w:r>
          <w:r>
            <w:rPr>
              <w14:ligatures w14:val="standardContextual"/>
            </w:rPr>
            <w:t>Garden</w:t>
          </w:r>
          <w:r>
            <w:rPr>
              <w14:ligatures w14:val="standardContextual"/>
            </w:rPr>
            <w:tab/>
          </w:r>
          <w:r>
            <w:rPr>
              <w:rFonts w:hint="eastAsia"/>
              <w14:ligatures w14:val="standardContextual"/>
            </w:rPr>
            <w:t>7</w:t>
          </w:r>
        </w:p>
        <w:p w14:paraId="3E169F27">
          <w:pPr>
            <w:tabs>
              <w:tab w:val="right" w:leader="dot" w:pos="8190"/>
              <w:tab w:val="right" w:leader="dot" w:pos="8222"/>
            </w:tabs>
            <w:rPr>
              <w14:ligatures w14:val="standardContextual"/>
            </w:rPr>
          </w:pPr>
          <w:r>
            <w:rPr>
              <w14:ligatures w14:val="standardContextual"/>
            </w:rPr>
            <w:t>5</w:t>
          </w:r>
          <w:r>
            <w:rPr>
              <w:rFonts w:hint="eastAsia" w:asciiTheme="minorEastAsia" w:hAnsiTheme="minorEastAsia" w:eastAsiaTheme="minorEastAsia" w:cstheme="minorEastAsia"/>
              <w:sz w:val="24"/>
              <w:szCs w:val="24"/>
            </w:rPr>
            <w:t>　</w:t>
          </w:r>
          <w:r>
            <w:rPr>
              <w14:ligatures w14:val="standardContextual"/>
            </w:rPr>
            <w:t>Protective Green Space</w:t>
          </w:r>
          <w:r>
            <w:rPr>
              <w14:ligatures w14:val="standardContextual"/>
            </w:rPr>
            <w:tab/>
          </w:r>
          <w:r>
            <w:rPr>
              <w:rFonts w:hint="eastAsia"/>
              <w14:ligatures w14:val="standardContextual"/>
            </w:rPr>
            <w:t>9</w:t>
          </w:r>
        </w:p>
        <w:p w14:paraId="04E47649">
          <w:pPr>
            <w:tabs>
              <w:tab w:val="right" w:leader="dot" w:pos="8190"/>
              <w:tab w:val="right" w:leader="dot" w:pos="8222"/>
            </w:tabs>
            <w:ind w:firstLine="420" w:firstLineChars="200"/>
            <w:rPr>
              <w14:ligatures w14:val="standardContextual"/>
            </w:rPr>
          </w:pPr>
          <w:r>
            <w:rPr>
              <w14:ligatures w14:val="standardContextual"/>
            </w:rPr>
            <w:t>5.1</w:t>
          </w:r>
          <w:r>
            <w:rPr>
              <w:rFonts w:hint="eastAsia" w:asciiTheme="minorEastAsia" w:hAnsiTheme="minorEastAsia" w:eastAsiaTheme="minorEastAsia" w:cstheme="minorEastAsia"/>
              <w:sz w:val="24"/>
              <w:szCs w:val="24"/>
            </w:rPr>
            <w:t>　</w:t>
          </w:r>
          <w:r>
            <w:rPr>
              <w14:ligatures w14:val="standardContextual"/>
            </w:rPr>
            <w:t>General Provisions</w:t>
          </w:r>
          <w:r>
            <w:rPr>
              <w14:ligatures w14:val="standardContextual"/>
            </w:rPr>
            <w:tab/>
          </w:r>
          <w:r>
            <w:rPr>
              <w:rFonts w:hint="eastAsia"/>
              <w14:ligatures w14:val="standardContextual"/>
            </w:rPr>
            <w:t>9</w:t>
          </w:r>
        </w:p>
        <w:p w14:paraId="4B9A7D33">
          <w:pPr>
            <w:tabs>
              <w:tab w:val="right" w:leader="dot" w:pos="8190"/>
              <w:tab w:val="right" w:leader="dot" w:pos="8222"/>
            </w:tabs>
            <w:ind w:firstLine="420" w:firstLineChars="200"/>
            <w:rPr>
              <w14:ligatures w14:val="standardContextual"/>
            </w:rPr>
          </w:pPr>
          <w:r>
            <w:rPr>
              <w14:ligatures w14:val="standardContextual"/>
            </w:rPr>
            <w:t>5.2</w:t>
          </w:r>
          <w:r>
            <w:rPr>
              <w:rFonts w:hint="eastAsia" w:asciiTheme="minorEastAsia" w:hAnsiTheme="minorEastAsia" w:eastAsiaTheme="minorEastAsia" w:cstheme="minorEastAsia"/>
              <w:sz w:val="24"/>
              <w:szCs w:val="24"/>
            </w:rPr>
            <w:t>　</w:t>
          </w:r>
          <w:r>
            <w:rPr>
              <w14:ligatures w14:val="standardContextual"/>
            </w:rPr>
            <w:t>Sanitary Isolation and Protection Green Space</w:t>
          </w:r>
          <w:r>
            <w:rPr>
              <w14:ligatures w14:val="standardContextual"/>
            </w:rPr>
            <w:tab/>
          </w:r>
          <w:r>
            <w:rPr>
              <w:rFonts w:hint="eastAsia"/>
              <w14:ligatures w14:val="standardContextual"/>
            </w:rPr>
            <w:t>9</w:t>
          </w:r>
        </w:p>
        <w:p w14:paraId="00C1ED97">
          <w:pPr>
            <w:tabs>
              <w:tab w:val="right" w:leader="dot" w:pos="8190"/>
              <w:tab w:val="right" w:leader="dot" w:pos="8222"/>
            </w:tabs>
            <w:ind w:firstLine="420" w:firstLineChars="200"/>
            <w:rPr>
              <w14:ligatures w14:val="standardContextual"/>
            </w:rPr>
          </w:pPr>
          <w:r>
            <w:rPr>
              <w14:ligatures w14:val="standardContextual"/>
            </w:rPr>
            <w:t>5.3</w:t>
          </w:r>
          <w:r>
            <w:rPr>
              <w:rFonts w:hint="eastAsia" w:asciiTheme="minorEastAsia" w:hAnsiTheme="minorEastAsia" w:eastAsiaTheme="minorEastAsia" w:cstheme="minorEastAsia"/>
              <w:sz w:val="24"/>
              <w:szCs w:val="24"/>
            </w:rPr>
            <w:t>　</w:t>
          </w:r>
          <w:r>
            <w:rPr>
              <w14:ligatures w14:val="standardContextual"/>
            </w:rPr>
            <w:t>Road and Railway Protective Green Space</w:t>
          </w:r>
          <w:r>
            <w:rPr>
              <w14:ligatures w14:val="standardContextual"/>
            </w:rPr>
            <w:tab/>
          </w:r>
          <w:r>
            <w:rPr>
              <w14:ligatures w14:val="standardContextual"/>
            </w:rPr>
            <w:t>1</w:t>
          </w:r>
          <w:r>
            <w:rPr>
              <w:rFonts w:hint="eastAsia"/>
              <w14:ligatures w14:val="standardContextual"/>
            </w:rPr>
            <w:t>0</w:t>
          </w:r>
        </w:p>
        <w:p w14:paraId="2AC46816">
          <w:pPr>
            <w:tabs>
              <w:tab w:val="right" w:leader="dot" w:pos="8190"/>
              <w:tab w:val="right" w:leader="dot" w:pos="8222"/>
            </w:tabs>
            <w:ind w:firstLine="420" w:firstLineChars="200"/>
            <w:rPr>
              <w14:ligatures w14:val="standardContextual"/>
            </w:rPr>
          </w:pPr>
          <w:r>
            <w:rPr>
              <w14:ligatures w14:val="standardContextual"/>
            </w:rPr>
            <w:t>5.4</w:t>
          </w:r>
          <w:r>
            <w:rPr>
              <w:rFonts w:hint="eastAsia" w:asciiTheme="minorEastAsia" w:hAnsiTheme="minorEastAsia" w:eastAsiaTheme="minorEastAsia" w:cstheme="minorEastAsia"/>
              <w:sz w:val="24"/>
              <w:szCs w:val="24"/>
            </w:rPr>
            <w:t>　</w:t>
          </w:r>
          <w:r>
            <w:rPr>
              <w14:ligatures w14:val="standardContextual"/>
            </w:rPr>
            <w:t>High-voltage Corridor Protective Green Space</w:t>
          </w:r>
          <w:r>
            <w:rPr>
              <w14:ligatures w14:val="standardContextual"/>
            </w:rPr>
            <w:tab/>
          </w:r>
          <w:r>
            <w:rPr>
              <w14:ligatures w14:val="standardContextual"/>
            </w:rPr>
            <w:t>1</w:t>
          </w:r>
          <w:r>
            <w:rPr>
              <w:rFonts w:hint="eastAsia"/>
              <w14:ligatures w14:val="standardContextual"/>
            </w:rPr>
            <w:t>0</w:t>
          </w:r>
        </w:p>
        <w:p w14:paraId="4BD9F09B">
          <w:pPr>
            <w:tabs>
              <w:tab w:val="right" w:leader="dot" w:pos="8190"/>
              <w:tab w:val="right" w:leader="dot" w:pos="8222"/>
            </w:tabs>
            <w:ind w:firstLine="420" w:firstLineChars="200"/>
            <w:rPr>
              <w14:ligatures w14:val="standardContextual"/>
            </w:rPr>
          </w:pPr>
          <w:r>
            <w:rPr>
              <w14:ligatures w14:val="standardContextual"/>
            </w:rPr>
            <w:t>5.5</w:t>
          </w:r>
          <w:r>
            <w:rPr>
              <w:rFonts w:hint="eastAsia" w:asciiTheme="minorEastAsia" w:hAnsiTheme="minorEastAsia" w:eastAsiaTheme="minorEastAsia" w:cstheme="minorEastAsia"/>
              <w:sz w:val="24"/>
              <w:szCs w:val="24"/>
            </w:rPr>
            <w:t>　</w:t>
          </w:r>
          <w:r>
            <w:rPr>
              <w14:ligatures w14:val="standardContextual"/>
            </w:rPr>
            <w:t>Protective Green Space for Public Facilities</w:t>
          </w:r>
          <w:r>
            <w:rPr>
              <w14:ligatures w14:val="standardContextual"/>
            </w:rPr>
            <w:tab/>
          </w:r>
          <w:r>
            <w:rPr>
              <w14:ligatures w14:val="standardContextual"/>
            </w:rPr>
            <w:t>1</w:t>
          </w:r>
          <w:r>
            <w:rPr>
              <w:rFonts w:hint="eastAsia"/>
              <w14:ligatures w14:val="standardContextual"/>
            </w:rPr>
            <w:t>0</w:t>
          </w:r>
        </w:p>
        <w:p w14:paraId="02F03CC5">
          <w:pPr>
            <w:tabs>
              <w:tab w:val="right" w:leader="dot" w:pos="8190"/>
              <w:tab w:val="right" w:leader="dot" w:pos="8222"/>
            </w:tabs>
            <w:rPr>
              <w14:ligatures w14:val="standardContextual"/>
            </w:rPr>
          </w:pPr>
          <w:r>
            <w:rPr>
              <w14:ligatures w14:val="standardContextual"/>
            </w:rPr>
            <w:t>6</w:t>
          </w:r>
          <w:r>
            <w:rPr>
              <w:rFonts w:hint="eastAsia" w:asciiTheme="minorEastAsia" w:hAnsiTheme="minorEastAsia" w:eastAsiaTheme="minorEastAsia" w:cstheme="minorEastAsia"/>
              <w:sz w:val="24"/>
              <w:szCs w:val="24"/>
            </w:rPr>
            <w:t>　</w:t>
          </w:r>
          <w:r>
            <w:rPr>
              <w14:ligatures w14:val="standardContextual"/>
            </w:rPr>
            <w:t>Square Land</w:t>
          </w:r>
          <w:r>
            <w:rPr>
              <w14:ligatures w14:val="standardContextual"/>
            </w:rPr>
            <w:tab/>
          </w:r>
          <w:r>
            <w:rPr>
              <w:rFonts w:hint="eastAsia"/>
              <w14:ligatures w14:val="standardContextual"/>
            </w:rPr>
            <w:t>12</w:t>
          </w:r>
        </w:p>
        <w:p w14:paraId="55581440">
          <w:pPr>
            <w:tabs>
              <w:tab w:val="right" w:leader="dot" w:pos="8190"/>
              <w:tab w:val="right" w:leader="dot" w:pos="8222"/>
            </w:tabs>
            <w:ind w:firstLine="420" w:firstLineChars="200"/>
            <w:rPr>
              <w14:ligatures w14:val="standardContextual"/>
            </w:rPr>
          </w:pPr>
          <w:r>
            <w:rPr>
              <w14:ligatures w14:val="standardContextual"/>
            </w:rPr>
            <w:t>6.1</w:t>
          </w:r>
          <w:r>
            <w:rPr>
              <w:rFonts w:hint="eastAsia" w:asciiTheme="minorEastAsia" w:hAnsiTheme="minorEastAsia" w:eastAsiaTheme="minorEastAsia" w:cstheme="minorEastAsia"/>
              <w:sz w:val="24"/>
              <w:szCs w:val="24"/>
            </w:rPr>
            <w:t>　</w:t>
          </w:r>
          <w:r>
            <w:rPr>
              <w14:ligatures w14:val="standardContextual"/>
            </w:rPr>
            <w:t>General Provisions</w:t>
          </w:r>
          <w:r>
            <w:rPr>
              <w14:ligatures w14:val="standardContextual"/>
            </w:rPr>
            <w:tab/>
          </w:r>
          <w:r>
            <w:rPr>
              <w:rFonts w:hint="eastAsia"/>
              <w14:ligatures w14:val="standardContextual"/>
            </w:rPr>
            <w:t>12</w:t>
          </w:r>
        </w:p>
        <w:p w14:paraId="2F0DCE6B">
          <w:pPr>
            <w:tabs>
              <w:tab w:val="right" w:leader="dot" w:pos="8190"/>
              <w:tab w:val="right" w:leader="dot" w:pos="8222"/>
              <w:tab w:val="right" w:leader="dot" w:pos="8400"/>
            </w:tabs>
            <w:ind w:firstLine="420" w:firstLineChars="200"/>
            <w:rPr>
              <w14:ligatures w14:val="standardContextual"/>
            </w:rPr>
          </w:pPr>
          <w:r>
            <w:rPr>
              <w:rFonts w:hint="eastAsia"/>
              <w14:ligatures w14:val="standardContextual"/>
            </w:rPr>
            <w:t>6.2</w:t>
          </w:r>
          <w:r>
            <w:rPr>
              <w:rFonts w:hint="eastAsia" w:asciiTheme="minorEastAsia" w:hAnsiTheme="minorEastAsia" w:eastAsiaTheme="minorEastAsia" w:cstheme="minorEastAsia"/>
              <w:sz w:val="24"/>
              <w:szCs w:val="24"/>
            </w:rPr>
            <w:t>　</w:t>
          </w:r>
          <w:r>
            <w:rPr>
              <w14:ligatures w14:val="standardContextual"/>
            </w:rPr>
            <w:t>Greening,</w:t>
          </w:r>
          <w:r>
            <w:rPr>
              <w:rFonts w:hint="eastAsia"/>
              <w14:ligatures w14:val="standardContextual"/>
            </w:rPr>
            <w:t>F</w:t>
          </w:r>
          <w:r>
            <w:rPr>
              <w14:ligatures w14:val="standardContextual"/>
            </w:rPr>
            <w:t xml:space="preserve">acilities and </w:t>
          </w:r>
          <w:r>
            <w:rPr>
              <w:rFonts w:hint="eastAsia"/>
              <w14:ligatures w14:val="standardContextual"/>
            </w:rPr>
            <w:t>P</w:t>
          </w:r>
          <w:r>
            <w:rPr>
              <w14:ligatures w14:val="standardContextual"/>
            </w:rPr>
            <w:t>avement</w:t>
          </w:r>
          <w:r>
            <w:rPr>
              <w14:ligatures w14:val="standardContextual"/>
            </w:rPr>
            <w:tab/>
          </w:r>
          <w:r>
            <w:rPr>
              <w:rFonts w:hint="eastAsia"/>
              <w14:ligatures w14:val="standardContextual"/>
            </w:rPr>
            <w:t>12</w:t>
          </w:r>
        </w:p>
        <w:p w14:paraId="3FB4B052">
          <w:pPr>
            <w:tabs>
              <w:tab w:val="right" w:leader="dot" w:pos="8190"/>
              <w:tab w:val="right" w:leader="dot" w:pos="8222"/>
            </w:tabs>
            <w:rPr>
              <w14:ligatures w14:val="standardContextual"/>
            </w:rPr>
          </w:pPr>
          <w:r>
            <w:rPr>
              <w14:ligatures w14:val="standardContextual"/>
            </w:rPr>
            <w:t>7</w:t>
          </w:r>
          <w:r>
            <w:rPr>
              <w:rFonts w:hint="eastAsia" w:asciiTheme="minorEastAsia" w:hAnsiTheme="minorEastAsia" w:eastAsiaTheme="minorEastAsia" w:cstheme="minorEastAsia"/>
              <w:sz w:val="24"/>
              <w:szCs w:val="24"/>
            </w:rPr>
            <w:t>　</w:t>
          </w:r>
          <w:r>
            <w:rPr>
              <w14:ligatures w14:val="standardContextual"/>
            </w:rPr>
            <w:t>Affiliated Green Space</w:t>
          </w:r>
          <w:r>
            <w:rPr>
              <w14:ligatures w14:val="standardContextual"/>
            </w:rPr>
            <w:tab/>
          </w:r>
          <w:r>
            <w:rPr>
              <w:rFonts w:hint="eastAsia"/>
              <w14:ligatures w14:val="standardContextual"/>
            </w:rPr>
            <w:t>14</w:t>
          </w:r>
        </w:p>
        <w:p w14:paraId="11DCFE47">
          <w:pPr>
            <w:tabs>
              <w:tab w:val="right" w:leader="dot" w:pos="8190"/>
              <w:tab w:val="right" w:leader="dot" w:pos="8222"/>
            </w:tabs>
            <w:ind w:firstLine="420" w:firstLineChars="200"/>
            <w:rPr>
              <w14:ligatures w14:val="standardContextual"/>
            </w:rPr>
          </w:pPr>
          <w:r>
            <w:rPr>
              <w14:ligatures w14:val="standardContextual"/>
            </w:rPr>
            <w:t>7.1</w:t>
          </w:r>
          <w:r>
            <w:rPr>
              <w:rFonts w:hint="eastAsia" w:asciiTheme="minorEastAsia" w:hAnsiTheme="minorEastAsia" w:eastAsiaTheme="minorEastAsia" w:cstheme="minorEastAsia"/>
              <w:sz w:val="24"/>
              <w:szCs w:val="24"/>
            </w:rPr>
            <w:t>　</w:t>
          </w:r>
          <w:r>
            <w:rPr>
              <w14:ligatures w14:val="standardContextual"/>
            </w:rPr>
            <w:t>General Provisions</w:t>
          </w:r>
          <w:r>
            <w:rPr>
              <w14:ligatures w14:val="standardContextual"/>
            </w:rPr>
            <w:tab/>
          </w:r>
          <w:r>
            <w:rPr>
              <w:rFonts w:hint="eastAsia"/>
              <w14:ligatures w14:val="standardContextual"/>
            </w:rPr>
            <w:t>14</w:t>
          </w:r>
        </w:p>
        <w:p w14:paraId="66139E04">
          <w:pPr>
            <w:tabs>
              <w:tab w:val="right" w:leader="dot" w:pos="8190"/>
              <w:tab w:val="right" w:leader="dot" w:pos="8222"/>
            </w:tabs>
            <w:ind w:firstLine="420" w:firstLineChars="200"/>
            <w:rPr>
              <w14:ligatures w14:val="standardContextual"/>
            </w:rPr>
          </w:pPr>
          <w:r>
            <w:rPr>
              <w14:ligatures w14:val="standardContextual"/>
            </w:rPr>
            <w:t>7.2</w:t>
          </w:r>
          <w:r>
            <w:rPr>
              <w:rFonts w:hint="eastAsia" w:asciiTheme="minorEastAsia" w:hAnsiTheme="minorEastAsia" w:eastAsiaTheme="minorEastAsia" w:cstheme="minorEastAsia"/>
              <w:sz w:val="24"/>
              <w:szCs w:val="24"/>
            </w:rPr>
            <w:t>　</w:t>
          </w:r>
          <w:r>
            <w:rPr>
              <w14:ligatures w14:val="standardContextual"/>
            </w:rPr>
            <w:t>Green Space attached to Residential Land</w:t>
          </w:r>
          <w:r>
            <w:rPr>
              <w14:ligatures w14:val="standardContextual"/>
            </w:rPr>
            <w:tab/>
          </w:r>
          <w:r>
            <w:rPr>
              <w:rFonts w:hint="eastAsia"/>
              <w14:ligatures w14:val="standardContextual"/>
            </w:rPr>
            <w:t>14</w:t>
          </w:r>
        </w:p>
        <w:p w14:paraId="19A1F073">
          <w:pPr>
            <w:tabs>
              <w:tab w:val="right" w:leader="dot" w:pos="8190"/>
              <w:tab w:val="right" w:leader="dot" w:pos="8222"/>
            </w:tabs>
            <w:ind w:firstLine="420" w:firstLineChars="200"/>
            <w:rPr>
              <w14:ligatures w14:val="standardContextual"/>
            </w:rPr>
          </w:pPr>
          <w:r>
            <w:rPr>
              <w14:ligatures w14:val="standardContextual"/>
            </w:rPr>
            <w:t>7.3</w:t>
          </w:r>
          <w:r>
            <w:rPr>
              <w:rFonts w:hint="eastAsia" w:asciiTheme="minorEastAsia" w:hAnsiTheme="minorEastAsia" w:eastAsiaTheme="minorEastAsia" w:cstheme="minorEastAsia"/>
              <w:sz w:val="24"/>
              <w:szCs w:val="24"/>
            </w:rPr>
            <w:t>　</w:t>
          </w:r>
          <w:r>
            <w:rPr>
              <w14:ligatures w14:val="standardContextual"/>
            </w:rPr>
            <w:t>Green Space attached to Public Management and Service Facilities Land</w:t>
          </w:r>
          <w:r>
            <w:rPr>
              <w14:ligatures w14:val="standardContextual"/>
            </w:rPr>
            <w:tab/>
          </w:r>
          <w:r>
            <w:rPr>
              <w:rFonts w:hint="eastAsia"/>
              <w14:ligatures w14:val="standardContextual"/>
            </w:rPr>
            <w:t>15</w:t>
          </w:r>
        </w:p>
        <w:p w14:paraId="74921BF4">
          <w:pPr>
            <w:tabs>
              <w:tab w:val="right" w:leader="dot" w:pos="8190"/>
              <w:tab w:val="right" w:leader="dot" w:pos="8222"/>
            </w:tabs>
            <w:ind w:firstLine="420" w:firstLineChars="200"/>
            <w:rPr>
              <w14:ligatures w14:val="standardContextual"/>
            </w:rPr>
          </w:pPr>
          <w:r>
            <w:rPr>
              <w14:ligatures w14:val="standardContextual"/>
            </w:rPr>
            <w:t>7.4</w:t>
          </w:r>
          <w:r>
            <w:rPr>
              <w:rFonts w:hint="eastAsia" w:asciiTheme="minorEastAsia" w:hAnsiTheme="minorEastAsia" w:eastAsiaTheme="minorEastAsia" w:cstheme="minorEastAsia"/>
              <w:sz w:val="24"/>
              <w:szCs w:val="24"/>
            </w:rPr>
            <w:t>　</w:t>
          </w:r>
          <w:r>
            <w:rPr>
              <w14:ligatures w14:val="standardContextual"/>
            </w:rPr>
            <w:t>Green Space attached to Commercial Service Facility Land</w:t>
          </w:r>
          <w:r>
            <w:rPr>
              <w14:ligatures w14:val="standardContextual"/>
            </w:rPr>
            <w:tab/>
          </w:r>
          <w:r>
            <w:rPr>
              <w:rFonts w:hint="eastAsia"/>
              <w14:ligatures w14:val="standardContextual"/>
            </w:rPr>
            <w:t>15</w:t>
          </w:r>
        </w:p>
        <w:p w14:paraId="244757FA">
          <w:pPr>
            <w:tabs>
              <w:tab w:val="right" w:leader="dot" w:pos="8190"/>
              <w:tab w:val="right" w:leader="dot" w:pos="8222"/>
            </w:tabs>
            <w:ind w:firstLine="420" w:firstLineChars="200"/>
            <w:rPr>
              <w14:ligatures w14:val="standardContextual"/>
            </w:rPr>
          </w:pPr>
          <w:r>
            <w:rPr>
              <w14:ligatures w14:val="standardContextual"/>
            </w:rPr>
            <w:t>7.5</w:t>
          </w:r>
          <w:r>
            <w:rPr>
              <w:rFonts w:hint="eastAsia" w:asciiTheme="minorEastAsia" w:hAnsiTheme="minorEastAsia" w:eastAsiaTheme="minorEastAsia" w:cstheme="minorEastAsia"/>
              <w:sz w:val="24"/>
              <w:szCs w:val="24"/>
            </w:rPr>
            <w:t>　</w:t>
          </w:r>
          <w:r>
            <w:rPr>
              <w14:ligatures w14:val="standardContextual"/>
            </w:rPr>
            <w:t>Green Space attached to Industrial Land</w:t>
          </w:r>
          <w:r>
            <w:rPr>
              <w14:ligatures w14:val="standardContextual"/>
            </w:rPr>
            <w:tab/>
          </w:r>
          <w:r>
            <w:rPr>
              <w:rFonts w:hint="eastAsia"/>
              <w14:ligatures w14:val="standardContextual"/>
            </w:rPr>
            <w:t>15</w:t>
          </w:r>
        </w:p>
        <w:p w14:paraId="6006E0DE">
          <w:pPr>
            <w:tabs>
              <w:tab w:val="right" w:leader="dot" w:pos="8190"/>
              <w:tab w:val="right" w:leader="dot" w:pos="8222"/>
            </w:tabs>
            <w:ind w:firstLine="420" w:firstLineChars="200"/>
            <w:rPr>
              <w14:ligatures w14:val="standardContextual"/>
            </w:rPr>
          </w:pPr>
          <w:r>
            <w:rPr>
              <w14:ligatures w14:val="standardContextual"/>
            </w:rPr>
            <w:t>7.6</w:t>
          </w:r>
          <w:r>
            <w:rPr>
              <w:rFonts w:hint="eastAsia" w:asciiTheme="minorEastAsia" w:hAnsiTheme="minorEastAsia" w:eastAsiaTheme="minorEastAsia" w:cstheme="minorEastAsia"/>
              <w:sz w:val="24"/>
              <w:szCs w:val="24"/>
            </w:rPr>
            <w:t>　</w:t>
          </w:r>
          <w:r>
            <w:rPr>
              <w14:ligatures w14:val="standardContextual"/>
            </w:rPr>
            <w:t>Green Space attached to Logistics and Warehousing Land</w:t>
          </w:r>
          <w:r>
            <w:rPr>
              <w14:ligatures w14:val="standardContextual"/>
            </w:rPr>
            <w:tab/>
          </w:r>
          <w:r>
            <w:rPr>
              <w:rFonts w:hint="eastAsia"/>
              <w14:ligatures w14:val="standardContextual"/>
            </w:rPr>
            <w:t>16</w:t>
          </w:r>
        </w:p>
        <w:p w14:paraId="02ED96B1">
          <w:pPr>
            <w:tabs>
              <w:tab w:val="right" w:leader="dot" w:pos="8190"/>
              <w:tab w:val="right" w:leader="dot" w:pos="8222"/>
            </w:tabs>
            <w:ind w:firstLine="420" w:firstLineChars="200"/>
            <w:rPr>
              <w14:ligatures w14:val="standardContextual"/>
            </w:rPr>
          </w:pPr>
          <w:r>
            <w:rPr>
              <w14:ligatures w14:val="standardContextual"/>
            </w:rPr>
            <w:t>7.7</w:t>
          </w:r>
          <w:r>
            <w:rPr>
              <w:rFonts w:hint="eastAsia" w:asciiTheme="minorEastAsia" w:hAnsiTheme="minorEastAsia" w:eastAsiaTheme="minorEastAsia" w:cstheme="minorEastAsia"/>
              <w:sz w:val="24"/>
              <w:szCs w:val="24"/>
            </w:rPr>
            <w:t>　</w:t>
          </w:r>
          <w:r>
            <w:rPr>
              <w14:ligatures w14:val="standardContextual"/>
            </w:rPr>
            <w:t>Green Space attached to Road and Transportation Facilities Land</w:t>
          </w:r>
          <w:r>
            <w:rPr>
              <w14:ligatures w14:val="standardContextual"/>
            </w:rPr>
            <w:tab/>
          </w:r>
          <w:r>
            <w:rPr>
              <w:rFonts w:hint="eastAsia"/>
              <w14:ligatures w14:val="standardContextual"/>
            </w:rPr>
            <w:t>16</w:t>
          </w:r>
        </w:p>
        <w:p w14:paraId="6FBAC94F">
          <w:pPr>
            <w:tabs>
              <w:tab w:val="right" w:leader="dot" w:pos="8190"/>
              <w:tab w:val="right" w:leader="dot" w:pos="8222"/>
            </w:tabs>
            <w:ind w:firstLine="420" w:firstLineChars="200"/>
            <w:rPr>
              <w14:ligatures w14:val="standardContextual"/>
            </w:rPr>
          </w:pPr>
          <w:r>
            <w:rPr>
              <w14:ligatures w14:val="standardContextual"/>
            </w:rPr>
            <w:t>7.8</w:t>
          </w:r>
          <w:r>
            <w:rPr>
              <w:rFonts w:hint="eastAsia" w:asciiTheme="minorEastAsia" w:hAnsiTheme="minorEastAsia" w:eastAsiaTheme="minorEastAsia" w:cstheme="minorEastAsia"/>
              <w:sz w:val="24"/>
              <w:szCs w:val="24"/>
            </w:rPr>
            <w:t>　</w:t>
          </w:r>
          <w:r>
            <w:rPr>
              <w14:ligatures w14:val="standardContextual"/>
            </w:rPr>
            <w:t>Green Space attached to Public Facility Land</w:t>
          </w:r>
          <w:r>
            <w:rPr>
              <w14:ligatures w14:val="standardContextual"/>
            </w:rPr>
            <w:tab/>
          </w:r>
          <w:r>
            <w:rPr>
              <w:rFonts w:hint="eastAsia"/>
              <w14:ligatures w14:val="standardContextual"/>
            </w:rPr>
            <w:t>16</w:t>
          </w:r>
        </w:p>
        <w:p w14:paraId="6BC9C0B4">
          <w:pPr>
            <w:tabs>
              <w:tab w:val="right" w:leader="dot" w:pos="8190"/>
              <w:tab w:val="right" w:leader="dot" w:pos="8222"/>
            </w:tabs>
            <w:rPr>
              <w14:ligatures w14:val="standardContextual"/>
            </w:rPr>
          </w:pPr>
          <w:r>
            <w:rPr>
              <w14:ligatures w14:val="standardContextual"/>
            </w:rPr>
            <w:t>8</w:t>
          </w:r>
          <w:r>
            <w:rPr>
              <w:rFonts w:hint="eastAsia" w:asciiTheme="minorEastAsia" w:hAnsiTheme="minorEastAsia" w:eastAsiaTheme="minorEastAsia" w:cstheme="minorEastAsia"/>
              <w:sz w:val="24"/>
              <w:szCs w:val="24"/>
            </w:rPr>
            <w:t>　</w:t>
          </w:r>
          <w:r>
            <w:rPr>
              <w14:ligatures w14:val="standardContextual"/>
            </w:rPr>
            <w:t>Regional Green Space</w:t>
          </w:r>
          <w:r>
            <w:rPr>
              <w14:ligatures w14:val="standardContextual"/>
            </w:rPr>
            <w:tab/>
          </w:r>
          <w:r>
            <w:rPr>
              <w:rFonts w:hint="eastAsia"/>
              <w14:ligatures w14:val="standardContextual"/>
            </w:rPr>
            <w:t>18</w:t>
          </w:r>
        </w:p>
        <w:p w14:paraId="04A5E621">
          <w:pPr>
            <w:tabs>
              <w:tab w:val="right" w:leader="dot" w:pos="8190"/>
              <w:tab w:val="right" w:leader="dot" w:pos="8222"/>
            </w:tabs>
            <w:ind w:firstLine="420" w:firstLineChars="200"/>
            <w:rPr>
              <w14:ligatures w14:val="standardContextual"/>
            </w:rPr>
          </w:pPr>
          <w:r>
            <w:rPr>
              <w14:ligatures w14:val="standardContextual"/>
            </w:rPr>
            <w:t>8.1</w:t>
          </w:r>
          <w:r>
            <w:rPr>
              <w:rFonts w:hint="eastAsia" w:asciiTheme="minorEastAsia" w:hAnsiTheme="minorEastAsia" w:eastAsiaTheme="minorEastAsia" w:cstheme="minorEastAsia"/>
              <w:sz w:val="24"/>
              <w:szCs w:val="24"/>
            </w:rPr>
            <w:t>　</w:t>
          </w:r>
          <w:r>
            <w:rPr>
              <w14:ligatures w14:val="standardContextual"/>
            </w:rPr>
            <w:t>General Provisions</w:t>
          </w:r>
          <w:r>
            <w:rPr>
              <w14:ligatures w14:val="standardContextual"/>
            </w:rPr>
            <w:tab/>
          </w:r>
          <w:r>
            <w:rPr>
              <w:rFonts w:hint="eastAsia"/>
              <w14:ligatures w14:val="standardContextual"/>
            </w:rPr>
            <w:t>18</w:t>
          </w:r>
        </w:p>
        <w:p w14:paraId="70004CAF">
          <w:pPr>
            <w:tabs>
              <w:tab w:val="right" w:leader="dot" w:pos="8190"/>
              <w:tab w:val="right" w:leader="dot" w:pos="8222"/>
            </w:tabs>
            <w:ind w:firstLine="420" w:firstLineChars="200"/>
            <w:rPr>
              <w14:ligatures w14:val="standardContextual"/>
            </w:rPr>
          </w:pPr>
          <w:r>
            <w:rPr>
              <w14:ligatures w14:val="standardContextual"/>
            </w:rPr>
            <w:t>8.</w:t>
          </w:r>
          <w:r>
            <w:rPr>
              <w:rFonts w:hint="eastAsia"/>
              <w14:ligatures w14:val="standardContextual"/>
            </w:rPr>
            <w:t>2</w:t>
          </w:r>
          <w:r>
            <w:rPr>
              <w:rFonts w:hint="eastAsia" w:asciiTheme="minorEastAsia" w:hAnsiTheme="minorEastAsia" w:eastAsiaTheme="minorEastAsia" w:cstheme="minorEastAsia"/>
              <w:sz w:val="24"/>
              <w:szCs w:val="24"/>
            </w:rPr>
            <w:t>　</w:t>
          </w:r>
          <w:r>
            <w:rPr>
              <w14:ligatures w14:val="standardContextual"/>
            </w:rPr>
            <w:t>Regional Facilities Protection Green Space</w:t>
          </w:r>
          <w:r>
            <w:rPr>
              <w14:ligatures w14:val="standardContextual"/>
            </w:rPr>
            <w:tab/>
          </w:r>
          <w:r>
            <w:rPr>
              <w:rFonts w:hint="eastAsia"/>
              <w14:ligatures w14:val="standardContextual"/>
            </w:rPr>
            <w:t>18</w:t>
          </w:r>
        </w:p>
        <w:p w14:paraId="74273EA8">
          <w:pPr>
            <w:tabs>
              <w:tab w:val="right" w:leader="dot" w:pos="8190"/>
              <w:tab w:val="right" w:leader="dot" w:pos="8222"/>
            </w:tabs>
            <w:ind w:firstLine="420" w:firstLineChars="200"/>
            <w:rPr>
              <w14:ligatures w14:val="standardContextual"/>
            </w:rPr>
          </w:pPr>
          <w:r>
            <w:rPr>
              <w14:ligatures w14:val="standardContextual"/>
            </w:rPr>
            <w:t>8.</w:t>
          </w:r>
          <w:r>
            <w:rPr>
              <w:rFonts w:hint="eastAsia"/>
              <w14:ligatures w14:val="standardContextual"/>
            </w:rPr>
            <w:t>3</w:t>
          </w:r>
          <w:r>
            <w:rPr>
              <w:rFonts w:hint="eastAsia" w:asciiTheme="minorEastAsia" w:hAnsiTheme="minorEastAsia" w:eastAsiaTheme="minorEastAsia" w:cstheme="minorEastAsia"/>
              <w:sz w:val="24"/>
              <w:szCs w:val="24"/>
            </w:rPr>
            <w:t>　</w:t>
          </w:r>
          <w:r>
            <w:rPr>
              <w14:ligatures w14:val="standardContextual"/>
            </w:rPr>
            <w:t>Production of Green Space</w:t>
          </w:r>
          <w:r>
            <w:rPr>
              <w14:ligatures w14:val="standardContextual"/>
            </w:rPr>
            <w:tab/>
          </w:r>
          <w:r>
            <w:rPr>
              <w:rFonts w:hint="eastAsia"/>
              <w14:ligatures w14:val="standardContextual"/>
            </w:rPr>
            <w:t>19</w:t>
          </w:r>
        </w:p>
        <w:p w14:paraId="2375104B">
          <w:pPr>
            <w:tabs>
              <w:tab w:val="right" w:leader="dot" w:pos="8190"/>
              <w:tab w:val="right" w:leader="dot" w:pos="8222"/>
            </w:tabs>
            <w:rPr>
              <w14:ligatures w14:val="standardContextual"/>
            </w:rPr>
          </w:pPr>
          <w:r>
            <w:rPr>
              <w14:ligatures w14:val="standardContextual"/>
            </w:rPr>
            <w:t>9</w:t>
          </w:r>
          <w:r>
            <w:rPr>
              <w:rFonts w:hint="eastAsia" w:asciiTheme="minorEastAsia" w:hAnsiTheme="minorEastAsia" w:eastAsiaTheme="minorEastAsia" w:cstheme="minorEastAsia"/>
              <w:sz w:val="24"/>
              <w:szCs w:val="24"/>
            </w:rPr>
            <w:t>　</w:t>
          </w:r>
          <w:r>
            <w:rPr>
              <w14:ligatures w14:val="standardContextual"/>
            </w:rPr>
            <w:t>Special Design</w:t>
          </w:r>
          <w:r>
            <w:rPr>
              <w14:ligatures w14:val="standardContextual"/>
            </w:rPr>
            <w:tab/>
          </w:r>
          <w:r>
            <w:rPr>
              <w14:ligatures w14:val="standardContextual"/>
            </w:rPr>
            <w:t>2</w:t>
          </w:r>
          <w:r>
            <w:rPr>
              <w:rFonts w:hint="eastAsia"/>
              <w14:ligatures w14:val="standardContextual"/>
            </w:rPr>
            <w:t>0</w:t>
          </w:r>
        </w:p>
        <w:p w14:paraId="5CFEBFBF">
          <w:pPr>
            <w:tabs>
              <w:tab w:val="right" w:leader="dot" w:pos="8190"/>
              <w:tab w:val="right" w:leader="dot" w:pos="8222"/>
            </w:tabs>
            <w:ind w:firstLine="420" w:firstLineChars="200"/>
            <w:rPr>
              <w14:ligatures w14:val="standardContextual"/>
            </w:rPr>
          </w:pPr>
          <w:r>
            <w:rPr>
              <w14:ligatures w14:val="standardContextual"/>
            </w:rPr>
            <w:t>9.1</w:t>
          </w:r>
          <w:r>
            <w:rPr>
              <w:rFonts w:hint="eastAsia" w:asciiTheme="minorEastAsia" w:hAnsiTheme="minorEastAsia" w:eastAsiaTheme="minorEastAsia" w:cstheme="minorEastAsia"/>
              <w:sz w:val="24"/>
              <w:szCs w:val="24"/>
            </w:rPr>
            <w:t>　</w:t>
          </w:r>
          <w:r>
            <w:rPr>
              <w14:ligatures w14:val="standardContextual"/>
            </w:rPr>
            <w:t>General Provisions</w:t>
          </w:r>
          <w:r>
            <w:rPr>
              <w14:ligatures w14:val="standardContextual"/>
            </w:rPr>
            <w:tab/>
          </w:r>
          <w:r>
            <w:rPr>
              <w14:ligatures w14:val="standardContextual"/>
            </w:rPr>
            <w:t>2</w:t>
          </w:r>
          <w:r>
            <w:rPr>
              <w:rFonts w:hint="eastAsia"/>
              <w14:ligatures w14:val="standardContextual"/>
            </w:rPr>
            <w:t>0</w:t>
          </w:r>
        </w:p>
        <w:p w14:paraId="340EEC90">
          <w:pPr>
            <w:tabs>
              <w:tab w:val="right" w:leader="dot" w:pos="8190"/>
              <w:tab w:val="right" w:leader="dot" w:pos="8222"/>
            </w:tabs>
            <w:ind w:firstLine="420" w:firstLineChars="200"/>
            <w:rPr>
              <w14:ligatures w14:val="standardContextual"/>
            </w:rPr>
          </w:pPr>
          <w:r>
            <w:rPr>
              <w14:ligatures w14:val="standardContextual"/>
            </w:rPr>
            <w:t>9.2</w:t>
          </w:r>
          <w:r>
            <w:rPr>
              <w:rFonts w:hint="eastAsia" w:asciiTheme="minorEastAsia" w:hAnsiTheme="minorEastAsia" w:eastAsiaTheme="minorEastAsia" w:cstheme="minorEastAsia"/>
              <w:sz w:val="24"/>
              <w:szCs w:val="24"/>
            </w:rPr>
            <w:t>　</w:t>
          </w:r>
          <w:r>
            <w:rPr>
              <w14:ligatures w14:val="standardContextual"/>
            </w:rPr>
            <w:t>Special Design of Ecological Functions</w:t>
          </w:r>
          <w:r>
            <w:rPr>
              <w14:ligatures w14:val="standardContextual"/>
            </w:rPr>
            <w:tab/>
          </w:r>
          <w:r>
            <w:rPr>
              <w14:ligatures w14:val="standardContextual"/>
            </w:rPr>
            <w:t>2</w:t>
          </w:r>
          <w:r>
            <w:rPr>
              <w:rFonts w:hint="eastAsia"/>
              <w14:ligatures w14:val="standardContextual"/>
            </w:rPr>
            <w:t>0</w:t>
          </w:r>
        </w:p>
        <w:p w14:paraId="3B96128D">
          <w:pPr>
            <w:tabs>
              <w:tab w:val="right" w:leader="dot" w:pos="8190"/>
              <w:tab w:val="right" w:leader="dot" w:pos="8222"/>
            </w:tabs>
            <w:ind w:firstLine="420" w:firstLineChars="200"/>
            <w:rPr>
              <w14:ligatures w14:val="standardContextual"/>
            </w:rPr>
          </w:pPr>
          <w:r>
            <w:rPr>
              <w14:ligatures w14:val="standardContextual"/>
            </w:rPr>
            <w:t>9.3</w:t>
          </w:r>
          <w:r>
            <w:rPr>
              <w:rFonts w:hint="eastAsia" w:asciiTheme="minorEastAsia" w:hAnsiTheme="minorEastAsia" w:eastAsiaTheme="minorEastAsia" w:cstheme="minorEastAsia"/>
              <w:sz w:val="24"/>
              <w:szCs w:val="24"/>
            </w:rPr>
            <w:t>　</w:t>
          </w:r>
          <w:r>
            <w:rPr>
              <w14:ligatures w14:val="standardContextual"/>
            </w:rPr>
            <w:t>Special Design of Social Functions</w:t>
          </w:r>
          <w:r>
            <w:rPr>
              <w14:ligatures w14:val="standardContextual"/>
            </w:rPr>
            <w:tab/>
          </w:r>
          <w:r>
            <w:rPr>
              <w:rFonts w:hint="eastAsia"/>
              <w14:ligatures w14:val="standardContextual"/>
            </w:rPr>
            <w:t>25</w:t>
          </w:r>
        </w:p>
        <w:p w14:paraId="07527495">
          <w:pPr>
            <w:tabs>
              <w:tab w:val="right" w:leader="dot" w:pos="8190"/>
              <w:tab w:val="right" w:leader="dot" w:pos="8222"/>
            </w:tabs>
            <w:ind w:firstLine="420" w:firstLineChars="200"/>
            <w:rPr>
              <w14:ligatures w14:val="standardContextual"/>
            </w:rPr>
          </w:pPr>
          <w:r>
            <w:rPr>
              <w14:ligatures w14:val="standardContextual"/>
            </w:rPr>
            <w:t>9.4</w:t>
          </w:r>
          <w:r>
            <w:rPr>
              <w:rFonts w:hint="eastAsia" w:asciiTheme="minorEastAsia" w:hAnsiTheme="minorEastAsia" w:eastAsiaTheme="minorEastAsia" w:cstheme="minorEastAsia"/>
              <w:sz w:val="24"/>
              <w:szCs w:val="24"/>
            </w:rPr>
            <w:t>　</w:t>
          </w:r>
          <w:r>
            <w:rPr>
              <w14:ligatures w14:val="standardContextual"/>
            </w:rPr>
            <w:t>Special Design of Landscape Functions</w:t>
          </w:r>
          <w:r>
            <w:rPr>
              <w14:ligatures w14:val="standardContextual"/>
            </w:rPr>
            <w:tab/>
          </w:r>
          <w:r>
            <w:rPr>
              <w14:ligatures w14:val="standardContextual"/>
            </w:rPr>
            <w:t xml:space="preserve"> </w:t>
          </w:r>
          <w:r>
            <w:rPr>
              <w:rFonts w:hint="eastAsia"/>
              <w14:ligatures w14:val="standardContextual"/>
            </w:rPr>
            <w:t>27</w:t>
          </w:r>
        </w:p>
        <w:p w14:paraId="014F24F1">
          <w:pPr>
            <w:tabs>
              <w:tab w:val="right" w:leader="dot" w:pos="8190"/>
              <w:tab w:val="right" w:leader="dot" w:pos="8222"/>
            </w:tabs>
            <w:ind w:firstLine="420" w:firstLineChars="200"/>
            <w:rPr>
              <w14:ligatures w14:val="standardContextual"/>
            </w:rPr>
          </w:pPr>
          <w:r>
            <w:rPr>
              <w14:ligatures w14:val="standardContextual"/>
            </w:rPr>
            <w:t>9.5</w:t>
          </w:r>
          <w:r>
            <w:rPr>
              <w:rFonts w:hint="eastAsia" w:asciiTheme="minorEastAsia" w:hAnsiTheme="minorEastAsia" w:eastAsiaTheme="minorEastAsia" w:cstheme="minorEastAsia"/>
              <w:sz w:val="24"/>
              <w:szCs w:val="24"/>
            </w:rPr>
            <w:t>　</w:t>
          </w:r>
          <w:r>
            <w:rPr>
              <w14:ligatures w14:val="standardContextual"/>
            </w:rPr>
            <w:t>Special Design of Economic Functions</w:t>
          </w:r>
          <w:r>
            <w:rPr>
              <w14:ligatures w14:val="standardContextual"/>
            </w:rPr>
            <w:tab/>
          </w:r>
          <w:r>
            <w:rPr>
              <w:rFonts w:hint="eastAsia"/>
              <w14:ligatures w14:val="standardContextual"/>
            </w:rPr>
            <w:t>28</w:t>
          </w:r>
        </w:p>
        <w:p w14:paraId="5448D67D">
          <w:pPr>
            <w:tabs>
              <w:tab w:val="right" w:leader="dot" w:pos="8190"/>
              <w:tab w:val="right" w:leader="dot" w:pos="8222"/>
            </w:tabs>
            <w:rPr>
              <w14:ligatures w14:val="standardContextual"/>
            </w:rPr>
          </w:pPr>
          <w:r>
            <w:rPr>
              <w14:ligatures w14:val="standardContextual"/>
            </w:rPr>
            <w:t>10</w:t>
          </w:r>
          <w:r>
            <w:rPr>
              <w:rFonts w:hint="eastAsia" w:asciiTheme="minorEastAsia" w:hAnsiTheme="minorEastAsia" w:eastAsiaTheme="minorEastAsia" w:cstheme="minorEastAsia"/>
              <w:sz w:val="24"/>
              <w:szCs w:val="24"/>
            </w:rPr>
            <w:t>　</w:t>
          </w:r>
          <w:r>
            <w:rPr>
              <w14:ligatures w14:val="standardContextual"/>
            </w:rPr>
            <w:t>Element Design</w:t>
          </w:r>
          <w:r>
            <w:rPr>
              <w14:ligatures w14:val="standardContextual"/>
            </w:rPr>
            <w:tab/>
          </w:r>
          <w:r>
            <w:rPr>
              <w:rFonts w:hint="eastAsia"/>
              <w14:ligatures w14:val="standardContextual"/>
            </w:rPr>
            <w:t>30</w:t>
          </w:r>
        </w:p>
        <w:p w14:paraId="0959684F">
          <w:pPr>
            <w:tabs>
              <w:tab w:val="right" w:leader="dot" w:pos="8190"/>
              <w:tab w:val="right" w:leader="dot" w:pos="8222"/>
            </w:tabs>
            <w:ind w:firstLine="420" w:firstLineChars="200"/>
            <w:rPr>
              <w14:ligatures w14:val="standardContextual"/>
            </w:rPr>
          </w:pPr>
          <w:r>
            <w:rPr>
              <w14:ligatures w14:val="standardContextual"/>
            </w:rPr>
            <w:t>10.1</w:t>
          </w:r>
          <w:r>
            <w:rPr>
              <w:rFonts w:hint="eastAsia" w:asciiTheme="minorEastAsia" w:hAnsiTheme="minorEastAsia" w:eastAsiaTheme="minorEastAsia" w:cstheme="minorEastAsia"/>
              <w:sz w:val="24"/>
              <w:szCs w:val="24"/>
            </w:rPr>
            <w:t>　</w:t>
          </w:r>
          <w:r>
            <w:rPr>
              <w14:ligatures w14:val="standardContextual"/>
            </w:rPr>
            <w:t>General Provisions</w:t>
          </w:r>
          <w:r>
            <w:rPr>
              <w14:ligatures w14:val="standardContextual"/>
            </w:rPr>
            <w:tab/>
          </w:r>
          <w:r>
            <w:rPr>
              <w14:ligatures w14:val="standardContextual"/>
            </w:rPr>
            <w:t xml:space="preserve"> </w:t>
          </w:r>
          <w:r>
            <w:rPr>
              <w:rFonts w:hint="eastAsia"/>
              <w14:ligatures w14:val="standardContextual"/>
            </w:rPr>
            <w:t>30</w:t>
          </w:r>
        </w:p>
        <w:p w14:paraId="4603570C">
          <w:pPr>
            <w:tabs>
              <w:tab w:val="right" w:leader="dot" w:pos="8190"/>
              <w:tab w:val="right" w:leader="dot" w:pos="8222"/>
            </w:tabs>
            <w:ind w:firstLine="420" w:firstLineChars="200"/>
            <w:rPr>
              <w14:ligatures w14:val="standardContextual"/>
            </w:rPr>
          </w:pPr>
          <w:r>
            <w:rPr>
              <w14:ligatures w14:val="standardContextual"/>
            </w:rPr>
            <w:t>10.2</w:t>
          </w:r>
          <w:r>
            <w:rPr>
              <w:rFonts w:hint="eastAsia" w:asciiTheme="minorEastAsia" w:hAnsiTheme="minorEastAsia" w:eastAsiaTheme="minorEastAsia" w:cstheme="minorEastAsia"/>
              <w:sz w:val="24"/>
              <w:szCs w:val="24"/>
            </w:rPr>
            <w:t>　</w:t>
          </w:r>
          <w:r>
            <w:rPr>
              <w14:ligatures w14:val="standardContextual"/>
            </w:rPr>
            <w:t>Vertical Design,Soil,Water</w:t>
          </w:r>
          <w:r>
            <w:rPr>
              <w14:ligatures w14:val="standardContextual"/>
            </w:rPr>
            <w:tab/>
          </w:r>
          <w:r>
            <w:rPr>
              <w:rFonts w:hint="eastAsia"/>
              <w14:ligatures w14:val="standardContextual"/>
            </w:rPr>
            <w:t>30</w:t>
          </w:r>
        </w:p>
        <w:p w14:paraId="092F319E">
          <w:pPr>
            <w:tabs>
              <w:tab w:val="right" w:leader="dot" w:pos="8190"/>
              <w:tab w:val="right" w:leader="dot" w:pos="8222"/>
            </w:tabs>
            <w:ind w:firstLine="420" w:firstLineChars="200"/>
            <w:rPr>
              <w14:ligatures w14:val="standardContextual"/>
            </w:rPr>
          </w:pPr>
          <w:r>
            <w:rPr>
              <w14:ligatures w14:val="standardContextual"/>
            </w:rPr>
            <w:t>10.3</w:t>
          </w:r>
          <w:r>
            <w:rPr>
              <w:rFonts w:hint="eastAsia" w:asciiTheme="minorEastAsia" w:hAnsiTheme="minorEastAsia" w:eastAsiaTheme="minorEastAsia" w:cstheme="minorEastAsia"/>
              <w:sz w:val="24"/>
              <w:szCs w:val="24"/>
            </w:rPr>
            <w:t>　</w:t>
          </w:r>
          <w:r>
            <w:rPr>
              <w14:ligatures w14:val="standardContextual"/>
            </w:rPr>
            <w:t>Plants</w:t>
          </w:r>
          <w:r>
            <w:rPr>
              <w14:ligatures w14:val="standardContextual"/>
            </w:rPr>
            <w:tab/>
          </w:r>
          <w:r>
            <w:rPr>
              <w:rFonts w:hint="eastAsia"/>
              <w14:ligatures w14:val="standardContextual"/>
            </w:rPr>
            <w:t>31</w:t>
          </w:r>
        </w:p>
        <w:p w14:paraId="728F2E19">
          <w:pPr>
            <w:tabs>
              <w:tab w:val="right" w:leader="dot" w:pos="8190"/>
              <w:tab w:val="right" w:leader="dot" w:pos="8222"/>
            </w:tabs>
            <w:ind w:firstLine="420" w:firstLineChars="200"/>
            <w:rPr>
              <w14:ligatures w14:val="standardContextual"/>
            </w:rPr>
          </w:pPr>
          <w:r>
            <w:rPr>
              <w14:ligatures w14:val="standardContextual"/>
            </w:rPr>
            <w:t>10.4</w:t>
          </w:r>
          <w:r>
            <w:rPr>
              <w:rFonts w:hint="eastAsia" w:asciiTheme="minorEastAsia" w:hAnsiTheme="minorEastAsia" w:eastAsiaTheme="minorEastAsia" w:cstheme="minorEastAsia"/>
              <w:sz w:val="24"/>
              <w:szCs w:val="24"/>
            </w:rPr>
            <w:t>　</w:t>
          </w:r>
          <w:r>
            <w:rPr>
              <w14:ligatures w14:val="standardContextual"/>
            </w:rPr>
            <w:t>Roads,Steps</w:t>
          </w:r>
          <w:r>
            <w:rPr>
              <w:rFonts w:hint="eastAsia"/>
              <w14:ligatures w14:val="standardContextual"/>
            </w:rPr>
            <w:t>,</w:t>
          </w:r>
          <w:r>
            <w:rPr>
              <w14:ligatures w14:val="standardContextual"/>
            </w:rPr>
            <w:t>Paved Sites,Bridges</w:t>
          </w:r>
          <w:r>
            <w:rPr>
              <w14:ligatures w14:val="standardContextual"/>
            </w:rPr>
            <w:tab/>
          </w:r>
          <w:r>
            <w:rPr>
              <w:rFonts w:hint="eastAsia"/>
              <w14:ligatures w14:val="standardContextual"/>
            </w:rPr>
            <w:t>32</w:t>
          </w:r>
        </w:p>
        <w:p w14:paraId="79E85BA8">
          <w:pPr>
            <w:tabs>
              <w:tab w:val="right" w:leader="dot" w:pos="8190"/>
              <w:tab w:val="right" w:leader="dot" w:pos="8222"/>
            </w:tabs>
            <w:ind w:firstLine="420" w:firstLineChars="200"/>
            <w:rPr>
              <w14:ligatures w14:val="standardContextual"/>
            </w:rPr>
          </w:pPr>
          <w:r>
            <w:rPr>
              <w14:ligatures w14:val="standardContextual"/>
            </w:rPr>
            <w:t>10.5</w:t>
          </w:r>
          <w:r>
            <w:rPr>
              <w:rFonts w:hint="eastAsia" w:asciiTheme="minorEastAsia" w:hAnsiTheme="minorEastAsia" w:eastAsiaTheme="minorEastAsia" w:cstheme="minorEastAsia"/>
              <w:sz w:val="24"/>
              <w:szCs w:val="24"/>
            </w:rPr>
            <w:t>　</w:t>
          </w:r>
          <w:r>
            <w:rPr>
              <w14:ligatures w14:val="standardContextual"/>
            </w:rPr>
            <w:t>Buildings(Structures)</w:t>
          </w:r>
          <w:r>
            <w:rPr>
              <w14:ligatures w14:val="standardContextual"/>
            </w:rPr>
            <w:tab/>
          </w:r>
          <w:r>
            <w:rPr>
              <w:rFonts w:hint="eastAsia"/>
              <w14:ligatures w14:val="standardContextual"/>
            </w:rPr>
            <w:t>33</w:t>
          </w:r>
        </w:p>
        <w:p w14:paraId="4857F187">
          <w:pPr>
            <w:tabs>
              <w:tab w:val="right" w:leader="dot" w:pos="8190"/>
              <w:tab w:val="right" w:leader="dot" w:pos="8222"/>
            </w:tabs>
            <w:ind w:firstLine="420" w:firstLineChars="200"/>
            <w:rPr>
              <w14:ligatures w14:val="standardContextual"/>
            </w:rPr>
          </w:pPr>
          <w:r>
            <w:rPr>
              <w14:ligatures w14:val="standardContextual"/>
            </w:rPr>
            <w:t>10.</w:t>
          </w:r>
          <w:r>
            <w:rPr>
              <w:rFonts w:hint="eastAsia"/>
              <w14:ligatures w14:val="standardContextual"/>
            </w:rPr>
            <w:t>6</w:t>
          </w:r>
          <w:r>
            <w:rPr>
              <w:rFonts w:hint="eastAsia" w:asciiTheme="minorEastAsia" w:hAnsiTheme="minorEastAsia" w:eastAsiaTheme="minorEastAsia" w:cstheme="minorEastAsia"/>
              <w:sz w:val="24"/>
              <w:szCs w:val="24"/>
            </w:rPr>
            <w:t>　</w:t>
          </w:r>
          <w:r>
            <w:rPr>
              <w14:ligatures w14:val="standardContextual"/>
            </w:rPr>
            <w:t>Supporting Facilities</w:t>
          </w:r>
          <w:r>
            <w:rPr>
              <w14:ligatures w14:val="standardContextual"/>
            </w:rPr>
            <w:tab/>
          </w:r>
          <w:r>
            <w:rPr>
              <w:rFonts w:hint="eastAsia"/>
              <w14:ligatures w14:val="standardContextual"/>
            </w:rPr>
            <w:t>33</w:t>
          </w:r>
        </w:p>
        <w:p w14:paraId="70D9B270">
          <w:pPr>
            <w:tabs>
              <w:tab w:val="right" w:leader="dot" w:pos="8190"/>
              <w:tab w:val="right" w:leader="dot" w:pos="8222"/>
            </w:tabs>
            <w:ind w:firstLine="420" w:firstLineChars="200"/>
            <w:rPr>
              <w14:ligatures w14:val="standardContextual"/>
            </w:rPr>
          </w:pPr>
          <w:r>
            <w:rPr>
              <w14:ligatures w14:val="standardContextual"/>
            </w:rPr>
            <w:t>10.</w:t>
          </w:r>
          <w:r>
            <w:rPr>
              <w:rFonts w:hint="eastAsia"/>
              <w14:ligatures w14:val="standardContextual"/>
            </w:rPr>
            <w:t>7</w:t>
          </w:r>
          <w:r>
            <w:rPr>
              <w:rFonts w:hint="eastAsia" w:asciiTheme="minorEastAsia" w:hAnsiTheme="minorEastAsia" w:eastAsiaTheme="minorEastAsia" w:cstheme="minorEastAsia"/>
              <w:sz w:val="24"/>
              <w:szCs w:val="24"/>
            </w:rPr>
            <w:t>　</w:t>
          </w:r>
          <w:r>
            <w:rPr>
              <w14:ligatures w14:val="standardContextual"/>
            </w:rPr>
            <w:t>Water Supply and Drainage</w:t>
          </w:r>
          <w:r>
            <w:rPr>
              <w14:ligatures w14:val="standardContextual"/>
            </w:rPr>
            <w:tab/>
          </w:r>
          <w:r>
            <w:rPr>
              <w:rFonts w:hint="eastAsia"/>
              <w14:ligatures w14:val="standardContextual"/>
            </w:rPr>
            <w:t>34</w:t>
          </w:r>
        </w:p>
        <w:p w14:paraId="6A9F7031">
          <w:pPr>
            <w:tabs>
              <w:tab w:val="right" w:leader="dot" w:pos="8190"/>
              <w:tab w:val="right" w:leader="dot" w:pos="8222"/>
            </w:tabs>
            <w:ind w:firstLine="420" w:firstLineChars="200"/>
            <w:rPr>
              <w14:ligatures w14:val="standardContextual"/>
            </w:rPr>
          </w:pPr>
          <w:r>
            <w:rPr>
              <w14:ligatures w14:val="standardContextual"/>
            </w:rPr>
            <w:t>10.</w:t>
          </w:r>
          <w:r>
            <w:rPr>
              <w:rFonts w:hint="eastAsia"/>
              <w14:ligatures w14:val="standardContextual"/>
            </w:rPr>
            <w:t>8</w:t>
          </w:r>
          <w:r>
            <w:rPr>
              <w:rFonts w:hint="eastAsia" w:asciiTheme="minorEastAsia" w:hAnsiTheme="minorEastAsia" w:eastAsiaTheme="minorEastAsia" w:cstheme="minorEastAsia"/>
              <w:sz w:val="24"/>
              <w:szCs w:val="24"/>
            </w:rPr>
            <w:t>　</w:t>
          </w:r>
          <w:r>
            <w:rPr>
              <w14:ligatures w14:val="standardContextual"/>
            </w:rPr>
            <w:t>Electrical</w:t>
          </w:r>
          <w:r>
            <w:rPr>
              <w14:ligatures w14:val="standardContextual"/>
            </w:rPr>
            <w:tab/>
          </w:r>
          <w:r>
            <w:rPr>
              <w:rFonts w:hint="eastAsia"/>
              <w14:ligatures w14:val="standardContextual"/>
            </w:rPr>
            <w:t>37</w:t>
          </w:r>
        </w:p>
        <w:p w14:paraId="019FEB3C">
          <w:pPr>
            <w:tabs>
              <w:tab w:val="right" w:leader="dot" w:pos="8190"/>
              <w:tab w:val="right" w:leader="dot" w:pos="8222"/>
            </w:tabs>
            <w:rPr>
              <w14:ligatures w14:val="standardContextual"/>
            </w:rPr>
          </w:pPr>
          <w:r>
            <w:rPr>
              <w14:ligatures w14:val="standardContextual"/>
            </w:rPr>
            <w:t>Explanation of Terms Used in This Standard</w:t>
          </w:r>
          <w:r>
            <w:rPr>
              <w14:ligatures w14:val="standardContextual"/>
            </w:rPr>
            <w:tab/>
          </w:r>
          <w:r>
            <w:rPr>
              <w:rFonts w:hint="eastAsia"/>
              <w14:ligatures w14:val="standardContextual"/>
            </w:rPr>
            <w:t>40</w:t>
          </w:r>
        </w:p>
        <w:p w14:paraId="6F1011B2">
          <w:pPr>
            <w:tabs>
              <w:tab w:val="right" w:leader="dot" w:pos="8190"/>
              <w:tab w:val="right" w:leader="dot" w:pos="8222"/>
            </w:tabs>
            <w:rPr>
              <w14:ligatures w14:val="standardContextual"/>
            </w:rPr>
          </w:pPr>
          <w:r>
            <w:rPr>
              <w14:ligatures w14:val="standardContextual"/>
            </w:rPr>
            <w:t>List of Quoted Standards</w:t>
          </w:r>
          <w:r>
            <w:rPr>
              <w14:ligatures w14:val="standardContextual"/>
            </w:rPr>
            <w:tab/>
          </w:r>
          <w:r>
            <w:rPr>
              <w:rFonts w:hint="eastAsia"/>
              <w14:ligatures w14:val="standardContextual"/>
            </w:rPr>
            <w:t>41</w:t>
          </w:r>
        </w:p>
        <w:p w14:paraId="16E8E960">
          <w:pPr>
            <w:pStyle w:val="13"/>
            <w:ind w:left="0" w:leftChars="0"/>
            <w:rPr>
              <w:lang w:val="zh-CN"/>
              <w14:ligatures w14:val="standardContextual"/>
            </w:rPr>
          </w:pPr>
        </w:p>
      </w:sdtContent>
    </w:sdt>
    <w:p w14:paraId="50312FB4">
      <w:pPr>
        <w:pStyle w:val="34"/>
        <w:rPr>
          <w:rStyle w:val="25"/>
          <w:b/>
        </w:rPr>
        <w:sectPr>
          <w:footerReference r:id="rId4" w:type="default"/>
          <w:pgSz w:w="11906" w:h="16838"/>
          <w:pgMar w:top="1440" w:right="1800" w:bottom="1440" w:left="1800" w:header="851" w:footer="992" w:gutter="0"/>
          <w:pgNumType w:fmt="upperRoman"/>
          <w:cols w:space="425" w:num="1"/>
          <w:docGrid w:type="lines" w:linePitch="312" w:charSpace="0"/>
        </w:sectPr>
      </w:pPr>
    </w:p>
    <w:p w14:paraId="09FFFF56">
      <w:pPr>
        <w:pStyle w:val="34"/>
      </w:pPr>
      <w:bookmarkStart w:id="4" w:name="_Toc18450"/>
      <w:bookmarkStart w:id="5" w:name="_Toc12229"/>
      <w:r>
        <w:rPr>
          <w:rStyle w:val="25"/>
          <w:rFonts w:hint="eastAsia"/>
          <w:b/>
        </w:rPr>
        <w:t>1</w:t>
      </w:r>
      <w:bookmarkStart w:id="6" w:name="_Toc26640"/>
      <w:r>
        <w:rPr>
          <w:rStyle w:val="25"/>
          <w:rFonts w:hint="eastAsia"/>
          <w:b/>
        </w:rPr>
        <w:t>　</w:t>
      </w:r>
      <w:r>
        <w:rPr>
          <w:rFonts w:hint="eastAsia"/>
        </w:rPr>
        <w:t>总　则</w:t>
      </w:r>
      <w:bookmarkEnd w:id="4"/>
      <w:bookmarkEnd w:id="5"/>
      <w:bookmarkEnd w:id="6"/>
    </w:p>
    <w:p w14:paraId="3CF32BC8">
      <w:pPr>
        <w:pStyle w:val="30"/>
        <w:spacing w:line="360" w:lineRule="auto"/>
        <w:ind w:firstLine="0" w:firstLineChars="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w:t>
      </w:r>
      <w:r>
        <w:rPr>
          <w:rFonts w:asciiTheme="minorEastAsia" w:hAnsiTheme="minorEastAsia" w:eastAsiaTheme="minorEastAsia" w:cstheme="minorEastAsia"/>
          <w:b/>
          <w:sz w:val="24"/>
          <w:szCs w:val="24"/>
        </w:rPr>
        <w:t>.0.1</w:t>
      </w:r>
      <w:r>
        <w:rPr>
          <w:rFonts w:hint="eastAsia" w:asciiTheme="minorEastAsia" w:hAnsiTheme="minorEastAsia" w:eastAsiaTheme="minorEastAsia" w:cstheme="minorEastAsia"/>
          <w:sz w:val="24"/>
          <w:szCs w:val="24"/>
        </w:rPr>
        <w:t>　为全面发挥城市绿地的功能，保证城市绿地符合适用、经济、安全、健康、生态、环保、美观、防护等基本要求，确保城市绿地设计质量，</w:t>
      </w:r>
      <w:bookmarkStart w:id="169" w:name="_GoBack"/>
      <w:bookmarkEnd w:id="169"/>
      <w:r>
        <w:rPr>
          <w:rFonts w:hint="eastAsia" w:asciiTheme="minorEastAsia" w:hAnsiTheme="minorEastAsia" w:eastAsiaTheme="minorEastAsia" w:cstheme="minorEastAsia"/>
          <w:sz w:val="24"/>
          <w:szCs w:val="24"/>
        </w:rPr>
        <w:t>制订本标准。</w:t>
      </w:r>
    </w:p>
    <w:p w14:paraId="57E37192">
      <w:pPr>
        <w:pStyle w:val="30"/>
        <w:spacing w:line="360" w:lineRule="auto"/>
        <w:ind w:firstLine="0" w:firstLineChars="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w:t>
      </w:r>
      <w:r>
        <w:rPr>
          <w:rFonts w:asciiTheme="minorEastAsia" w:hAnsiTheme="minorEastAsia" w:eastAsiaTheme="minorEastAsia" w:cstheme="minorEastAsia"/>
          <w:b/>
          <w:sz w:val="24"/>
          <w:szCs w:val="24"/>
        </w:rPr>
        <w:t>.0.2</w:t>
      </w:r>
      <w:r>
        <w:rPr>
          <w:rFonts w:hint="eastAsia" w:asciiTheme="minorEastAsia" w:hAnsiTheme="minorEastAsia" w:eastAsiaTheme="minorEastAsia" w:cstheme="minorEastAsia"/>
          <w:sz w:val="24"/>
          <w:szCs w:val="24"/>
        </w:rPr>
        <w:t>　本标准适用于城市各类绿地的新建、扩建、更新的设计。</w:t>
      </w:r>
    </w:p>
    <w:p w14:paraId="4B88C6AE">
      <w:pPr>
        <w:pStyle w:val="30"/>
        <w:spacing w:line="360" w:lineRule="auto"/>
        <w:ind w:firstLine="0" w:firstLineChars="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w:t>
      </w:r>
      <w:r>
        <w:rPr>
          <w:rFonts w:asciiTheme="minorEastAsia" w:hAnsiTheme="minorEastAsia" w:eastAsiaTheme="minorEastAsia" w:cstheme="minorEastAsia"/>
          <w:b/>
          <w:sz w:val="24"/>
          <w:szCs w:val="24"/>
        </w:rPr>
        <w:t>.0.3</w:t>
      </w:r>
      <w:r>
        <w:rPr>
          <w:rFonts w:hint="eastAsia" w:asciiTheme="minorEastAsia" w:hAnsiTheme="minorEastAsia" w:eastAsiaTheme="minorEastAsia" w:cstheme="minorEastAsia"/>
          <w:sz w:val="24"/>
          <w:szCs w:val="24"/>
        </w:rPr>
        <w:t>　城市绿地设计除应执行本标准外，尚应符合国家现行有关标准的规定。</w:t>
      </w:r>
    </w:p>
    <w:p w14:paraId="4F5C1E0C">
      <w:pPr>
        <w:widowControl/>
        <w:jc w:val="left"/>
        <w:rPr>
          <w:rFonts w:asciiTheme="minorEastAsia" w:hAnsiTheme="minorEastAsia" w:eastAsiaTheme="minorEastAsia" w:cstheme="minorEastAsia"/>
          <w:b/>
          <w:bCs/>
          <w:sz w:val="24"/>
          <w:szCs w:val="24"/>
        </w:rPr>
      </w:pPr>
      <w:bookmarkStart w:id="7" w:name="_Toc3520"/>
      <w:bookmarkStart w:id="8" w:name="_Toc27232"/>
      <w:bookmarkStart w:id="9" w:name="_Toc10691"/>
      <w:r>
        <w:rPr>
          <w:rFonts w:hint="eastAsia" w:asciiTheme="minorEastAsia" w:hAnsiTheme="minorEastAsia" w:eastAsiaTheme="minorEastAsia" w:cstheme="minorEastAsia"/>
          <w:b/>
          <w:bCs/>
          <w:sz w:val="24"/>
          <w:szCs w:val="24"/>
        </w:rPr>
        <w:br w:type="page"/>
      </w:r>
    </w:p>
    <w:p w14:paraId="1BF99318">
      <w:pPr>
        <w:pStyle w:val="34"/>
        <w:ind w:left="425"/>
      </w:pPr>
      <w:bookmarkStart w:id="10" w:name="_Toc30841"/>
      <w:bookmarkStart w:id="11" w:name="_Toc713"/>
      <w:bookmarkStart w:id="12" w:name="_Toc32441"/>
      <w:bookmarkStart w:id="13" w:name="_Toc7968"/>
      <w:r>
        <w:rPr>
          <w:rFonts w:hint="eastAsia"/>
        </w:rPr>
        <w:t>2　术　语</w:t>
      </w:r>
      <w:bookmarkEnd w:id="7"/>
      <w:bookmarkEnd w:id="8"/>
      <w:bookmarkEnd w:id="10"/>
      <w:bookmarkEnd w:id="11"/>
      <w:bookmarkEnd w:id="12"/>
      <w:bookmarkEnd w:id="13"/>
    </w:p>
    <w:p w14:paraId="508CC64D">
      <w:pPr>
        <w:spacing w:line="360" w:lineRule="auto"/>
        <w:rPr>
          <w:rFonts w:asciiTheme="minorEastAsia" w:hAnsiTheme="minorEastAsia" w:eastAsiaTheme="minorEastAsia" w:cstheme="minorEastAsia"/>
          <w:sz w:val="24"/>
          <w:szCs w:val="24"/>
        </w:rPr>
      </w:pPr>
      <w:bookmarkStart w:id="14" w:name="_Toc11924"/>
      <w:bookmarkStart w:id="15" w:name="_Toc19247"/>
      <w:r>
        <w:rPr>
          <w:rFonts w:hint="eastAsia" w:asciiTheme="minorEastAsia" w:hAnsiTheme="minorEastAsia" w:eastAsiaTheme="minorEastAsia" w:cstheme="minorEastAsia"/>
          <w:b/>
          <w:sz w:val="24"/>
          <w:szCs w:val="24"/>
        </w:rPr>
        <w:t>2.0.1</w:t>
      </w:r>
      <w:r>
        <w:rPr>
          <w:rFonts w:hint="eastAsia" w:asciiTheme="minorEastAsia" w:hAnsiTheme="minorEastAsia" w:eastAsiaTheme="minorEastAsia" w:cstheme="minorEastAsia"/>
          <w:sz w:val="24"/>
          <w:szCs w:val="24"/>
        </w:rPr>
        <w:t>　城市绿地　</w:t>
      </w:r>
      <w:r>
        <w:rPr>
          <w:rFonts w:asciiTheme="minorEastAsia" w:hAnsiTheme="minorEastAsia" w:eastAsiaTheme="minorEastAsia" w:cstheme="minorEastAsia"/>
          <w:sz w:val="24"/>
          <w:szCs w:val="24"/>
        </w:rPr>
        <w:t>u</w:t>
      </w:r>
      <w:r>
        <w:rPr>
          <w:rFonts w:hint="eastAsia" w:asciiTheme="minorEastAsia" w:hAnsiTheme="minorEastAsia" w:eastAsiaTheme="minorEastAsia" w:cstheme="minorEastAsia"/>
          <w:sz w:val="24"/>
          <w:szCs w:val="24"/>
        </w:rPr>
        <w:t xml:space="preserve">rban </w:t>
      </w:r>
      <w:r>
        <w:rPr>
          <w:rFonts w:asciiTheme="minorEastAsia" w:hAnsiTheme="minorEastAsia" w:eastAsiaTheme="minorEastAsia" w:cstheme="minorEastAsia"/>
          <w:sz w:val="24"/>
          <w:szCs w:val="24"/>
        </w:rPr>
        <w:t>g</w:t>
      </w:r>
      <w:r>
        <w:rPr>
          <w:rFonts w:hint="eastAsia" w:asciiTheme="minorEastAsia" w:hAnsiTheme="minorEastAsia" w:eastAsiaTheme="minorEastAsia" w:cstheme="minorEastAsia"/>
          <w:sz w:val="24"/>
          <w:szCs w:val="24"/>
        </w:rPr>
        <w:t xml:space="preserve">reen </w:t>
      </w:r>
      <w:r>
        <w:rPr>
          <w:rFonts w:asciiTheme="minorEastAsia" w:hAnsiTheme="minorEastAsia" w:eastAsiaTheme="minorEastAsia" w:cstheme="minorEastAsia"/>
          <w:sz w:val="24"/>
          <w:szCs w:val="24"/>
        </w:rPr>
        <w:t>s</w:t>
      </w:r>
      <w:r>
        <w:rPr>
          <w:rFonts w:hint="eastAsia" w:asciiTheme="minorEastAsia" w:hAnsiTheme="minorEastAsia" w:eastAsiaTheme="minorEastAsia" w:cstheme="minorEastAsia"/>
          <w:sz w:val="24"/>
          <w:szCs w:val="24"/>
        </w:rPr>
        <w:t>pace</w:t>
      </w:r>
      <w:bookmarkEnd w:id="14"/>
      <w:bookmarkEnd w:id="15"/>
      <w:bookmarkStart w:id="16" w:name="OLE_LINK1"/>
      <w:bookmarkEnd w:id="16"/>
    </w:p>
    <w:p w14:paraId="43A055DC">
      <w:pPr>
        <w:pStyle w:val="38"/>
        <w:outlineLvl w:val="9"/>
      </w:pPr>
      <w:bookmarkStart w:id="17" w:name="_Toc1327"/>
      <w:r>
        <w:rPr>
          <w:rFonts w:hint="eastAsia"/>
        </w:rPr>
        <w:t>城市中以植被覆盖为主体，并对生态、游憩、景观、防护具有积极作用的各类型绿地的总称。</w:t>
      </w:r>
      <w:bookmarkEnd w:id="17"/>
    </w:p>
    <w:p w14:paraId="790AA33F">
      <w:pPr>
        <w:widowControl/>
        <w:spacing w:line="360" w:lineRule="auto"/>
        <w:rPr>
          <w:rFonts w:asciiTheme="minorEastAsia" w:hAnsiTheme="minorEastAsia" w:eastAsiaTheme="minorEastAsia" w:cstheme="minorEastAsia"/>
          <w:sz w:val="24"/>
          <w:szCs w:val="24"/>
        </w:rPr>
      </w:pPr>
      <w:bookmarkStart w:id="18" w:name="_Toc21126"/>
      <w:r>
        <w:rPr>
          <w:rFonts w:hint="eastAsia" w:asciiTheme="minorEastAsia" w:hAnsiTheme="minorEastAsia" w:eastAsiaTheme="minorEastAsia" w:cstheme="minorEastAsia"/>
          <w:b/>
          <w:sz w:val="24"/>
          <w:szCs w:val="24"/>
        </w:rPr>
        <w:t>2.0.2</w:t>
      </w:r>
      <w:r>
        <w:rPr>
          <w:rFonts w:hint="eastAsia" w:asciiTheme="minorEastAsia" w:hAnsiTheme="minorEastAsia" w:eastAsiaTheme="minorEastAsia" w:cstheme="minorEastAsia"/>
          <w:sz w:val="24"/>
          <w:szCs w:val="24"/>
        </w:rPr>
        <w:t>　城市绿地更新设计　</w:t>
      </w:r>
      <w:r>
        <w:rPr>
          <w:rFonts w:asciiTheme="minorEastAsia" w:hAnsiTheme="minorEastAsia" w:eastAsiaTheme="minorEastAsia" w:cstheme="minorEastAsia"/>
          <w:sz w:val="24"/>
          <w:szCs w:val="24"/>
        </w:rPr>
        <w:t>u</w:t>
      </w:r>
      <w:r>
        <w:rPr>
          <w:rFonts w:hint="eastAsia" w:asciiTheme="minorEastAsia" w:hAnsiTheme="minorEastAsia" w:eastAsiaTheme="minorEastAsia" w:cstheme="minorEastAsia"/>
          <w:sz w:val="24"/>
          <w:szCs w:val="24"/>
        </w:rPr>
        <w:t xml:space="preserve">rban </w:t>
      </w:r>
      <w:r>
        <w:rPr>
          <w:rFonts w:asciiTheme="minorEastAsia" w:hAnsiTheme="minorEastAsia" w:eastAsiaTheme="minorEastAsia" w:cstheme="minorEastAsia"/>
          <w:sz w:val="24"/>
          <w:szCs w:val="24"/>
        </w:rPr>
        <w:t>g</w:t>
      </w:r>
      <w:r>
        <w:rPr>
          <w:rFonts w:hint="eastAsia" w:asciiTheme="minorEastAsia" w:hAnsiTheme="minorEastAsia" w:eastAsiaTheme="minorEastAsia" w:cstheme="minorEastAsia"/>
          <w:sz w:val="24"/>
          <w:szCs w:val="24"/>
        </w:rPr>
        <w:t xml:space="preserve">reen </w:t>
      </w:r>
      <w:r>
        <w:rPr>
          <w:rFonts w:asciiTheme="minorEastAsia" w:hAnsiTheme="minorEastAsia" w:eastAsiaTheme="minorEastAsia" w:cstheme="minorEastAsia"/>
          <w:sz w:val="24"/>
          <w:szCs w:val="24"/>
        </w:rPr>
        <w:t>s</w:t>
      </w:r>
      <w:r>
        <w:rPr>
          <w:rFonts w:hint="eastAsia" w:asciiTheme="minorEastAsia" w:hAnsiTheme="minorEastAsia" w:eastAsiaTheme="minorEastAsia" w:cstheme="minorEastAsia"/>
          <w:sz w:val="24"/>
          <w:szCs w:val="24"/>
        </w:rPr>
        <w:t xml:space="preserve">pace </w:t>
      </w:r>
      <w:r>
        <w:rPr>
          <w:rFonts w:asciiTheme="minorEastAsia" w:hAnsiTheme="minorEastAsia" w:eastAsiaTheme="minorEastAsia" w:cstheme="minorEastAsia"/>
          <w:sz w:val="24"/>
          <w:szCs w:val="24"/>
        </w:rPr>
        <w:t>r</w:t>
      </w:r>
      <w:r>
        <w:rPr>
          <w:rFonts w:hint="eastAsia" w:asciiTheme="minorEastAsia" w:hAnsiTheme="minorEastAsia" w:eastAsiaTheme="minorEastAsia" w:cstheme="minorEastAsia"/>
          <w:sz w:val="24"/>
          <w:szCs w:val="24"/>
        </w:rPr>
        <w:t xml:space="preserve">enewal </w:t>
      </w:r>
      <w:r>
        <w:rPr>
          <w:rFonts w:asciiTheme="minorEastAsia" w:hAnsiTheme="minorEastAsia" w:eastAsiaTheme="minorEastAsia" w:cstheme="minorEastAsia"/>
          <w:sz w:val="24"/>
          <w:szCs w:val="24"/>
        </w:rPr>
        <w:t>d</w:t>
      </w:r>
      <w:r>
        <w:rPr>
          <w:rFonts w:hint="eastAsia" w:asciiTheme="minorEastAsia" w:hAnsiTheme="minorEastAsia" w:eastAsiaTheme="minorEastAsia" w:cstheme="minorEastAsia"/>
          <w:sz w:val="24"/>
          <w:szCs w:val="24"/>
        </w:rPr>
        <w:t>esign</w:t>
      </w:r>
      <w:bookmarkEnd w:id="18"/>
    </w:p>
    <w:p w14:paraId="2825AF49">
      <w:pPr>
        <w:pStyle w:val="38"/>
        <w:outlineLvl w:val="9"/>
      </w:pPr>
      <w:bookmarkStart w:id="19" w:name="_Toc26714"/>
      <w:r>
        <w:rPr>
          <w:rFonts w:hint="eastAsia"/>
        </w:rPr>
        <w:t>对既有城市绿地进行功能提升、生态改善、设施完善的设计活动，强调体检评估、存量优化、功能复合等原则。</w:t>
      </w:r>
      <w:bookmarkEnd w:id="19"/>
    </w:p>
    <w:p w14:paraId="48C23FB0">
      <w:pPr>
        <w:widowControl/>
        <w:spacing w:line="360" w:lineRule="auto"/>
        <w:rPr>
          <w:rFonts w:asciiTheme="minorEastAsia" w:hAnsiTheme="minorEastAsia" w:eastAsiaTheme="minorEastAsia" w:cstheme="minorEastAsia"/>
          <w:sz w:val="24"/>
          <w:szCs w:val="24"/>
        </w:rPr>
      </w:pPr>
      <w:bookmarkStart w:id="20" w:name="_Toc31493"/>
      <w:r>
        <w:rPr>
          <w:rFonts w:hint="eastAsia" w:asciiTheme="minorEastAsia" w:hAnsiTheme="minorEastAsia" w:eastAsiaTheme="minorEastAsia" w:cstheme="minorEastAsia"/>
          <w:b/>
          <w:sz w:val="24"/>
          <w:szCs w:val="24"/>
        </w:rPr>
        <w:t>2.0.3</w:t>
      </w:r>
      <w:r>
        <w:rPr>
          <w:rFonts w:hint="eastAsia" w:asciiTheme="minorEastAsia" w:hAnsiTheme="minorEastAsia" w:eastAsiaTheme="minorEastAsia" w:cstheme="minorEastAsia"/>
          <w:sz w:val="24"/>
          <w:szCs w:val="24"/>
        </w:rPr>
        <w:t>　城市绿地开放共享　</w:t>
      </w:r>
      <w:r>
        <w:rPr>
          <w:rFonts w:asciiTheme="minorEastAsia" w:hAnsiTheme="minorEastAsia" w:eastAsiaTheme="minorEastAsia" w:cstheme="minorEastAsia"/>
          <w:sz w:val="24"/>
          <w:szCs w:val="24"/>
        </w:rPr>
        <w:t>u</w:t>
      </w:r>
      <w:r>
        <w:rPr>
          <w:rFonts w:hint="eastAsia" w:asciiTheme="minorEastAsia" w:hAnsiTheme="minorEastAsia" w:eastAsiaTheme="minorEastAsia" w:cstheme="minorEastAsia"/>
          <w:sz w:val="24"/>
          <w:szCs w:val="24"/>
        </w:rPr>
        <w:t xml:space="preserve">rban </w:t>
      </w:r>
      <w:r>
        <w:rPr>
          <w:rFonts w:asciiTheme="minorEastAsia" w:hAnsiTheme="minorEastAsia" w:eastAsiaTheme="minorEastAsia" w:cstheme="minorEastAsia"/>
          <w:sz w:val="24"/>
          <w:szCs w:val="24"/>
        </w:rPr>
        <w:t>g</w:t>
      </w:r>
      <w:r>
        <w:rPr>
          <w:rFonts w:hint="eastAsia" w:asciiTheme="minorEastAsia" w:hAnsiTheme="minorEastAsia" w:eastAsiaTheme="minorEastAsia" w:cstheme="minorEastAsia"/>
          <w:sz w:val="24"/>
          <w:szCs w:val="24"/>
        </w:rPr>
        <w:t xml:space="preserve">reen </w:t>
      </w:r>
      <w:r>
        <w:rPr>
          <w:rFonts w:asciiTheme="minorEastAsia" w:hAnsiTheme="minorEastAsia" w:eastAsiaTheme="minorEastAsia" w:cstheme="minorEastAsia"/>
          <w:sz w:val="24"/>
          <w:szCs w:val="24"/>
        </w:rPr>
        <w:t>s</w:t>
      </w:r>
      <w:r>
        <w:rPr>
          <w:rFonts w:hint="eastAsia" w:asciiTheme="minorEastAsia" w:hAnsiTheme="minorEastAsia" w:eastAsiaTheme="minorEastAsia" w:cstheme="minorEastAsia"/>
          <w:sz w:val="24"/>
          <w:szCs w:val="24"/>
        </w:rPr>
        <w:t xml:space="preserve">pace </w:t>
      </w:r>
      <w:r>
        <w:rPr>
          <w:rFonts w:asciiTheme="minorEastAsia" w:hAnsiTheme="minorEastAsia" w:eastAsiaTheme="minorEastAsia" w:cstheme="minorEastAsia"/>
          <w:sz w:val="24"/>
          <w:szCs w:val="24"/>
        </w:rPr>
        <w:t>o</w:t>
      </w:r>
      <w:r>
        <w:rPr>
          <w:rFonts w:hint="eastAsia" w:asciiTheme="minorEastAsia" w:hAnsiTheme="minorEastAsia" w:eastAsiaTheme="minorEastAsia" w:cstheme="minorEastAsia"/>
          <w:sz w:val="24"/>
          <w:szCs w:val="24"/>
        </w:rPr>
        <w:t xml:space="preserve">pening and </w:t>
      </w:r>
      <w:r>
        <w:rPr>
          <w:rFonts w:asciiTheme="minorEastAsia" w:hAnsiTheme="minorEastAsia" w:eastAsiaTheme="minorEastAsia" w:cstheme="minorEastAsia"/>
          <w:sz w:val="24"/>
          <w:szCs w:val="24"/>
        </w:rPr>
        <w:t>s</w:t>
      </w:r>
      <w:r>
        <w:rPr>
          <w:rFonts w:hint="eastAsia" w:asciiTheme="minorEastAsia" w:hAnsiTheme="minorEastAsia" w:eastAsiaTheme="minorEastAsia" w:cstheme="minorEastAsia"/>
          <w:sz w:val="24"/>
          <w:szCs w:val="24"/>
        </w:rPr>
        <w:t>haring</w:t>
      </w:r>
      <w:bookmarkEnd w:id="20"/>
    </w:p>
    <w:p w14:paraId="5F12174E">
      <w:pPr>
        <w:pStyle w:val="38"/>
        <w:outlineLvl w:val="9"/>
      </w:pPr>
      <w:bookmarkStart w:id="21" w:name="_Toc7545"/>
      <w:r>
        <w:rPr>
          <w:rFonts w:hint="eastAsia"/>
        </w:rPr>
        <w:t>既有城市绿地通过优化流线、完善设施、拓展服务等方式，实现公众自由进入和多元使用。</w:t>
      </w:r>
      <w:bookmarkEnd w:id="21"/>
    </w:p>
    <w:p w14:paraId="5414F968">
      <w:pPr>
        <w:spacing w:line="360" w:lineRule="auto"/>
        <w:rPr>
          <w:rFonts w:asciiTheme="minorEastAsia" w:hAnsiTheme="minorEastAsia" w:eastAsiaTheme="minorEastAsia" w:cstheme="minorEastAsia"/>
          <w:sz w:val="24"/>
          <w:szCs w:val="24"/>
        </w:rPr>
      </w:pPr>
      <w:bookmarkStart w:id="22" w:name="_Toc23312"/>
      <w:bookmarkStart w:id="23" w:name="_Toc25071"/>
      <w:bookmarkStart w:id="24" w:name="_Toc25331"/>
      <w:r>
        <w:rPr>
          <w:rFonts w:hint="eastAsia" w:asciiTheme="minorEastAsia" w:hAnsiTheme="minorEastAsia" w:eastAsiaTheme="minorEastAsia" w:cstheme="minorEastAsia"/>
          <w:b/>
          <w:sz w:val="24"/>
          <w:szCs w:val="24"/>
        </w:rPr>
        <w:t>2.0.4</w:t>
      </w:r>
      <w:r>
        <w:rPr>
          <w:rFonts w:hint="eastAsia" w:asciiTheme="minorEastAsia" w:hAnsiTheme="minorEastAsia" w:eastAsiaTheme="minorEastAsia" w:cstheme="minorEastAsia"/>
          <w:sz w:val="24"/>
          <w:szCs w:val="24"/>
        </w:rPr>
        <w:t>　全龄友好　all-age-friendly</w:t>
      </w:r>
      <w:bookmarkEnd w:id="22"/>
      <w:bookmarkEnd w:id="23"/>
      <w:bookmarkEnd w:id="24"/>
    </w:p>
    <w:p w14:paraId="43B0DE1A">
      <w:pPr>
        <w:spacing w:line="360" w:lineRule="auto"/>
        <w:ind w:firstLine="480" w:firstLineChars="200"/>
        <w:rPr>
          <w:rFonts w:asciiTheme="minorEastAsia" w:hAnsiTheme="minorEastAsia" w:eastAsiaTheme="minorEastAsia" w:cstheme="minorEastAsia"/>
          <w:sz w:val="24"/>
          <w:szCs w:val="24"/>
        </w:rPr>
      </w:pPr>
      <w:bookmarkStart w:id="25" w:name="_Toc8075"/>
      <w:r>
        <w:rPr>
          <w:rFonts w:hint="eastAsia" w:asciiTheme="minorEastAsia" w:hAnsiTheme="minorEastAsia" w:eastAsiaTheme="minorEastAsia" w:cstheme="minorEastAsia"/>
          <w:sz w:val="24"/>
          <w:szCs w:val="24"/>
        </w:rPr>
        <w:t>在空间或服务的设计与建设中，贯彻以人为本的理念，充分关照从儿童到老年人全年龄段，特别是老年人、儿童、残障人士等弱势群体的特殊生理与心理需求，因地制宜地营造健康、安全、舒适且充满关爱的高品质环境，旨在提升面向所有人的服务效能与使用体验。</w:t>
      </w:r>
      <w:bookmarkEnd w:id="25"/>
    </w:p>
    <w:p w14:paraId="734564AF">
      <w:pPr>
        <w:spacing w:line="360" w:lineRule="auto"/>
        <w:rPr>
          <w:rFonts w:asciiTheme="minorEastAsia" w:hAnsiTheme="minorEastAsia" w:eastAsiaTheme="minorEastAsia" w:cstheme="minorEastAsia"/>
          <w:sz w:val="24"/>
          <w:szCs w:val="24"/>
        </w:rPr>
      </w:pPr>
      <w:bookmarkStart w:id="26" w:name="_Toc23151"/>
      <w:r>
        <w:rPr>
          <w:rFonts w:hint="eastAsia" w:asciiTheme="minorEastAsia" w:hAnsiTheme="minorEastAsia" w:eastAsiaTheme="minorEastAsia" w:cstheme="minorEastAsia"/>
          <w:b/>
          <w:sz w:val="24"/>
          <w:szCs w:val="24"/>
        </w:rPr>
        <w:t>2.0.5</w:t>
      </w:r>
      <w:r>
        <w:rPr>
          <w:rFonts w:hint="eastAsia" w:asciiTheme="minorEastAsia" w:hAnsiTheme="minorEastAsia" w:eastAsiaTheme="minorEastAsia" w:cstheme="minorEastAsia"/>
          <w:sz w:val="24"/>
          <w:szCs w:val="24"/>
        </w:rPr>
        <w:t>　“公园+”　</w:t>
      </w:r>
      <w:r>
        <w:rPr>
          <w:rFonts w:asciiTheme="minorEastAsia" w:hAnsiTheme="minorEastAsia" w:eastAsiaTheme="minorEastAsia" w:cstheme="minorEastAsia"/>
          <w:sz w:val="24"/>
          <w:szCs w:val="24"/>
        </w:rPr>
        <w:t>p</w:t>
      </w:r>
      <w:r>
        <w:rPr>
          <w:rFonts w:hint="eastAsia" w:asciiTheme="minorEastAsia" w:hAnsiTheme="minorEastAsia" w:eastAsiaTheme="minorEastAsia" w:cstheme="minorEastAsia"/>
          <w:sz w:val="24"/>
          <w:szCs w:val="24"/>
        </w:rPr>
        <w:t xml:space="preserve">ublic </w:t>
      </w:r>
      <w:r>
        <w:rPr>
          <w:rFonts w:asciiTheme="minorEastAsia" w:hAnsiTheme="minorEastAsia" w:eastAsiaTheme="minorEastAsia" w:cstheme="minorEastAsia"/>
          <w:sz w:val="24"/>
          <w:szCs w:val="24"/>
        </w:rPr>
        <w:t>p</w:t>
      </w:r>
      <w:r>
        <w:rPr>
          <w:rFonts w:hint="eastAsia" w:asciiTheme="minorEastAsia" w:hAnsiTheme="minorEastAsia" w:eastAsiaTheme="minorEastAsia" w:cstheme="minorEastAsia"/>
          <w:sz w:val="24"/>
          <w:szCs w:val="24"/>
        </w:rPr>
        <w:t>ark+</w:t>
      </w:r>
      <w:bookmarkEnd w:id="26"/>
    </w:p>
    <w:p w14:paraId="4834743A">
      <w:pPr>
        <w:spacing w:line="360" w:lineRule="auto"/>
        <w:ind w:firstLine="480" w:firstLineChars="200"/>
        <w:rPr>
          <w:rFonts w:asciiTheme="minorEastAsia" w:hAnsiTheme="minorEastAsia" w:eastAsiaTheme="minorEastAsia" w:cstheme="minorEastAsia"/>
          <w:sz w:val="24"/>
          <w:szCs w:val="24"/>
        </w:rPr>
      </w:pPr>
      <w:bookmarkStart w:id="27" w:name="_Toc20618"/>
      <w:r>
        <w:rPr>
          <w:rFonts w:hint="eastAsia" w:asciiTheme="minorEastAsia" w:hAnsiTheme="minorEastAsia" w:eastAsiaTheme="minorEastAsia" w:cstheme="minorEastAsia"/>
          <w:sz w:val="24"/>
          <w:szCs w:val="24"/>
        </w:rPr>
        <w:t>将传统的公园功能与现代生活需求相结合，通过多元化的设计和应用，为市民提供更加丰富、便捷、舒适的公共休闲空间。其核心理念在于打破公园作为单一绿地空间的局限性，通过融入更多元化的元素和服务，让公园成为集生态、文化、休闲、娱乐、健康等功能于一体的综合性空间。</w:t>
      </w:r>
      <w:bookmarkEnd w:id="27"/>
    </w:p>
    <w:p w14:paraId="1F5BA938">
      <w:pPr>
        <w:spacing w:line="360" w:lineRule="auto"/>
        <w:rPr>
          <w:rFonts w:asciiTheme="minorEastAsia" w:hAnsiTheme="minorEastAsia" w:eastAsiaTheme="minorEastAsia" w:cstheme="minorEastAsia"/>
          <w:sz w:val="24"/>
          <w:szCs w:val="24"/>
        </w:rPr>
      </w:pPr>
      <w:bookmarkStart w:id="28" w:name="_Toc13327"/>
      <w:bookmarkStart w:id="29" w:name="_Toc7669"/>
      <w:bookmarkStart w:id="30" w:name="_Toc30184"/>
      <w:bookmarkStart w:id="31" w:name="_Toc2331"/>
      <w:bookmarkStart w:id="32" w:name="_Toc19067"/>
      <w:r>
        <w:rPr>
          <w:rFonts w:hint="eastAsia" w:asciiTheme="minorEastAsia" w:hAnsiTheme="minorEastAsia" w:eastAsiaTheme="minorEastAsia" w:cstheme="minorEastAsia"/>
          <w:b/>
          <w:sz w:val="24"/>
          <w:szCs w:val="24"/>
        </w:rPr>
        <w:t>2.0.6</w:t>
      </w:r>
      <w:r>
        <w:rPr>
          <w:rFonts w:hint="eastAsia" w:asciiTheme="minorEastAsia" w:hAnsiTheme="minorEastAsia" w:eastAsiaTheme="minorEastAsia" w:cstheme="minorEastAsia"/>
          <w:sz w:val="24"/>
          <w:szCs w:val="24"/>
        </w:rPr>
        <w:t>　防灾避险功能绿地　disaster-prevention green space</w:t>
      </w:r>
      <w:bookmarkEnd w:id="28"/>
      <w:bookmarkEnd w:id="29"/>
      <w:bookmarkEnd w:id="30"/>
    </w:p>
    <w:p w14:paraId="1A777C26">
      <w:pPr>
        <w:spacing w:line="360" w:lineRule="auto"/>
        <w:ind w:firstLine="480" w:firstLineChars="200"/>
        <w:rPr>
          <w:rFonts w:asciiTheme="minorEastAsia" w:hAnsiTheme="minorEastAsia" w:eastAsiaTheme="minorEastAsia" w:cstheme="minorEastAsia"/>
          <w:sz w:val="24"/>
          <w:szCs w:val="24"/>
        </w:rPr>
      </w:pPr>
      <w:bookmarkStart w:id="33" w:name="_Toc18799"/>
      <w:r>
        <w:rPr>
          <w:rFonts w:hint="eastAsia" w:asciiTheme="minorEastAsia" w:hAnsiTheme="minorEastAsia" w:eastAsiaTheme="minorEastAsia" w:cstheme="minorEastAsia"/>
          <w:sz w:val="24"/>
          <w:szCs w:val="24"/>
        </w:rPr>
        <w:t>在城市灾害发生时和灾后救援重建中，为居民提供疏散和安置场所的城市绿地。</w:t>
      </w:r>
      <w:bookmarkEnd w:id="33"/>
    </w:p>
    <w:p w14:paraId="74E2771F">
      <w:pPr>
        <w:spacing w:line="360" w:lineRule="auto"/>
        <w:rPr>
          <w:rFonts w:asciiTheme="minorEastAsia" w:hAnsiTheme="minorEastAsia" w:eastAsiaTheme="minorEastAsia" w:cstheme="minorEastAsia"/>
          <w:sz w:val="24"/>
          <w:szCs w:val="24"/>
        </w:rPr>
      </w:pPr>
      <w:bookmarkStart w:id="34" w:name="_Toc21809"/>
      <w:r>
        <w:rPr>
          <w:rFonts w:hint="eastAsia" w:asciiTheme="minorEastAsia" w:hAnsiTheme="minorEastAsia" w:eastAsiaTheme="minorEastAsia" w:cstheme="minorEastAsia"/>
          <w:b/>
          <w:sz w:val="24"/>
          <w:szCs w:val="24"/>
        </w:rPr>
        <w:t>2.0.7</w:t>
      </w:r>
      <w:r>
        <w:rPr>
          <w:rFonts w:hint="eastAsia" w:asciiTheme="minorEastAsia" w:hAnsiTheme="minorEastAsia" w:eastAsiaTheme="minorEastAsia" w:cstheme="minorEastAsia"/>
          <w:sz w:val="24"/>
          <w:szCs w:val="24"/>
        </w:rPr>
        <w:t>　广场用地　</w:t>
      </w:r>
      <w:r>
        <w:rPr>
          <w:rFonts w:asciiTheme="minorEastAsia" w:hAnsiTheme="minorEastAsia" w:eastAsiaTheme="minorEastAsia" w:cstheme="minorEastAsia"/>
          <w:sz w:val="24"/>
          <w:szCs w:val="24"/>
        </w:rPr>
        <w:t>s</w:t>
      </w:r>
      <w:r>
        <w:rPr>
          <w:rFonts w:hint="eastAsia" w:asciiTheme="minorEastAsia" w:hAnsiTheme="minorEastAsia" w:eastAsiaTheme="minorEastAsia" w:cstheme="minorEastAsia"/>
          <w:sz w:val="24"/>
          <w:szCs w:val="24"/>
        </w:rPr>
        <w:t xml:space="preserve">quare </w:t>
      </w:r>
      <w:bookmarkEnd w:id="34"/>
      <w:r>
        <w:rPr>
          <w:rFonts w:asciiTheme="minorEastAsia" w:hAnsiTheme="minorEastAsia" w:eastAsiaTheme="minorEastAsia" w:cstheme="minorEastAsia"/>
          <w:sz w:val="24"/>
          <w:szCs w:val="24"/>
        </w:rPr>
        <w:t>l</w:t>
      </w:r>
      <w:r>
        <w:rPr>
          <w:rFonts w:hint="eastAsia" w:asciiTheme="minorEastAsia" w:hAnsiTheme="minorEastAsia" w:eastAsiaTheme="minorEastAsia" w:cstheme="minorEastAsia"/>
          <w:sz w:val="24"/>
          <w:szCs w:val="24"/>
        </w:rPr>
        <w:t>and</w:t>
      </w:r>
    </w:p>
    <w:p w14:paraId="2F00DEBE">
      <w:pPr>
        <w:spacing w:line="360" w:lineRule="auto"/>
        <w:ind w:firstLine="480" w:firstLineChars="200"/>
        <w:rPr>
          <w:rFonts w:asciiTheme="minorEastAsia" w:hAnsiTheme="minorEastAsia" w:eastAsiaTheme="minorEastAsia" w:cstheme="minorEastAsia"/>
          <w:sz w:val="24"/>
          <w:szCs w:val="24"/>
        </w:rPr>
      </w:pPr>
      <w:bookmarkStart w:id="35" w:name="_Toc27445"/>
      <w:r>
        <w:rPr>
          <w:rFonts w:hint="eastAsia" w:asciiTheme="minorEastAsia" w:hAnsiTheme="minorEastAsia" w:eastAsiaTheme="minorEastAsia" w:cstheme="minorEastAsia"/>
          <w:sz w:val="24"/>
          <w:szCs w:val="24"/>
        </w:rPr>
        <w:t>以游憩、纪念、集会和避险功能为主的公共活动场地。</w:t>
      </w:r>
      <w:bookmarkEnd w:id="35"/>
    </w:p>
    <w:bookmarkEnd w:id="31"/>
    <w:bookmarkEnd w:id="32"/>
    <w:p w14:paraId="4F6DE9E0">
      <w:pPr>
        <w:spacing w:line="360" w:lineRule="auto"/>
        <w:rPr>
          <w:rFonts w:asciiTheme="minorEastAsia" w:hAnsiTheme="minorEastAsia" w:eastAsiaTheme="minorEastAsia" w:cstheme="minorEastAsia"/>
          <w:sz w:val="24"/>
          <w:szCs w:val="24"/>
        </w:rPr>
      </w:pPr>
      <w:bookmarkStart w:id="36" w:name="_Toc10690"/>
      <w:bookmarkStart w:id="37" w:name="_Toc26241"/>
      <w:bookmarkStart w:id="38" w:name="_Toc24806"/>
      <w:r>
        <w:rPr>
          <w:rFonts w:hint="eastAsia" w:asciiTheme="minorEastAsia" w:hAnsiTheme="minorEastAsia" w:eastAsiaTheme="minorEastAsia" w:cstheme="minorEastAsia"/>
          <w:b/>
          <w:sz w:val="24"/>
          <w:szCs w:val="24"/>
        </w:rPr>
        <w:t>2.0.8</w:t>
      </w:r>
      <w:r>
        <w:rPr>
          <w:rFonts w:hint="eastAsia" w:asciiTheme="minorEastAsia" w:hAnsiTheme="minorEastAsia" w:eastAsiaTheme="minorEastAsia" w:cstheme="minorEastAsia"/>
          <w:sz w:val="24"/>
          <w:szCs w:val="24"/>
        </w:rPr>
        <w:t>　近自然植物群落　close-to-nature plant community</w:t>
      </w:r>
      <w:bookmarkEnd w:id="36"/>
      <w:bookmarkEnd w:id="37"/>
      <w:bookmarkEnd w:id="38"/>
    </w:p>
    <w:p w14:paraId="46B221D2">
      <w:pPr>
        <w:spacing w:line="360" w:lineRule="auto"/>
        <w:ind w:firstLine="480" w:firstLineChars="200"/>
        <w:rPr>
          <w:rFonts w:asciiTheme="minorEastAsia" w:hAnsiTheme="minorEastAsia" w:eastAsiaTheme="minorEastAsia" w:cstheme="minorEastAsia"/>
          <w:sz w:val="24"/>
          <w:szCs w:val="24"/>
        </w:rPr>
      </w:pPr>
      <w:bookmarkStart w:id="39" w:name="_Toc16648"/>
      <w:r>
        <w:rPr>
          <w:rFonts w:hint="eastAsia" w:asciiTheme="minorEastAsia" w:hAnsiTheme="minorEastAsia" w:eastAsiaTheme="minorEastAsia" w:cstheme="minorEastAsia"/>
          <w:sz w:val="24"/>
          <w:szCs w:val="24"/>
        </w:rPr>
        <w:t>通过研究分析某地区自然群落的基本类型、层次结构，进而借鉴、模拟形成的人工植物群落。</w:t>
      </w:r>
      <w:bookmarkEnd w:id="39"/>
    </w:p>
    <w:p w14:paraId="3AC86143">
      <w:pPr>
        <w:spacing w:line="360" w:lineRule="auto"/>
        <w:rPr>
          <w:rFonts w:asciiTheme="minorEastAsia" w:hAnsiTheme="minorEastAsia" w:eastAsiaTheme="minorEastAsia" w:cstheme="minorEastAsia"/>
          <w:sz w:val="24"/>
          <w:szCs w:val="24"/>
        </w:rPr>
      </w:pPr>
      <w:bookmarkStart w:id="40" w:name="_Toc32475"/>
      <w:r>
        <w:rPr>
          <w:rFonts w:hint="eastAsia" w:asciiTheme="minorEastAsia" w:hAnsiTheme="minorEastAsia" w:eastAsiaTheme="minorEastAsia" w:cstheme="minorEastAsia"/>
          <w:b/>
          <w:sz w:val="24"/>
          <w:szCs w:val="24"/>
        </w:rPr>
        <w:t>2.0.9</w:t>
      </w:r>
      <w:r>
        <w:rPr>
          <w:rFonts w:hint="eastAsia" w:asciiTheme="minorEastAsia" w:hAnsiTheme="minorEastAsia" w:eastAsiaTheme="minorEastAsia" w:cstheme="minorEastAsia"/>
          <w:sz w:val="24"/>
          <w:szCs w:val="24"/>
        </w:rPr>
        <w:t>　城市棕地　</w:t>
      </w:r>
      <w:r>
        <w:rPr>
          <w:rFonts w:asciiTheme="minorEastAsia" w:hAnsiTheme="minorEastAsia" w:eastAsiaTheme="minorEastAsia" w:cstheme="minorEastAsia"/>
          <w:sz w:val="24"/>
          <w:szCs w:val="24"/>
        </w:rPr>
        <w:t>u</w:t>
      </w:r>
      <w:r>
        <w:rPr>
          <w:rFonts w:hint="eastAsia" w:asciiTheme="minorEastAsia" w:hAnsiTheme="minorEastAsia" w:eastAsiaTheme="minorEastAsia" w:cstheme="minorEastAsia"/>
          <w:sz w:val="24"/>
          <w:szCs w:val="24"/>
        </w:rPr>
        <w:t>rban brownfield</w:t>
      </w:r>
      <w:bookmarkEnd w:id="40"/>
    </w:p>
    <w:p w14:paraId="3448175D">
      <w:pPr>
        <w:spacing w:line="360" w:lineRule="auto"/>
        <w:ind w:firstLine="480" w:firstLineChars="200"/>
        <w:rPr>
          <w:rFonts w:asciiTheme="minorEastAsia" w:hAnsiTheme="minorEastAsia" w:eastAsiaTheme="minorEastAsia" w:cstheme="minorEastAsia"/>
          <w:sz w:val="24"/>
          <w:szCs w:val="24"/>
        </w:rPr>
      </w:pPr>
      <w:bookmarkStart w:id="41" w:name="_Toc1303"/>
      <w:r>
        <w:rPr>
          <w:rFonts w:hint="eastAsia" w:asciiTheme="minorEastAsia" w:hAnsiTheme="minorEastAsia" w:eastAsiaTheme="minorEastAsia" w:cstheme="minorEastAsia"/>
          <w:sz w:val="24"/>
          <w:szCs w:val="24"/>
        </w:rPr>
        <w:t>在城市内部，因曾经被工业、商业或其它设施占用而受到或可能受到污染、闲置或未充分利用的土地及地上建筑物。</w:t>
      </w:r>
      <w:bookmarkEnd w:id="41"/>
    </w:p>
    <w:p w14:paraId="4CB52453">
      <w:pPr>
        <w:spacing w:line="360" w:lineRule="auto"/>
        <w:rPr>
          <w:rFonts w:asciiTheme="minorEastAsia" w:hAnsiTheme="minorEastAsia" w:eastAsiaTheme="minorEastAsia" w:cstheme="minorEastAsia"/>
          <w:sz w:val="24"/>
          <w:szCs w:val="24"/>
        </w:rPr>
      </w:pPr>
      <w:bookmarkStart w:id="42" w:name="_Toc31607"/>
      <w:r>
        <w:rPr>
          <w:rFonts w:hint="eastAsia" w:asciiTheme="minorEastAsia" w:hAnsiTheme="minorEastAsia" w:eastAsiaTheme="minorEastAsia" w:cstheme="minorEastAsia"/>
          <w:b/>
          <w:sz w:val="24"/>
          <w:szCs w:val="24"/>
        </w:rPr>
        <w:t>2.0.10</w:t>
      </w:r>
      <w:r>
        <w:rPr>
          <w:rFonts w:hint="eastAsia" w:asciiTheme="minorEastAsia" w:hAnsiTheme="minorEastAsia" w:eastAsiaTheme="minorEastAsia" w:cstheme="minorEastAsia"/>
          <w:sz w:val="24"/>
          <w:szCs w:val="24"/>
        </w:rPr>
        <w:t>　</w:t>
      </w:r>
      <w:r>
        <w:rPr>
          <w:rFonts w:hint="eastAsia" w:cs="Segoe UI" w:asciiTheme="minorEastAsia" w:hAnsiTheme="minorEastAsia" w:eastAsiaTheme="minorEastAsia"/>
          <w:color w:val="0F1115"/>
          <w:sz w:val="24"/>
          <w:szCs w:val="24"/>
          <w:shd w:val="clear" w:color="auto" w:fill="FFFFFF"/>
        </w:rPr>
        <w:t>生态廊道</w:t>
      </w:r>
      <w:r>
        <w:rPr>
          <w:rFonts w:hint="eastAsia" w:asciiTheme="minorEastAsia" w:hAnsiTheme="minorEastAsia" w:eastAsiaTheme="minorEastAsia" w:cstheme="minorEastAsia"/>
          <w:sz w:val="24"/>
          <w:szCs w:val="24"/>
        </w:rPr>
        <w:t>　</w:t>
      </w:r>
      <w:r>
        <w:rPr>
          <w:rFonts w:asciiTheme="minorEastAsia" w:hAnsiTheme="minorEastAsia" w:eastAsiaTheme="minorEastAsia" w:cstheme="minorEastAsia"/>
          <w:sz w:val="24"/>
          <w:szCs w:val="24"/>
        </w:rPr>
        <w:t>e</w:t>
      </w:r>
      <w:r>
        <w:rPr>
          <w:rFonts w:hint="eastAsia" w:asciiTheme="minorEastAsia" w:hAnsiTheme="minorEastAsia" w:eastAsiaTheme="minorEastAsia" w:cstheme="minorEastAsia"/>
          <w:sz w:val="24"/>
          <w:szCs w:val="24"/>
        </w:rPr>
        <w:t xml:space="preserve">cological </w:t>
      </w:r>
      <w:r>
        <w:rPr>
          <w:rFonts w:asciiTheme="minorEastAsia" w:hAnsiTheme="minorEastAsia" w:eastAsiaTheme="minorEastAsia" w:cstheme="minorEastAsia"/>
          <w:sz w:val="24"/>
          <w:szCs w:val="24"/>
        </w:rPr>
        <w:t>c</w:t>
      </w:r>
      <w:r>
        <w:rPr>
          <w:rFonts w:hint="eastAsia" w:asciiTheme="minorEastAsia" w:hAnsiTheme="minorEastAsia" w:eastAsiaTheme="minorEastAsia" w:cstheme="minorEastAsia"/>
          <w:sz w:val="24"/>
          <w:szCs w:val="24"/>
        </w:rPr>
        <w:t>orridor</w:t>
      </w:r>
      <w:bookmarkEnd w:id="42"/>
    </w:p>
    <w:p w14:paraId="5C3F6050">
      <w:pPr>
        <w:spacing w:line="360" w:lineRule="auto"/>
        <w:ind w:firstLine="480" w:firstLineChars="200"/>
        <w:rPr>
          <w:rFonts w:asciiTheme="minorEastAsia" w:hAnsiTheme="minorEastAsia" w:eastAsiaTheme="minorEastAsia" w:cstheme="minorEastAsia"/>
          <w:sz w:val="24"/>
          <w:szCs w:val="24"/>
        </w:rPr>
      </w:pPr>
      <w:bookmarkStart w:id="43" w:name="_Toc25741"/>
      <w:r>
        <w:rPr>
          <w:rFonts w:hint="eastAsia" w:asciiTheme="minorEastAsia" w:hAnsiTheme="minorEastAsia" w:eastAsiaTheme="minorEastAsia" w:cstheme="minorEastAsia"/>
          <w:sz w:val="24"/>
          <w:szCs w:val="24"/>
        </w:rPr>
        <w:t>由植被、水体等生态性结构要素构成的，具有保护生物多样性、过滤污染物、防止水土流失、防风固沙、调控洪水等生态服务功能的线型空间。</w:t>
      </w:r>
      <w:bookmarkEnd w:id="43"/>
    </w:p>
    <w:p w14:paraId="469A0BA0">
      <w:pPr>
        <w:widowControl/>
        <w:jc w:val="left"/>
        <w:rPr>
          <w:rFonts w:asciiTheme="minorEastAsia" w:hAnsiTheme="minorEastAsia" w:eastAsiaTheme="minorEastAsia" w:cstheme="minorEastAsia"/>
          <w:b/>
          <w:bCs/>
          <w:sz w:val="30"/>
          <w:szCs w:val="30"/>
        </w:rPr>
      </w:pPr>
      <w:bookmarkStart w:id="44" w:name="_Toc5315"/>
      <w:bookmarkStart w:id="45" w:name="_Toc26395"/>
      <w:r>
        <w:rPr>
          <w:rFonts w:hint="eastAsia" w:asciiTheme="minorEastAsia" w:hAnsiTheme="minorEastAsia" w:eastAsiaTheme="minorEastAsia" w:cstheme="minorEastAsia"/>
          <w:b/>
          <w:bCs/>
          <w:sz w:val="30"/>
          <w:szCs w:val="30"/>
        </w:rPr>
        <w:br w:type="page"/>
      </w:r>
    </w:p>
    <w:p w14:paraId="1EBCC3D5">
      <w:pPr>
        <w:pStyle w:val="34"/>
      </w:pPr>
      <w:bookmarkStart w:id="46" w:name="_Toc20056"/>
      <w:bookmarkStart w:id="47" w:name="_Toc22086"/>
      <w:r>
        <w:rPr>
          <w:rFonts w:hint="eastAsia"/>
        </w:rPr>
        <w:t>3　基本规定</w:t>
      </w:r>
      <w:bookmarkEnd w:id="44"/>
      <w:bookmarkEnd w:id="45"/>
      <w:bookmarkEnd w:id="46"/>
      <w:bookmarkEnd w:id="47"/>
    </w:p>
    <w:p w14:paraId="510D510A">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3.0.1</w:t>
      </w:r>
      <w:r>
        <w:rPr>
          <w:rFonts w:hint="eastAsia" w:asciiTheme="minorEastAsia" w:hAnsiTheme="minorEastAsia" w:eastAsiaTheme="minorEastAsia" w:cstheme="minorEastAsia"/>
          <w:sz w:val="24"/>
          <w:szCs w:val="24"/>
        </w:rPr>
        <w:t>　</w:t>
      </w:r>
      <w:r>
        <w:rPr>
          <w:rFonts w:cs="Segoe UI" w:asciiTheme="minorEastAsia" w:hAnsiTheme="minorEastAsia" w:eastAsiaTheme="minorEastAsia"/>
          <w:color w:val="0F1115"/>
          <w:sz w:val="24"/>
          <w:szCs w:val="24"/>
          <w:shd w:val="clear" w:color="auto" w:fill="FFFFFF"/>
        </w:rPr>
        <w:t>城市绿地设计应贯彻国家关于城市更新、绿色发展、历史文化保护等战略要求，统筹新建与既有绿地的更新改造，推动绿地与城市空间融合、功能复合、低碳韧性发展。</w:t>
      </w:r>
    </w:p>
    <w:p w14:paraId="73A4EB8B">
      <w:pPr>
        <w:spacing w:line="360" w:lineRule="auto"/>
        <w:rPr>
          <w:rFonts w:asciiTheme="minorEastAsia" w:hAnsiTheme="minorEastAsia" w:eastAsiaTheme="minorEastAsia" w:cstheme="minorEastAsia"/>
          <w:sz w:val="24"/>
          <w:szCs w:val="24"/>
          <w:lang w:bidi="ar"/>
        </w:rPr>
      </w:pPr>
      <w:r>
        <w:rPr>
          <w:rFonts w:hint="eastAsia" w:asciiTheme="minorEastAsia" w:hAnsiTheme="minorEastAsia" w:eastAsiaTheme="minorEastAsia" w:cstheme="minorEastAsia"/>
          <w:b/>
          <w:sz w:val="24"/>
          <w:szCs w:val="24"/>
          <w:lang w:bidi="ar"/>
        </w:rPr>
        <w:t>3.0</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lang w:bidi="ar"/>
        </w:rPr>
        <w:t>2</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bidi="ar"/>
        </w:rPr>
        <w:t>城市绿地设计应以批准的国土空间总体规划、国土空间详细规划、绿地系统规划等上位规划为依据，明确绿地的范围和性质，并应</w:t>
      </w:r>
      <w:r>
        <w:rPr>
          <w:rFonts w:cs="Segoe UI" w:asciiTheme="minorEastAsia" w:hAnsiTheme="minorEastAsia" w:eastAsiaTheme="minorEastAsia"/>
          <w:color w:val="0F1115"/>
          <w:sz w:val="24"/>
          <w:szCs w:val="24"/>
          <w:shd w:val="clear" w:color="auto" w:fill="FFFFFF"/>
        </w:rPr>
        <w:t>结合城市更新、历史文化保护、开放共享等政策导向，进行各阶段设计。</w:t>
      </w:r>
    </w:p>
    <w:p w14:paraId="32311D70">
      <w:pPr>
        <w:spacing w:line="360" w:lineRule="auto"/>
        <w:rPr>
          <w:rFonts w:asciiTheme="minorEastAsia" w:hAnsiTheme="minorEastAsia" w:eastAsiaTheme="minorEastAsia" w:cstheme="minorEastAsia"/>
          <w:sz w:val="24"/>
          <w:szCs w:val="24"/>
          <w:lang w:bidi="ar"/>
        </w:rPr>
      </w:pPr>
      <w:r>
        <w:rPr>
          <w:rFonts w:hint="eastAsia" w:asciiTheme="minorEastAsia" w:hAnsiTheme="minorEastAsia" w:eastAsiaTheme="minorEastAsia" w:cstheme="minorEastAsia"/>
          <w:b/>
          <w:sz w:val="24"/>
          <w:szCs w:val="24"/>
          <w:lang w:bidi="ar"/>
        </w:rPr>
        <w:t>3.0.3</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bidi="ar"/>
        </w:rPr>
        <w:t>城市绿地设计应综合考虑多功能的协同叠加，平衡生态、景观、游憩、防灾等功能，避免单一化设计。</w:t>
      </w:r>
    </w:p>
    <w:p w14:paraId="2EA09D44">
      <w:pPr>
        <w:spacing w:line="360" w:lineRule="auto"/>
        <w:rPr>
          <w:rFonts w:asciiTheme="minorEastAsia" w:hAnsiTheme="minorEastAsia" w:eastAsiaTheme="minorEastAsia" w:cstheme="minorEastAsia"/>
          <w:sz w:val="24"/>
          <w:szCs w:val="24"/>
          <w:lang w:bidi="ar"/>
        </w:rPr>
      </w:pPr>
      <w:r>
        <w:rPr>
          <w:rFonts w:hint="eastAsia" w:asciiTheme="minorEastAsia" w:hAnsiTheme="minorEastAsia" w:eastAsiaTheme="minorEastAsia" w:cstheme="minorEastAsia"/>
          <w:b/>
          <w:sz w:val="24"/>
          <w:szCs w:val="24"/>
          <w:lang w:bidi="ar"/>
        </w:rPr>
        <w:t>3.0.4</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bidi="ar"/>
        </w:rPr>
        <w:t>城市绿地设计应注重社会需求，提升公众参与感和生态科普价值。</w:t>
      </w:r>
    </w:p>
    <w:p w14:paraId="04840A2D">
      <w:pPr>
        <w:spacing w:line="360" w:lineRule="auto"/>
      </w:pPr>
      <w:r>
        <w:rPr>
          <w:rFonts w:hint="eastAsia" w:asciiTheme="minorEastAsia" w:hAnsiTheme="minorEastAsia" w:eastAsiaTheme="minorEastAsia" w:cstheme="minorEastAsia"/>
          <w:b/>
          <w:sz w:val="24"/>
          <w:szCs w:val="24"/>
          <w:lang w:bidi="ar"/>
        </w:rPr>
        <w:t>3.0.5</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bidi="ar"/>
        </w:rPr>
        <w:t>应增强城乡绿地的系统性、连通性、协同性，应充分利用城市棕地、废弃地、闲置地等潜在绿化空间</w:t>
      </w:r>
      <w:r>
        <w:rPr>
          <w:rFonts w:cs="Segoe UI" w:asciiTheme="minorEastAsia" w:hAnsiTheme="minorEastAsia" w:eastAsiaTheme="minorEastAsia"/>
          <w:color w:val="0F1115"/>
          <w:sz w:val="24"/>
          <w:szCs w:val="24"/>
          <w:shd w:val="clear" w:color="auto" w:fill="FFFFFF"/>
        </w:rPr>
        <w:t>。</w:t>
      </w:r>
    </w:p>
    <w:p w14:paraId="2A080E91">
      <w:pPr>
        <w:spacing w:line="360" w:lineRule="auto"/>
        <w:jc w:val="left"/>
        <w:rPr>
          <w:rFonts w:asciiTheme="minorEastAsia" w:hAnsiTheme="minorEastAsia" w:eastAsiaTheme="minorEastAsia" w:cstheme="minorEastAsia"/>
          <w:b/>
          <w:bCs/>
          <w:sz w:val="30"/>
          <w:szCs w:val="30"/>
        </w:rPr>
      </w:pPr>
      <w:bookmarkStart w:id="48" w:name="_Toc6831"/>
      <w:r>
        <w:rPr>
          <w:rFonts w:hint="eastAsia" w:asciiTheme="minorEastAsia" w:hAnsiTheme="minorEastAsia" w:eastAsiaTheme="minorEastAsia" w:cstheme="minorEastAsia"/>
          <w:b/>
          <w:sz w:val="24"/>
          <w:szCs w:val="24"/>
          <w:lang w:bidi="ar"/>
        </w:rPr>
        <w:t>3.0.6</w:t>
      </w:r>
      <w:r>
        <w:rPr>
          <w:rFonts w:hint="eastAsia" w:asciiTheme="minorEastAsia" w:hAnsiTheme="minorEastAsia" w:eastAsiaTheme="minorEastAsia" w:cstheme="minorEastAsia"/>
          <w:sz w:val="24"/>
          <w:szCs w:val="24"/>
        </w:rPr>
        <w:t>　城市绿地设计</w:t>
      </w:r>
      <w:r>
        <w:rPr>
          <w:rFonts w:hint="eastAsia" w:asciiTheme="minorEastAsia" w:hAnsiTheme="minorEastAsia" w:eastAsiaTheme="minorEastAsia" w:cstheme="minorEastAsia"/>
          <w:sz w:val="24"/>
          <w:szCs w:val="24"/>
          <w:lang w:bidi="ar"/>
        </w:rPr>
        <w:t>应根据绿地的新建、扩建和更新要求进行现状及使用需求调研。</w:t>
      </w:r>
      <w:r>
        <w:rPr>
          <w:rStyle w:val="25"/>
          <w:rFonts w:hint="eastAsia" w:cs="Segoe UI" w:asciiTheme="minorEastAsia" w:hAnsiTheme="minorEastAsia" w:eastAsiaTheme="minorEastAsia"/>
          <w:b w:val="0"/>
          <w:color w:val="0F1115"/>
          <w:sz w:val="24"/>
          <w:szCs w:val="24"/>
          <w:shd w:val="clear" w:color="auto" w:fill="FFFFFF"/>
        </w:rPr>
        <w:t>既有绿地更新改造前应进行体检评估，依据评估结果确定设计策略。</w:t>
      </w:r>
    </w:p>
    <w:p w14:paraId="7B1670AA">
      <w:pPr>
        <w:widowControl/>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bidi="ar"/>
        </w:rPr>
        <w:t>3.0.7</w:t>
      </w:r>
      <w:r>
        <w:rPr>
          <w:rFonts w:hint="eastAsia" w:asciiTheme="minorEastAsia" w:hAnsiTheme="minorEastAsia" w:eastAsiaTheme="minorEastAsia" w:cstheme="minorEastAsia"/>
          <w:sz w:val="24"/>
          <w:szCs w:val="24"/>
        </w:rPr>
        <w:t>　城市绿地设计应与周围的环境协调统一，并根据基地的实际情况，对现状地形、水系、植被、建（构）筑物等要素的保护、利用和更新改造提出相应的措施。</w:t>
      </w:r>
    </w:p>
    <w:p w14:paraId="611524D6">
      <w:pPr>
        <w:spacing w:line="360" w:lineRule="auto"/>
        <w:rPr>
          <w:rFonts w:asciiTheme="minorEastAsia" w:hAnsiTheme="minorEastAsia" w:eastAsiaTheme="minorEastAsia" w:cstheme="minorEastAsia"/>
          <w:sz w:val="24"/>
          <w:szCs w:val="24"/>
          <w:lang w:bidi="ar"/>
        </w:rPr>
      </w:pPr>
      <w:r>
        <w:rPr>
          <w:rFonts w:hint="eastAsia" w:asciiTheme="minorEastAsia" w:hAnsiTheme="minorEastAsia" w:eastAsiaTheme="minorEastAsia" w:cstheme="minorEastAsia"/>
          <w:b/>
          <w:sz w:val="24"/>
          <w:szCs w:val="24"/>
          <w:lang w:bidi="ar"/>
        </w:rPr>
        <w:t>3.0.8</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bidi="ar"/>
        </w:rPr>
        <w:t>城市绿地内相关配套建筑及设施的设计风格和布局应与周围环境相协调，不应破坏绿地的整体景观风貌特色。</w:t>
      </w:r>
    </w:p>
    <w:p w14:paraId="3D090DF7">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bidi="ar"/>
        </w:rPr>
        <w:t>3.0.9</w:t>
      </w:r>
      <w:r>
        <w:rPr>
          <w:rFonts w:hint="eastAsia" w:asciiTheme="minorEastAsia" w:hAnsiTheme="minorEastAsia" w:eastAsiaTheme="minorEastAsia" w:cstheme="minorEastAsia"/>
          <w:sz w:val="24"/>
          <w:szCs w:val="24"/>
        </w:rPr>
        <w:t>　城市绿地设计宜选用可循环利用的环保材料；应采取节约措施，宜充分利用太阳能、风能，以及雨水等资源。</w:t>
      </w:r>
    </w:p>
    <w:p w14:paraId="0A24C616">
      <w:pPr>
        <w:widowControl/>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bidi="ar"/>
        </w:rPr>
        <w:t>3.0.10</w:t>
      </w:r>
      <w:r>
        <w:rPr>
          <w:rFonts w:hint="eastAsia" w:asciiTheme="minorEastAsia" w:hAnsiTheme="minorEastAsia" w:eastAsiaTheme="minorEastAsia" w:cstheme="minorEastAsia"/>
          <w:sz w:val="24"/>
          <w:szCs w:val="24"/>
        </w:rPr>
        <w:t>　各类城市绿地内不得布置与管理、游憩、服务功能无关的建筑。</w:t>
      </w:r>
    </w:p>
    <w:p w14:paraId="652ED0E9">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bidi="ar"/>
        </w:rPr>
        <w:t>3.0.11</w:t>
      </w:r>
      <w:r>
        <w:rPr>
          <w:rFonts w:hint="eastAsia" w:asciiTheme="minorEastAsia" w:hAnsiTheme="minorEastAsia" w:eastAsiaTheme="minorEastAsia" w:cstheme="minorEastAsia"/>
          <w:sz w:val="24"/>
          <w:szCs w:val="24"/>
        </w:rPr>
        <w:t>　城市绿地智能化基础设施系统建设应对接城市绿地建设规划，同步设计、同步建设、同步验收和交付，为“智慧城市”预留标准接口。</w:t>
      </w:r>
    </w:p>
    <w:bookmarkEnd w:id="9"/>
    <w:bookmarkEnd w:id="48"/>
    <w:p w14:paraId="42047CF5">
      <w:pPr>
        <w:widowControl/>
        <w:jc w:val="left"/>
        <w:rPr>
          <w:rFonts w:asciiTheme="minorEastAsia" w:hAnsiTheme="minorEastAsia" w:eastAsiaTheme="minorEastAsia" w:cstheme="minorEastAsia"/>
          <w:b/>
          <w:bCs/>
          <w:sz w:val="24"/>
          <w:szCs w:val="24"/>
        </w:rPr>
      </w:pPr>
      <w:bookmarkStart w:id="49" w:name="_Toc7478"/>
      <w:bookmarkStart w:id="50" w:name="_Toc27728"/>
      <w:bookmarkStart w:id="51" w:name="_Toc4795"/>
      <w:bookmarkStart w:id="52" w:name="_Toc25653"/>
      <w:bookmarkStart w:id="53" w:name="_Toc1861"/>
      <w:r>
        <w:rPr>
          <w:rFonts w:hint="eastAsia" w:asciiTheme="minorEastAsia" w:hAnsiTheme="minorEastAsia" w:eastAsiaTheme="minorEastAsia" w:cstheme="minorEastAsia"/>
          <w:b/>
          <w:bCs/>
          <w:sz w:val="24"/>
          <w:szCs w:val="24"/>
        </w:rPr>
        <w:br w:type="page"/>
      </w:r>
    </w:p>
    <w:bookmarkEnd w:id="49"/>
    <w:bookmarkEnd w:id="50"/>
    <w:bookmarkEnd w:id="51"/>
    <w:bookmarkEnd w:id="52"/>
    <w:bookmarkEnd w:id="53"/>
    <w:p w14:paraId="413A9187">
      <w:pPr>
        <w:pStyle w:val="34"/>
      </w:pPr>
      <w:bookmarkStart w:id="54" w:name="_Toc7713"/>
      <w:bookmarkStart w:id="55" w:name="_Toc26449"/>
      <w:r>
        <w:rPr>
          <w:rFonts w:hint="eastAsia"/>
        </w:rPr>
        <w:t>4　公园绿地</w:t>
      </w:r>
      <w:bookmarkEnd w:id="54"/>
      <w:bookmarkEnd w:id="55"/>
    </w:p>
    <w:p w14:paraId="7EEDCFAA">
      <w:pPr>
        <w:pStyle w:val="40"/>
        <w:outlineLvl w:val="1"/>
        <w:rPr>
          <w:b w:val="0"/>
        </w:rPr>
      </w:pPr>
      <w:bookmarkStart w:id="56" w:name="_Toc12059"/>
      <w:bookmarkStart w:id="57" w:name="_Toc8877"/>
      <w:bookmarkStart w:id="58" w:name="_Toc18642"/>
      <w:bookmarkStart w:id="59" w:name="_Toc7400"/>
      <w:r>
        <w:rPr>
          <w:rFonts w:hint="eastAsia"/>
          <w:b w:val="0"/>
        </w:rPr>
        <w:t>4.1　一般规定</w:t>
      </w:r>
      <w:bookmarkEnd w:id="56"/>
      <w:bookmarkEnd w:id="57"/>
    </w:p>
    <w:p w14:paraId="0444B4FB">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4.1.1</w:t>
      </w:r>
      <w:r>
        <w:rPr>
          <w:rFonts w:hint="eastAsia" w:asciiTheme="minorEastAsia" w:hAnsiTheme="minorEastAsia" w:eastAsiaTheme="minorEastAsia" w:cstheme="minorEastAsia"/>
          <w:sz w:val="24"/>
          <w:szCs w:val="24"/>
        </w:rPr>
        <w:t>　公园绿地可分为综合公园、社区公园、专类公园和游园</w:t>
      </w:r>
      <w:r>
        <w:rPr>
          <w:rFonts w:hint="eastAsia" w:asciiTheme="minorEastAsia" w:hAnsiTheme="minorEastAsia" w:eastAsiaTheme="minorEastAsia" w:cstheme="minorEastAsia"/>
          <w:sz w:val="24"/>
          <w:szCs w:val="24"/>
          <w:lang w:eastAsia="zh-Hans"/>
        </w:rPr>
        <w:t>。</w:t>
      </w:r>
    </w:p>
    <w:p w14:paraId="5ADFBD5A">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4.1.2</w:t>
      </w:r>
      <w:r>
        <w:rPr>
          <w:rFonts w:hint="eastAsia" w:asciiTheme="minorEastAsia" w:hAnsiTheme="minorEastAsia" w:eastAsiaTheme="minorEastAsia" w:cstheme="minorEastAsia"/>
          <w:sz w:val="24"/>
          <w:szCs w:val="24"/>
        </w:rPr>
        <w:t>　公园绿地应以休闲游憩为主要功能，其设计应符合下列规定：</w:t>
      </w:r>
    </w:p>
    <w:p w14:paraId="546FFA10">
      <w:pPr>
        <w:spacing w:line="360" w:lineRule="auto"/>
        <w:ind w:firstLine="361" w:firstLineChars="15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w:t>
      </w:r>
      <w:r>
        <w:rPr>
          <w:rFonts w:hint="eastAsia" w:asciiTheme="minorEastAsia" w:hAnsiTheme="minorEastAsia" w:eastAsiaTheme="minorEastAsia" w:cstheme="minorEastAsia"/>
          <w:sz w:val="24"/>
          <w:szCs w:val="24"/>
        </w:rPr>
        <w:t>　公园绿地设计应保护现存文物、历史建筑、历史遗迹等物质遗存，保护已形成的良好空间格局和景观风貌，利用并展示基址中有价值的景观资源；</w:t>
      </w:r>
    </w:p>
    <w:p w14:paraId="66D925E1">
      <w:pPr>
        <w:spacing w:line="360" w:lineRule="auto"/>
        <w:ind w:firstLine="361" w:firstLineChars="150"/>
        <w:rPr>
          <w:rFonts w:asciiTheme="minorEastAsia" w:hAnsiTheme="minorEastAsia" w:cstheme="minorEastAsia"/>
          <w:sz w:val="24"/>
          <w:szCs w:val="24"/>
        </w:rPr>
      </w:pPr>
      <w:r>
        <w:rPr>
          <w:rFonts w:hint="eastAsia" w:asciiTheme="minorEastAsia" w:hAnsiTheme="minorEastAsia" w:eastAsiaTheme="minorEastAsia" w:cstheme="minorEastAsia"/>
          <w:b/>
          <w:sz w:val="24"/>
          <w:szCs w:val="24"/>
        </w:rPr>
        <w:t>2</w:t>
      </w:r>
      <w:r>
        <w:rPr>
          <w:rFonts w:hint="eastAsia" w:asciiTheme="minorEastAsia" w:hAnsiTheme="minorEastAsia" w:eastAsiaTheme="minorEastAsia" w:cstheme="minorEastAsia"/>
          <w:sz w:val="24"/>
          <w:szCs w:val="24"/>
        </w:rPr>
        <w:t>　</w:t>
      </w:r>
      <w:r>
        <w:rPr>
          <w:rFonts w:ascii="Segoe UI" w:hAnsi="Segoe UI" w:eastAsia="Segoe UI" w:cs="Segoe UI"/>
          <w:color w:val="0F1115"/>
          <w:sz w:val="24"/>
          <w:szCs w:val="24"/>
          <w:shd w:val="clear" w:color="auto" w:fill="FFFFFF"/>
        </w:rPr>
        <w:t>公园绿地设计应</w:t>
      </w:r>
      <w:r>
        <w:rPr>
          <w:rFonts w:hint="eastAsia" w:ascii="Segoe UI" w:hAnsi="Segoe UI" w:cs="Segoe UI"/>
          <w:color w:val="0F1115"/>
          <w:sz w:val="24"/>
          <w:szCs w:val="24"/>
          <w:shd w:val="clear" w:color="auto" w:fill="FFFFFF"/>
        </w:rPr>
        <w:t>结合</w:t>
      </w:r>
      <w:r>
        <w:rPr>
          <w:rFonts w:ascii="Segoe UI" w:hAnsi="Segoe UI" w:eastAsia="Segoe UI" w:cs="Segoe UI"/>
          <w:color w:val="0F1115"/>
          <w:sz w:val="24"/>
          <w:szCs w:val="24"/>
          <w:shd w:val="clear" w:color="auto" w:fill="FFFFFF"/>
        </w:rPr>
        <w:t>开放共享需求，合理设置多功能活动区、便民服务设施、智能监控与应急广播系统，保障开放期间的安全运行</w:t>
      </w:r>
      <w:r>
        <w:rPr>
          <w:rFonts w:hint="eastAsia" w:ascii="Segoe UI" w:hAnsi="Segoe UI" w:cs="Segoe UI"/>
          <w:color w:val="0F1115"/>
          <w:sz w:val="24"/>
          <w:szCs w:val="24"/>
          <w:shd w:val="clear" w:color="auto" w:fill="FFFFFF"/>
        </w:rPr>
        <w:t>；</w:t>
      </w:r>
    </w:p>
    <w:p w14:paraId="338F226C">
      <w:pPr>
        <w:spacing w:line="360" w:lineRule="auto"/>
        <w:ind w:firstLine="361" w:firstLineChars="15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3</w:t>
      </w:r>
      <w:r>
        <w:rPr>
          <w:rFonts w:hint="eastAsia" w:asciiTheme="minorEastAsia" w:hAnsiTheme="minorEastAsia" w:eastAsiaTheme="minorEastAsia" w:cstheme="minorEastAsia"/>
          <w:sz w:val="24"/>
          <w:szCs w:val="24"/>
        </w:rPr>
        <w:t>　公园绿地设计应以相关国土空间专项规划为依据承担应急避险、海绵城市等具体功能。</w:t>
      </w:r>
    </w:p>
    <w:p w14:paraId="1528627A">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4.1.3</w:t>
      </w:r>
      <w:r>
        <w:rPr>
          <w:rFonts w:hint="eastAsia" w:asciiTheme="minorEastAsia" w:hAnsiTheme="minorEastAsia" w:eastAsiaTheme="minorEastAsia" w:cstheme="minorEastAsia"/>
          <w:sz w:val="24"/>
          <w:szCs w:val="24"/>
        </w:rPr>
        <w:t>　公园绿地设计应计算游人容量、推测游人量，作为确定内部用地比例、配置设施的依据。游人容量和公园内各用地比例的计算应按照现行国家标准《公园设计规范》GB/T 51192的方法执行。</w:t>
      </w:r>
    </w:p>
    <w:p w14:paraId="4956A29C">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4.1.4</w:t>
      </w:r>
      <w:r>
        <w:rPr>
          <w:rFonts w:hint="eastAsia" w:asciiTheme="minorEastAsia" w:hAnsiTheme="minorEastAsia" w:eastAsiaTheme="minorEastAsia" w:cstheme="minorEastAsia"/>
          <w:sz w:val="24"/>
          <w:szCs w:val="24"/>
        </w:rPr>
        <w:t>　公园出入口的位置、数量及出入口场地规模应满足游人进出方便、集散安全的要求。</w:t>
      </w:r>
    </w:p>
    <w:p w14:paraId="1BA90EAB">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4.1.5</w:t>
      </w:r>
      <w:r>
        <w:rPr>
          <w:rFonts w:hint="eastAsia" w:asciiTheme="minorEastAsia" w:hAnsiTheme="minorEastAsia" w:eastAsiaTheme="minorEastAsia" w:cstheme="minorEastAsia"/>
          <w:sz w:val="24"/>
          <w:szCs w:val="24"/>
        </w:rPr>
        <w:t>　公园地形坡度超过土壤自然安息角时，应采用挡土墙、护坡等技术措施，防止水土流失或滑坡。挡土墙、护坡的材质与形式应与公园的景观风格相协调。</w:t>
      </w:r>
    </w:p>
    <w:p w14:paraId="3FA48159">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4.1.6</w:t>
      </w:r>
      <w:r>
        <w:rPr>
          <w:rFonts w:hint="eastAsia" w:asciiTheme="minorEastAsia" w:hAnsiTheme="minorEastAsia" w:eastAsiaTheme="minorEastAsia" w:cstheme="minorEastAsia"/>
          <w:sz w:val="24"/>
          <w:szCs w:val="24"/>
        </w:rPr>
        <w:t>　公园绿地设计应根据公园性质、区位、规模和服务需要确定游憩和服务设施的类型及规模，并结合公园环境特点和游人使用需求进行布局。</w:t>
      </w:r>
    </w:p>
    <w:p w14:paraId="25031B42">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4.1.7</w:t>
      </w:r>
      <w:r>
        <w:rPr>
          <w:rFonts w:hint="eastAsia" w:asciiTheme="minorEastAsia" w:hAnsiTheme="minorEastAsia" w:eastAsiaTheme="minorEastAsia" w:cstheme="minorEastAsia"/>
          <w:sz w:val="24"/>
          <w:szCs w:val="24"/>
        </w:rPr>
        <w:t>　公园服务设施应满足无障碍要求。</w:t>
      </w:r>
    </w:p>
    <w:p w14:paraId="03398A59">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4.1.8</w:t>
      </w:r>
      <w:r>
        <w:rPr>
          <w:rFonts w:hint="eastAsia" w:asciiTheme="minorEastAsia" w:hAnsiTheme="minorEastAsia" w:eastAsiaTheme="minorEastAsia" w:cstheme="minorEastAsia"/>
          <w:sz w:val="24"/>
          <w:szCs w:val="24"/>
        </w:rPr>
        <w:t>　公园绿地种植设计应丰富植物品种，创造多样的植物景观和观赏空间。</w:t>
      </w:r>
    </w:p>
    <w:p w14:paraId="517D23DD">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4.1.9</w:t>
      </w:r>
      <w:r>
        <w:rPr>
          <w:rFonts w:hint="eastAsia" w:asciiTheme="minorEastAsia" w:hAnsiTheme="minorEastAsia" w:eastAsiaTheme="minorEastAsia" w:cstheme="minorEastAsia"/>
          <w:sz w:val="24"/>
          <w:szCs w:val="24"/>
        </w:rPr>
        <w:t>　公园应根据规模和内容选择标志标识，完善标识系统；公园的主要出入口处的信息标识应标明公园平面示意图、公园服务设施位置、无障碍游览线路信息以及其他应公示的内容。</w:t>
      </w:r>
    </w:p>
    <w:p w14:paraId="48D5C395">
      <w:pPr>
        <w:pStyle w:val="40"/>
        <w:outlineLvl w:val="1"/>
        <w:rPr>
          <w:b w:val="0"/>
        </w:rPr>
      </w:pPr>
      <w:bookmarkStart w:id="60" w:name="_Toc16495"/>
      <w:bookmarkStart w:id="61" w:name="_Toc12115"/>
      <w:r>
        <w:rPr>
          <w:rFonts w:hint="eastAsia"/>
          <w:b w:val="0"/>
        </w:rPr>
        <w:t>4.2　综合公园</w:t>
      </w:r>
      <w:bookmarkEnd w:id="60"/>
      <w:bookmarkEnd w:id="61"/>
    </w:p>
    <w:p w14:paraId="4BBD03FE">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4.2.1</w:t>
      </w:r>
      <w:r>
        <w:rPr>
          <w:rFonts w:hint="eastAsia" w:asciiTheme="minorEastAsia" w:hAnsiTheme="minorEastAsia" w:eastAsiaTheme="minorEastAsia" w:cstheme="minorEastAsia"/>
          <w:sz w:val="24"/>
          <w:szCs w:val="24"/>
        </w:rPr>
        <w:t>　应</w:t>
      </w:r>
      <w:r>
        <w:rPr>
          <w:rFonts w:hint="eastAsia" w:asciiTheme="minorEastAsia" w:hAnsiTheme="minorEastAsia" w:eastAsiaTheme="minorEastAsia" w:cstheme="minorEastAsia"/>
          <w:sz w:val="24"/>
          <w:szCs w:val="24"/>
          <w:lang w:eastAsia="zh-Hans"/>
        </w:rPr>
        <w:t>合理</w:t>
      </w:r>
      <w:r>
        <w:rPr>
          <w:rFonts w:hint="eastAsia" w:asciiTheme="minorEastAsia" w:hAnsiTheme="minorEastAsia" w:eastAsiaTheme="minorEastAsia" w:cstheme="minorEastAsia"/>
          <w:sz w:val="24"/>
          <w:szCs w:val="24"/>
        </w:rPr>
        <w:t>组织空间、配套设施，综合发挥其休闲游憩、改善生态、文化传承、科普教育、美化环境等多种功能。</w:t>
      </w:r>
    </w:p>
    <w:p w14:paraId="2D4F1173">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4.2.2</w:t>
      </w:r>
      <w:r>
        <w:rPr>
          <w:rFonts w:hint="eastAsia" w:asciiTheme="minorEastAsia" w:hAnsiTheme="minorEastAsia" w:eastAsiaTheme="minorEastAsia" w:cstheme="minorEastAsia"/>
          <w:sz w:val="24"/>
          <w:szCs w:val="24"/>
        </w:rPr>
        <w:t>　应设置景观游览、康体健身、群众体育、游戏游乐等类型丰富的游憩活动，并根据活动内容及活动人群的特点进行功能区划分。</w:t>
      </w:r>
    </w:p>
    <w:p w14:paraId="4D5D2B03">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4.2.3</w:t>
      </w:r>
      <w:r>
        <w:rPr>
          <w:rFonts w:hint="eastAsia" w:asciiTheme="minorEastAsia" w:hAnsiTheme="minorEastAsia" w:eastAsiaTheme="minorEastAsia" w:cstheme="minorEastAsia"/>
          <w:sz w:val="24"/>
          <w:szCs w:val="24"/>
        </w:rPr>
        <w:t>　功能区布局应根据游憩活动特点，按类型组织，做到动静分区。儿童活动区应远离</w:t>
      </w:r>
      <w:r>
        <w:rPr>
          <w:rStyle w:val="25"/>
          <w:rFonts w:hint="eastAsia" w:ascii="Segoe UI" w:hAnsi="Segoe UI" w:eastAsia="Segoe UI" w:cs="Segoe UI"/>
          <w:b w:val="0"/>
          <w:color w:val="0F1115"/>
          <w:sz w:val="24"/>
          <w:szCs w:val="24"/>
          <w:shd w:val="clear" w:color="auto" w:fill="FFFFFF"/>
        </w:rPr>
        <w:t>车行道、水域、高压电</w:t>
      </w:r>
      <w:r>
        <w:rPr>
          <w:rStyle w:val="25"/>
          <w:rFonts w:hint="eastAsia" w:ascii="Segoe UI" w:hAnsi="Segoe UI" w:cs="Segoe UI"/>
          <w:b w:val="0"/>
          <w:color w:val="0F1115"/>
          <w:sz w:val="24"/>
          <w:szCs w:val="24"/>
          <w:shd w:val="clear" w:color="auto" w:fill="FFFFFF"/>
        </w:rPr>
        <w:t>气</w:t>
      </w:r>
      <w:r>
        <w:rPr>
          <w:rStyle w:val="25"/>
          <w:rFonts w:hint="eastAsia" w:ascii="Segoe UI" w:hAnsi="Segoe UI" w:eastAsia="Segoe UI" w:cs="Segoe UI"/>
          <w:b w:val="0"/>
          <w:color w:val="0F1115"/>
          <w:sz w:val="24"/>
          <w:szCs w:val="24"/>
          <w:shd w:val="clear" w:color="auto" w:fill="FFFFFF"/>
        </w:rPr>
        <w:t>设施以及人员密集的成年运动场地</w:t>
      </w:r>
      <w:r>
        <w:rPr>
          <w:rFonts w:ascii="Segoe UI" w:hAnsi="Segoe UI" w:eastAsia="Segoe UI" w:cs="Segoe UI"/>
          <w:color w:val="0F1115"/>
          <w:sz w:val="24"/>
          <w:szCs w:val="24"/>
          <w:shd w:val="clear" w:color="auto" w:fill="FFFFFF"/>
        </w:rPr>
        <w:t>等存在安全隐患的</w:t>
      </w:r>
      <w:r>
        <w:rPr>
          <w:rFonts w:hint="eastAsia" w:asciiTheme="minorEastAsia" w:hAnsiTheme="minorEastAsia" w:eastAsiaTheme="minorEastAsia" w:cstheme="minorEastAsia"/>
          <w:sz w:val="24"/>
          <w:szCs w:val="24"/>
        </w:rPr>
        <w:t>风险区域，宜选择与门区和停车场临近的区域。</w:t>
      </w:r>
    </w:p>
    <w:p w14:paraId="0A4801D0">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4.2.4</w:t>
      </w:r>
      <w:r>
        <w:rPr>
          <w:rFonts w:hint="eastAsia" w:asciiTheme="minorEastAsia" w:hAnsiTheme="minorEastAsia" w:eastAsiaTheme="minorEastAsia" w:cstheme="minorEastAsia"/>
          <w:sz w:val="24"/>
          <w:szCs w:val="24"/>
        </w:rPr>
        <w:t>　道路应分级设置，主入口和停车场应与城市干道相连通。主路应联通各功能区。</w:t>
      </w:r>
    </w:p>
    <w:p w14:paraId="077A3560">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4.2.5</w:t>
      </w:r>
      <w:r>
        <w:rPr>
          <w:rFonts w:hint="eastAsia" w:asciiTheme="minorEastAsia" w:hAnsiTheme="minorEastAsia" w:eastAsiaTheme="minorEastAsia" w:cstheme="minorEastAsia"/>
          <w:sz w:val="24"/>
          <w:szCs w:val="24"/>
        </w:rPr>
        <w:t>　主路应满足无障碍通行要求，次路宜满足无障碍通行要求。</w:t>
      </w:r>
    </w:p>
    <w:p w14:paraId="7C4CAD52">
      <w:pPr>
        <w:spacing w:line="360" w:lineRule="auto"/>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4.2.6</w:t>
      </w:r>
      <w:r>
        <w:rPr>
          <w:rFonts w:hint="eastAsia" w:asciiTheme="minorEastAsia" w:hAnsiTheme="minorEastAsia" w:eastAsiaTheme="minorEastAsia" w:cstheme="minorEastAsia"/>
          <w:sz w:val="24"/>
          <w:szCs w:val="24"/>
        </w:rPr>
        <w:t>　</w:t>
      </w:r>
      <w:r>
        <w:rPr>
          <w:rFonts w:ascii="Segoe UI" w:hAnsi="Segoe UI" w:eastAsia="Segoe UI" w:cs="Segoe UI"/>
          <w:color w:val="0F1115"/>
          <w:sz w:val="24"/>
          <w:szCs w:val="24"/>
          <w:shd w:val="clear" w:color="auto" w:fill="FFFFFF"/>
        </w:rPr>
        <w:t>体育健身设施项目的选择，宜结合城市区域体育设施的类型与规模特点确定</w:t>
      </w:r>
      <w:r>
        <w:rPr>
          <w:rFonts w:hint="eastAsia" w:asciiTheme="minorEastAsia" w:hAnsiTheme="minorEastAsia" w:eastAsiaTheme="minorEastAsia" w:cstheme="minorEastAsia"/>
          <w:sz w:val="24"/>
          <w:szCs w:val="24"/>
        </w:rPr>
        <w:t>。</w:t>
      </w:r>
    </w:p>
    <w:p w14:paraId="1A1C4276">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4.2.7</w:t>
      </w:r>
      <w:r>
        <w:rPr>
          <w:rFonts w:hint="eastAsia" w:asciiTheme="minorEastAsia" w:hAnsiTheme="minorEastAsia" w:eastAsiaTheme="minorEastAsia" w:cstheme="minorEastAsia"/>
          <w:sz w:val="24"/>
          <w:szCs w:val="24"/>
        </w:rPr>
        <w:t>　种植设计应利用植物的季相特点创造个性鲜明的四季景观。</w:t>
      </w:r>
    </w:p>
    <w:p w14:paraId="119C7906">
      <w:pPr>
        <w:pStyle w:val="40"/>
        <w:outlineLvl w:val="1"/>
        <w:rPr>
          <w:b w:val="0"/>
        </w:rPr>
      </w:pPr>
      <w:bookmarkStart w:id="62" w:name="_Toc15648"/>
      <w:bookmarkStart w:id="63" w:name="_Toc28323"/>
      <w:r>
        <w:rPr>
          <w:rFonts w:hint="eastAsia"/>
          <w:b w:val="0"/>
        </w:rPr>
        <w:t>4.3　社区公园</w:t>
      </w:r>
      <w:bookmarkEnd w:id="62"/>
      <w:bookmarkEnd w:id="63"/>
    </w:p>
    <w:p w14:paraId="3ADB9F97">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4.3.1</w:t>
      </w:r>
      <w:r>
        <w:rPr>
          <w:rFonts w:hint="eastAsia" w:asciiTheme="minorEastAsia" w:hAnsiTheme="minorEastAsia" w:eastAsiaTheme="minorEastAsia" w:cstheme="minorEastAsia"/>
          <w:sz w:val="24"/>
          <w:szCs w:val="24"/>
        </w:rPr>
        <w:t>　应安排儿童游戏、康体健身、群众体育、交流互动等多种游憩活动，并应设置相应的功能分区。科普教育功能宜与游憩活动相结合。</w:t>
      </w:r>
    </w:p>
    <w:p w14:paraId="1686377A">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4.3.2</w:t>
      </w:r>
      <w:r>
        <w:rPr>
          <w:rFonts w:hint="eastAsia" w:asciiTheme="minorEastAsia" w:hAnsiTheme="minorEastAsia" w:eastAsiaTheme="minorEastAsia" w:cstheme="minorEastAsia"/>
          <w:sz w:val="24"/>
          <w:szCs w:val="24"/>
        </w:rPr>
        <w:t>　游憩服务设施应根据居民就近开展日常游憩的需要而确定，并应符合下列规定：</w:t>
      </w:r>
    </w:p>
    <w:p w14:paraId="360B1212">
      <w:pPr>
        <w:spacing w:line="360" w:lineRule="auto"/>
        <w:ind w:firstLine="482"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w:t>
      </w:r>
      <w:r>
        <w:rPr>
          <w:rFonts w:hint="eastAsia" w:asciiTheme="minorEastAsia" w:hAnsiTheme="minorEastAsia" w:eastAsiaTheme="minorEastAsia" w:cstheme="minorEastAsia"/>
          <w:sz w:val="24"/>
          <w:szCs w:val="24"/>
        </w:rPr>
        <w:t>　应侧重儿童及老年人的活动需求；</w:t>
      </w:r>
    </w:p>
    <w:p w14:paraId="61C112B4">
      <w:pPr>
        <w:spacing w:line="360" w:lineRule="auto"/>
        <w:ind w:firstLine="482"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2</w:t>
      </w:r>
      <w:r>
        <w:rPr>
          <w:rFonts w:hint="eastAsia" w:asciiTheme="minorEastAsia" w:hAnsiTheme="minorEastAsia" w:eastAsiaTheme="minorEastAsia" w:cstheme="minorEastAsia"/>
          <w:sz w:val="24"/>
          <w:szCs w:val="24"/>
        </w:rPr>
        <w:t>　应设置厕所以及休息、遮阴、避雨等服务设施；</w:t>
      </w:r>
    </w:p>
    <w:p w14:paraId="46F77F3F">
      <w:pPr>
        <w:spacing w:line="360" w:lineRule="auto"/>
        <w:ind w:firstLine="482"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3</w:t>
      </w:r>
      <w:r>
        <w:rPr>
          <w:rFonts w:hint="eastAsia" w:asciiTheme="minorEastAsia" w:hAnsiTheme="minorEastAsia" w:eastAsiaTheme="minorEastAsia" w:cstheme="minorEastAsia"/>
          <w:sz w:val="24"/>
          <w:szCs w:val="24"/>
        </w:rPr>
        <w:t>　休息设施宜成组布置，有利于居民的户外交往活动；</w:t>
      </w:r>
    </w:p>
    <w:p w14:paraId="1FD97765">
      <w:pPr>
        <w:spacing w:line="360" w:lineRule="auto"/>
        <w:ind w:firstLine="482"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4</w:t>
      </w:r>
      <w:r>
        <w:rPr>
          <w:rFonts w:hint="eastAsia" w:asciiTheme="minorEastAsia" w:hAnsiTheme="minorEastAsia" w:eastAsiaTheme="minorEastAsia" w:cstheme="minorEastAsia"/>
          <w:sz w:val="24"/>
          <w:szCs w:val="24"/>
        </w:rPr>
        <w:t>　体育健身设施及场地宜有夜间照明，满足夜间活动需求。</w:t>
      </w:r>
    </w:p>
    <w:p w14:paraId="74C6198E">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4.3.3</w:t>
      </w:r>
      <w:r>
        <w:rPr>
          <w:rFonts w:hint="eastAsia" w:asciiTheme="minorEastAsia" w:hAnsiTheme="minorEastAsia" w:eastAsiaTheme="minorEastAsia" w:cstheme="minorEastAsia"/>
          <w:sz w:val="24"/>
          <w:szCs w:val="24"/>
        </w:rPr>
        <w:t>　道路系统宜满足游人无障碍通行需求。</w:t>
      </w:r>
    </w:p>
    <w:p w14:paraId="6ECF61CE">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4.3.4</w:t>
      </w:r>
      <w:r>
        <w:rPr>
          <w:rFonts w:hint="eastAsia" w:asciiTheme="minorEastAsia" w:hAnsiTheme="minorEastAsia" w:eastAsiaTheme="minorEastAsia" w:cstheme="minorEastAsia"/>
          <w:sz w:val="24"/>
          <w:szCs w:val="24"/>
        </w:rPr>
        <w:t>　种植设计应符合下列规定：</w:t>
      </w:r>
    </w:p>
    <w:p w14:paraId="24E81A8B">
      <w:pPr>
        <w:spacing w:line="360" w:lineRule="auto"/>
        <w:ind w:firstLine="482"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w:t>
      </w:r>
      <w:r>
        <w:rPr>
          <w:rFonts w:hint="eastAsia" w:asciiTheme="minorEastAsia" w:hAnsiTheme="minorEastAsia" w:eastAsiaTheme="minorEastAsia" w:cstheme="minorEastAsia"/>
          <w:sz w:val="24"/>
          <w:szCs w:val="24"/>
        </w:rPr>
        <w:t>　应满足活动场地的通风和遮荫要求；</w:t>
      </w:r>
    </w:p>
    <w:p w14:paraId="774EFFF7">
      <w:pPr>
        <w:spacing w:line="360" w:lineRule="auto"/>
        <w:ind w:firstLine="482"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2</w:t>
      </w:r>
      <w:r>
        <w:rPr>
          <w:rFonts w:hint="eastAsia" w:asciiTheme="minorEastAsia" w:hAnsiTheme="minorEastAsia" w:eastAsiaTheme="minorEastAsia" w:cstheme="minorEastAsia"/>
          <w:sz w:val="24"/>
          <w:szCs w:val="24"/>
        </w:rPr>
        <w:t>　应满足游人晒太阳空间需求；</w:t>
      </w:r>
    </w:p>
    <w:p w14:paraId="2CBE8CC9">
      <w:pPr>
        <w:spacing w:line="360" w:lineRule="auto"/>
        <w:ind w:firstLine="482"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3</w:t>
      </w:r>
      <w:r>
        <w:rPr>
          <w:rFonts w:hint="eastAsia" w:asciiTheme="minorEastAsia" w:hAnsiTheme="minorEastAsia" w:eastAsiaTheme="minorEastAsia" w:cstheme="minorEastAsia"/>
          <w:sz w:val="24"/>
          <w:szCs w:val="24"/>
        </w:rPr>
        <w:t>　宜结合社区园艺配置具有康养功效的植物。</w:t>
      </w:r>
    </w:p>
    <w:p w14:paraId="252BBDC8">
      <w:pPr>
        <w:pStyle w:val="40"/>
        <w:outlineLvl w:val="1"/>
        <w:rPr>
          <w:b w:val="0"/>
        </w:rPr>
      </w:pPr>
      <w:bookmarkStart w:id="64" w:name="_Toc31920"/>
      <w:bookmarkStart w:id="65" w:name="_Toc23705"/>
      <w:r>
        <w:rPr>
          <w:rFonts w:hint="eastAsia"/>
          <w:b w:val="0"/>
        </w:rPr>
        <w:t>4.4　专类公园</w:t>
      </w:r>
      <w:bookmarkEnd w:id="64"/>
      <w:bookmarkEnd w:id="65"/>
    </w:p>
    <w:p w14:paraId="1A1C756E">
      <w:pPr>
        <w:pStyle w:val="32"/>
        <w:numPr>
          <w:ilvl w:val="255"/>
          <w:numId w:val="0"/>
        </w:numPr>
        <w:tabs>
          <w:tab w:val="left" w:pos="0"/>
        </w:tabs>
        <w:kinsoku w:val="0"/>
        <w:overflowPunct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4.4.1</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eastAsia="zh-Hans"/>
        </w:rPr>
        <w:t>专类公园</w:t>
      </w:r>
      <w:r>
        <w:rPr>
          <w:rFonts w:hint="eastAsia" w:asciiTheme="minorEastAsia" w:hAnsiTheme="minorEastAsia" w:eastAsiaTheme="minorEastAsia" w:cstheme="minorEastAsia"/>
          <w:sz w:val="24"/>
          <w:szCs w:val="24"/>
        </w:rPr>
        <w:t>可分为动物园、植物园、历史名园、遗址公园、游乐公园、体育健身公园、儿童公园及其他具有特定主题的公园绿地。</w:t>
      </w:r>
    </w:p>
    <w:p w14:paraId="50D1B349">
      <w:pPr>
        <w:pStyle w:val="32"/>
        <w:numPr>
          <w:ilvl w:val="255"/>
          <w:numId w:val="0"/>
        </w:numPr>
        <w:kinsoku w:val="0"/>
        <w:overflowPunct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4.4.2</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pacing w:val="-1"/>
          <w:sz w:val="24"/>
          <w:szCs w:val="24"/>
        </w:rPr>
        <w:t>专类公园的选址应</w:t>
      </w:r>
      <w:r>
        <w:rPr>
          <w:rFonts w:hint="eastAsia" w:asciiTheme="minorEastAsia" w:hAnsiTheme="minorEastAsia" w:eastAsiaTheme="minorEastAsia" w:cstheme="minorEastAsia"/>
          <w:sz w:val="24"/>
          <w:szCs w:val="24"/>
        </w:rPr>
        <w:t>符合现行国家标准《城市绿地规划标准》</w:t>
      </w:r>
      <w:r>
        <w:rPr>
          <w:rFonts w:hint="eastAsia" w:asciiTheme="minorEastAsia" w:hAnsiTheme="minorEastAsia" w:eastAsiaTheme="minorEastAsia" w:cstheme="minorEastAsia"/>
          <w:sz w:val="24"/>
          <w:szCs w:val="24"/>
          <w:shd w:val="clear" w:color="auto" w:fill="FFFFFF"/>
        </w:rPr>
        <w:t>GB/T</w:t>
      </w:r>
      <w:r>
        <w:rPr>
          <w:rFonts w:asciiTheme="minorEastAsia" w:hAnsiTheme="minorEastAsia" w:eastAsiaTheme="minorEastAsia" w:cstheme="minorEastAsia"/>
          <w:sz w:val="24"/>
          <w:szCs w:val="24"/>
          <w:shd w:val="clear" w:color="auto" w:fill="FFFFFF"/>
        </w:rPr>
        <w:t xml:space="preserve"> </w:t>
      </w:r>
      <w:r>
        <w:rPr>
          <w:rFonts w:hint="eastAsia" w:asciiTheme="minorEastAsia" w:hAnsiTheme="minorEastAsia" w:eastAsiaTheme="minorEastAsia" w:cstheme="minorEastAsia"/>
          <w:sz w:val="24"/>
          <w:szCs w:val="24"/>
          <w:shd w:val="clear" w:color="auto" w:fill="FFFFFF"/>
        </w:rPr>
        <w:t>5134</w:t>
      </w:r>
      <w:r>
        <w:rPr>
          <w:rFonts w:asciiTheme="minorEastAsia" w:hAnsiTheme="minorEastAsia" w:eastAsiaTheme="minorEastAsia" w:cstheme="minorEastAsia"/>
          <w:sz w:val="24"/>
          <w:szCs w:val="24"/>
          <w:shd w:val="clear" w:color="auto" w:fill="FFFFFF"/>
        </w:rPr>
        <w:t>6</w:t>
      </w:r>
      <w:r>
        <w:rPr>
          <w:rFonts w:hint="eastAsia" w:asciiTheme="minorEastAsia" w:hAnsiTheme="minorEastAsia" w:eastAsiaTheme="minorEastAsia" w:cstheme="minorEastAsia"/>
          <w:sz w:val="24"/>
          <w:szCs w:val="24"/>
        </w:rPr>
        <w:t>的有关规定，做到用地比例科学、容量合理，设施完善，匹配主题要求。</w:t>
      </w:r>
    </w:p>
    <w:p w14:paraId="17D7C573">
      <w:pPr>
        <w:pStyle w:val="32"/>
        <w:numPr>
          <w:ilvl w:val="255"/>
          <w:numId w:val="0"/>
        </w:numPr>
        <w:kinsoku w:val="0"/>
        <w:overflowPunct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4.4.3</w:t>
      </w:r>
      <w:r>
        <w:rPr>
          <w:rFonts w:hint="eastAsia" w:asciiTheme="minorEastAsia" w:hAnsiTheme="minorEastAsia" w:eastAsiaTheme="minorEastAsia" w:cstheme="minorEastAsia"/>
          <w:sz w:val="24"/>
          <w:szCs w:val="24"/>
        </w:rPr>
        <w:t>　专类公园的设计应专注特定领域展示和科普教育及研究，实现特定功能和价值，提供多元休闲、娱乐、教育与文化体验。</w:t>
      </w:r>
    </w:p>
    <w:p w14:paraId="4BBE7CA8">
      <w:pPr>
        <w:pStyle w:val="32"/>
        <w:widowControl/>
        <w:numPr>
          <w:ilvl w:val="255"/>
          <w:numId w:val="0"/>
        </w:numPr>
        <w:shd w:val="clear" w:color="auto" w:fill="FFFFFF"/>
        <w:kinsoku w:val="0"/>
        <w:overflowPunct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4.4.4</w:t>
      </w:r>
      <w:r>
        <w:rPr>
          <w:rFonts w:hint="eastAsia" w:asciiTheme="minorEastAsia" w:hAnsiTheme="minorEastAsia" w:eastAsiaTheme="minorEastAsia" w:cstheme="minorEastAsia"/>
          <w:sz w:val="24"/>
          <w:szCs w:val="24"/>
        </w:rPr>
        <w:t>　动物园设计应满足动物福利与异地保护需求，配套参观、科普、安全隔离及科研后勤设施，并应符合现行行业标准</w:t>
      </w:r>
      <w:r>
        <w:rPr>
          <w:rFonts w:hint="eastAsia" w:asciiTheme="minorEastAsia" w:hAnsiTheme="minorEastAsia" w:eastAsiaTheme="minorEastAsia" w:cstheme="minorEastAsia"/>
          <w:sz w:val="24"/>
          <w:szCs w:val="24"/>
          <w:shd w:val="clear" w:color="auto" w:fill="FFFFFF"/>
        </w:rPr>
        <w:t>《动物园设计规范》CJJ 2</w:t>
      </w:r>
      <w:r>
        <w:rPr>
          <w:rFonts w:asciiTheme="minorEastAsia" w:hAnsiTheme="minorEastAsia" w:eastAsiaTheme="minorEastAsia" w:cstheme="minorEastAsia"/>
          <w:sz w:val="24"/>
          <w:szCs w:val="24"/>
          <w:shd w:val="clear" w:color="auto" w:fill="FFFFFF"/>
        </w:rPr>
        <w:t>6</w:t>
      </w:r>
      <w:r>
        <w:rPr>
          <w:rFonts w:hint="eastAsia" w:asciiTheme="minorEastAsia" w:hAnsiTheme="minorEastAsia" w:eastAsiaTheme="minorEastAsia" w:cstheme="minorEastAsia"/>
          <w:sz w:val="24"/>
          <w:szCs w:val="24"/>
          <w:shd w:val="clear" w:color="auto" w:fill="FFFFFF"/>
        </w:rPr>
        <w:t>7的</w:t>
      </w:r>
      <w:r>
        <w:rPr>
          <w:rFonts w:hint="eastAsia" w:asciiTheme="minorEastAsia" w:hAnsiTheme="minorEastAsia" w:eastAsiaTheme="minorEastAsia" w:cstheme="minorEastAsia"/>
          <w:sz w:val="24"/>
          <w:szCs w:val="24"/>
        </w:rPr>
        <w:t>有关</w:t>
      </w:r>
      <w:r>
        <w:rPr>
          <w:rFonts w:hint="eastAsia" w:asciiTheme="minorEastAsia" w:hAnsiTheme="minorEastAsia" w:eastAsiaTheme="minorEastAsia" w:cstheme="minorEastAsia"/>
          <w:sz w:val="24"/>
          <w:szCs w:val="24"/>
          <w:shd w:val="clear" w:color="auto" w:fill="FFFFFF"/>
        </w:rPr>
        <w:t>规定。</w:t>
      </w:r>
    </w:p>
    <w:p w14:paraId="65C1157E">
      <w:pPr>
        <w:pStyle w:val="32"/>
        <w:widowControl/>
        <w:numPr>
          <w:ilvl w:val="255"/>
          <w:numId w:val="0"/>
        </w:numPr>
        <w:shd w:val="clear" w:color="auto" w:fill="FFFFFF"/>
        <w:kinsoku w:val="0"/>
        <w:overflowPunct w:val="0"/>
        <w:spacing w:line="360" w:lineRule="auto"/>
        <w:rPr>
          <w:rFonts w:asciiTheme="minorEastAsia" w:hAnsiTheme="minorEastAsia" w:eastAsiaTheme="minorEastAsia" w:cstheme="minorEastAsia"/>
          <w:sz w:val="24"/>
          <w:szCs w:val="24"/>
          <w:shd w:val="clear" w:color="auto" w:fill="FFFFFF"/>
        </w:rPr>
      </w:pPr>
      <w:r>
        <w:rPr>
          <w:rFonts w:hint="eastAsia" w:asciiTheme="minorEastAsia" w:hAnsiTheme="minorEastAsia" w:eastAsiaTheme="minorEastAsia" w:cstheme="minorEastAsia"/>
          <w:b/>
          <w:sz w:val="24"/>
          <w:szCs w:val="24"/>
        </w:rPr>
        <w:t>4.4.5</w:t>
      </w:r>
      <w:r>
        <w:rPr>
          <w:rFonts w:hint="eastAsia" w:asciiTheme="minorEastAsia" w:hAnsiTheme="minorEastAsia" w:eastAsiaTheme="minorEastAsia" w:cstheme="minorEastAsia"/>
          <w:sz w:val="24"/>
          <w:szCs w:val="24"/>
        </w:rPr>
        <w:t>　植物园设计应营造多元植物生长环境，设置科普展览与科研实验区，并应符合现行行业标准</w:t>
      </w:r>
      <w:r>
        <w:rPr>
          <w:rFonts w:hint="eastAsia" w:asciiTheme="minorEastAsia" w:hAnsiTheme="minorEastAsia" w:eastAsiaTheme="minorEastAsia" w:cstheme="minorEastAsia"/>
          <w:sz w:val="24"/>
          <w:szCs w:val="24"/>
          <w:shd w:val="clear" w:color="auto" w:fill="FFFFFF"/>
        </w:rPr>
        <w:t>《植物园设计标准》CJJ/T</w:t>
      </w:r>
      <w:r>
        <w:rPr>
          <w:rFonts w:asciiTheme="minorEastAsia" w:hAnsiTheme="minorEastAsia" w:eastAsiaTheme="minorEastAsia" w:cstheme="minorEastAsia"/>
          <w:sz w:val="24"/>
          <w:szCs w:val="24"/>
          <w:shd w:val="clear" w:color="auto" w:fill="FFFFFF"/>
        </w:rPr>
        <w:t xml:space="preserve"> </w:t>
      </w:r>
      <w:r>
        <w:rPr>
          <w:rFonts w:hint="eastAsia" w:asciiTheme="minorEastAsia" w:hAnsiTheme="minorEastAsia" w:eastAsiaTheme="minorEastAsia" w:cstheme="minorEastAsia"/>
          <w:sz w:val="24"/>
          <w:szCs w:val="24"/>
          <w:shd w:val="clear" w:color="auto" w:fill="FFFFFF"/>
        </w:rPr>
        <w:t>300的</w:t>
      </w:r>
      <w:r>
        <w:rPr>
          <w:rFonts w:hint="eastAsia" w:asciiTheme="minorEastAsia" w:hAnsiTheme="minorEastAsia" w:eastAsiaTheme="minorEastAsia" w:cstheme="minorEastAsia"/>
          <w:sz w:val="24"/>
          <w:szCs w:val="24"/>
        </w:rPr>
        <w:t>有关</w:t>
      </w:r>
      <w:r>
        <w:rPr>
          <w:rFonts w:hint="eastAsia" w:asciiTheme="minorEastAsia" w:hAnsiTheme="minorEastAsia" w:eastAsiaTheme="minorEastAsia" w:cstheme="minorEastAsia"/>
          <w:sz w:val="24"/>
          <w:szCs w:val="24"/>
          <w:shd w:val="clear" w:color="auto" w:fill="FFFFFF"/>
        </w:rPr>
        <w:t>规定。</w:t>
      </w:r>
    </w:p>
    <w:p w14:paraId="3B626228">
      <w:pPr>
        <w:pStyle w:val="32"/>
        <w:widowControl/>
        <w:numPr>
          <w:ilvl w:val="255"/>
          <w:numId w:val="0"/>
        </w:numPr>
        <w:shd w:val="clear" w:color="auto" w:fill="FFFFFF"/>
        <w:kinsoku w:val="0"/>
        <w:overflowPunct w:val="0"/>
        <w:spacing w:line="360" w:lineRule="auto"/>
        <w:rPr>
          <w:rFonts w:asciiTheme="minorEastAsia" w:hAnsiTheme="minorEastAsia" w:eastAsiaTheme="minorEastAsia" w:cstheme="minorEastAsia"/>
          <w:sz w:val="24"/>
          <w:szCs w:val="24"/>
          <w:shd w:val="clear" w:color="auto" w:fill="FFFFFF"/>
        </w:rPr>
      </w:pPr>
      <w:r>
        <w:rPr>
          <w:rFonts w:hint="eastAsia" w:asciiTheme="minorEastAsia" w:hAnsiTheme="minorEastAsia" w:eastAsiaTheme="minorEastAsia" w:cstheme="minorEastAsia"/>
          <w:b/>
          <w:sz w:val="24"/>
          <w:szCs w:val="24"/>
          <w:shd w:val="clear" w:color="auto" w:fill="FFFFFF"/>
        </w:rPr>
        <w:t>4.4.6</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shd w:val="clear" w:color="auto" w:fill="FFFFFF"/>
        </w:rPr>
        <w:t>历史名园应保留历史原真性与造园特色，保护其多元价值，改造不得破坏。</w:t>
      </w:r>
    </w:p>
    <w:p w14:paraId="485C7B23">
      <w:pPr>
        <w:pStyle w:val="32"/>
        <w:widowControl/>
        <w:numPr>
          <w:ilvl w:val="255"/>
          <w:numId w:val="0"/>
        </w:numPr>
        <w:shd w:val="clear" w:color="auto" w:fill="FFFFFF"/>
        <w:kinsoku w:val="0"/>
        <w:overflowPunct w:val="0"/>
        <w:spacing w:line="360" w:lineRule="auto"/>
        <w:rPr>
          <w:rFonts w:asciiTheme="minorEastAsia" w:hAnsiTheme="minorEastAsia" w:eastAsiaTheme="minorEastAsia" w:cstheme="minorEastAsia"/>
          <w:sz w:val="24"/>
          <w:szCs w:val="24"/>
          <w:shd w:val="clear" w:color="auto" w:fill="FFFFFF"/>
        </w:rPr>
      </w:pPr>
      <w:r>
        <w:rPr>
          <w:rFonts w:hint="eastAsia" w:asciiTheme="minorEastAsia" w:hAnsiTheme="minorEastAsia" w:eastAsiaTheme="minorEastAsia" w:cstheme="minorEastAsia"/>
          <w:b/>
          <w:sz w:val="24"/>
          <w:szCs w:val="24"/>
          <w:shd w:val="clear" w:color="auto" w:fill="FFFFFF"/>
        </w:rPr>
        <w:t>4.4.7</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shd w:val="clear" w:color="auto" w:fill="FFFFFF"/>
        </w:rPr>
        <w:t>遗址公园应以遗址及环境保护为核心，配套游憩服务设施，避免破坏遗址本体，适度开展文化展示。</w:t>
      </w:r>
    </w:p>
    <w:p w14:paraId="1EECC90E">
      <w:pPr>
        <w:pStyle w:val="32"/>
        <w:widowControl/>
        <w:numPr>
          <w:ilvl w:val="255"/>
          <w:numId w:val="0"/>
        </w:numPr>
        <w:shd w:val="clear" w:color="auto" w:fill="FFFFFF"/>
        <w:kinsoku w:val="0"/>
        <w:overflowPunct w:val="0"/>
        <w:spacing w:line="360" w:lineRule="auto"/>
        <w:rPr>
          <w:rFonts w:asciiTheme="minorEastAsia" w:hAnsiTheme="minorEastAsia" w:eastAsiaTheme="minorEastAsia" w:cstheme="minorEastAsia"/>
          <w:sz w:val="24"/>
          <w:szCs w:val="24"/>
          <w:highlight w:val="yellow"/>
          <w:shd w:val="clear" w:color="auto" w:fill="FFFFFF"/>
        </w:rPr>
      </w:pPr>
      <w:r>
        <w:rPr>
          <w:rFonts w:hint="eastAsia" w:asciiTheme="minorEastAsia" w:hAnsiTheme="minorEastAsia" w:eastAsiaTheme="minorEastAsia" w:cstheme="minorEastAsia"/>
          <w:b/>
          <w:sz w:val="24"/>
          <w:szCs w:val="24"/>
          <w:shd w:val="clear" w:color="auto" w:fill="FFFFFF"/>
        </w:rPr>
        <w:t>4.4.8</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shd w:val="clear" w:color="auto" w:fill="FFFFFF"/>
        </w:rPr>
        <w:t>游乐公园应配置符合安全标准的游乐设施，按风险分区布局，控制环境影响，配套休憩服务设施。</w:t>
      </w:r>
    </w:p>
    <w:p w14:paraId="7CE9E1AB">
      <w:pPr>
        <w:pStyle w:val="32"/>
        <w:widowControl/>
        <w:numPr>
          <w:ilvl w:val="255"/>
          <w:numId w:val="0"/>
        </w:numPr>
        <w:shd w:val="clear" w:color="auto" w:fill="FFFFFF"/>
        <w:kinsoku w:val="0"/>
        <w:overflowPunct w:val="0"/>
        <w:spacing w:line="360" w:lineRule="auto"/>
        <w:rPr>
          <w:rFonts w:asciiTheme="minorEastAsia" w:hAnsiTheme="minorEastAsia" w:eastAsiaTheme="minorEastAsia" w:cstheme="minorEastAsia"/>
          <w:sz w:val="24"/>
          <w:szCs w:val="24"/>
          <w:shd w:val="clear" w:color="auto" w:fill="FFFFFF"/>
        </w:rPr>
      </w:pPr>
      <w:r>
        <w:rPr>
          <w:rFonts w:hint="eastAsia" w:asciiTheme="minorEastAsia" w:hAnsiTheme="minorEastAsia" w:eastAsiaTheme="minorEastAsia" w:cstheme="minorEastAsia"/>
          <w:b/>
          <w:sz w:val="24"/>
          <w:szCs w:val="24"/>
          <w:shd w:val="clear" w:color="auto" w:fill="FFFFFF"/>
        </w:rPr>
        <w:t>4.4.9</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shd w:val="clear" w:color="auto" w:fill="FFFFFF"/>
        </w:rPr>
        <w:t>体育健身公园应以健身运动设施为主，兼顾全龄需求，保障设施安全，配套运动健身相关服务设施。</w:t>
      </w:r>
    </w:p>
    <w:p w14:paraId="3383572E">
      <w:pPr>
        <w:pStyle w:val="32"/>
        <w:widowControl/>
        <w:numPr>
          <w:ilvl w:val="255"/>
          <w:numId w:val="0"/>
        </w:numPr>
        <w:shd w:val="clear" w:color="auto" w:fill="FFFFFF"/>
        <w:kinsoku w:val="0"/>
        <w:overflowPunct w:val="0"/>
        <w:spacing w:line="360" w:lineRule="auto"/>
        <w:rPr>
          <w:rFonts w:asciiTheme="minorEastAsia" w:hAnsiTheme="minorEastAsia" w:eastAsiaTheme="minorEastAsia" w:cstheme="minorEastAsia"/>
          <w:sz w:val="24"/>
          <w:szCs w:val="24"/>
          <w:shd w:val="clear" w:color="auto" w:fill="FFFFFF"/>
        </w:rPr>
      </w:pPr>
      <w:r>
        <w:rPr>
          <w:rFonts w:hint="eastAsia" w:asciiTheme="minorEastAsia" w:hAnsiTheme="minorEastAsia" w:eastAsiaTheme="minorEastAsia" w:cstheme="minorEastAsia"/>
          <w:b/>
          <w:sz w:val="24"/>
          <w:szCs w:val="24"/>
          <w:shd w:val="clear" w:color="auto" w:fill="FFFFFF"/>
        </w:rPr>
        <w:t>4.4.10</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shd w:val="clear" w:color="auto" w:fill="FFFFFF"/>
        </w:rPr>
        <w:t>儿童公园应按年龄段分区，营造安全适宜的儿童活动空间，配套看护设施，满足游戏、科普需求。</w:t>
      </w:r>
    </w:p>
    <w:p w14:paraId="50B45581">
      <w:pPr>
        <w:pStyle w:val="32"/>
        <w:widowControl/>
        <w:numPr>
          <w:ilvl w:val="255"/>
          <w:numId w:val="0"/>
        </w:numPr>
        <w:shd w:val="clear" w:color="auto" w:fill="FFFFFF"/>
        <w:kinsoku w:val="0"/>
        <w:overflowPunct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shd w:val="clear" w:color="auto" w:fill="FFFFFF"/>
        </w:rPr>
        <w:t>4.4.11</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shd w:val="clear" w:color="auto" w:fill="FFFFFF"/>
        </w:rPr>
        <w:t>应落实全面安全防护措施，特殊区域应设置专项防护与隔离设施。</w:t>
      </w:r>
    </w:p>
    <w:p w14:paraId="31410EE1">
      <w:pPr>
        <w:pStyle w:val="40"/>
        <w:outlineLvl w:val="1"/>
        <w:rPr>
          <w:b w:val="0"/>
        </w:rPr>
      </w:pPr>
      <w:bookmarkStart w:id="66" w:name="_Toc1536"/>
      <w:bookmarkStart w:id="67" w:name="_Toc15350"/>
      <w:r>
        <w:rPr>
          <w:rFonts w:hint="eastAsia"/>
          <w:b w:val="0"/>
        </w:rPr>
        <w:t>4.5　游园</w:t>
      </w:r>
      <w:bookmarkEnd w:id="66"/>
      <w:bookmarkEnd w:id="67"/>
    </w:p>
    <w:p w14:paraId="27E49F7D">
      <w:pPr>
        <w:pStyle w:val="32"/>
        <w:numPr>
          <w:ilvl w:val="255"/>
          <w:numId w:val="0"/>
        </w:numPr>
        <w:kinsoku w:val="0"/>
        <w:overflowPunct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4.5.1</w:t>
      </w:r>
      <w:r>
        <w:rPr>
          <w:rFonts w:hint="eastAsia" w:asciiTheme="minorEastAsia" w:hAnsiTheme="minorEastAsia" w:eastAsiaTheme="minorEastAsia" w:cstheme="minorEastAsia"/>
          <w:sz w:val="24"/>
          <w:szCs w:val="24"/>
        </w:rPr>
        <w:t>　应提供美观、实用、便捷的小型休闲游憩绿色空间。</w:t>
      </w:r>
    </w:p>
    <w:p w14:paraId="08C73869">
      <w:pPr>
        <w:pStyle w:val="32"/>
        <w:numPr>
          <w:ilvl w:val="255"/>
          <w:numId w:val="0"/>
        </w:numPr>
        <w:kinsoku w:val="0"/>
        <w:overflowPunct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4.5.2</w:t>
      </w:r>
      <w:r>
        <w:rPr>
          <w:rFonts w:hint="eastAsia" w:asciiTheme="minorEastAsia" w:hAnsiTheme="minorEastAsia" w:eastAsiaTheme="minorEastAsia" w:cstheme="minorEastAsia"/>
          <w:sz w:val="24"/>
          <w:szCs w:val="24"/>
        </w:rPr>
        <w:t>　活动功能的确定应与周边环境特点相结合并充分考虑周边人群使用需求。宜鼓励市民和社会力量参与设计、建设与维护。</w:t>
      </w:r>
    </w:p>
    <w:p w14:paraId="5DCBB7E2">
      <w:pPr>
        <w:pStyle w:val="32"/>
        <w:numPr>
          <w:ilvl w:val="255"/>
          <w:numId w:val="0"/>
        </w:numPr>
        <w:kinsoku w:val="0"/>
        <w:overflowPunct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4.5.3</w:t>
      </w:r>
      <w:r>
        <w:rPr>
          <w:rFonts w:hint="eastAsia" w:asciiTheme="minorEastAsia" w:hAnsiTheme="minorEastAsia" w:eastAsiaTheme="minorEastAsia" w:cstheme="minorEastAsia"/>
          <w:sz w:val="24"/>
          <w:szCs w:val="24"/>
        </w:rPr>
        <w:t>　应与周边城市景观形象相协调，尊重周边建筑风貌和环境特色，不得破坏原有城市景观格局和自然肌理。</w:t>
      </w:r>
    </w:p>
    <w:p w14:paraId="6B5A4B97">
      <w:pPr>
        <w:pStyle w:val="32"/>
        <w:numPr>
          <w:ilvl w:val="255"/>
          <w:numId w:val="0"/>
        </w:numPr>
        <w:kinsoku w:val="0"/>
        <w:overflowPunct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4.5.4</w:t>
      </w:r>
      <w:r>
        <w:rPr>
          <w:rFonts w:hint="eastAsia" w:asciiTheme="minorEastAsia" w:hAnsiTheme="minorEastAsia" w:eastAsiaTheme="minorEastAsia" w:cstheme="minorEastAsia"/>
          <w:sz w:val="24"/>
          <w:szCs w:val="24"/>
        </w:rPr>
        <w:t>　出入口应与市政人行道衔接，游憩服务设施应以安全舒适、可遮荫避雨的休憩设施为主。</w:t>
      </w:r>
    </w:p>
    <w:p w14:paraId="0212CEAE">
      <w:pPr>
        <w:pStyle w:val="32"/>
        <w:widowControl/>
        <w:numPr>
          <w:ilvl w:val="255"/>
          <w:numId w:val="0"/>
        </w:numPr>
        <w:shd w:val="clear" w:color="auto" w:fill="FFFFFF"/>
        <w:kinsoku w:val="0"/>
        <w:overflowPunct w:val="0"/>
        <w:spacing w:line="360" w:lineRule="auto"/>
        <w:rPr>
          <w:rFonts w:asciiTheme="minorEastAsia" w:hAnsiTheme="minorEastAsia" w:eastAsiaTheme="minorEastAsia" w:cstheme="minorEastAsia"/>
          <w:sz w:val="24"/>
          <w:szCs w:val="24"/>
          <w:shd w:val="clear" w:color="auto" w:fill="FFFFFF"/>
        </w:rPr>
      </w:pPr>
      <w:r>
        <w:rPr>
          <w:rFonts w:hint="eastAsia" w:asciiTheme="minorEastAsia" w:hAnsiTheme="minorEastAsia" w:eastAsiaTheme="minorEastAsia" w:cstheme="minorEastAsia"/>
          <w:b/>
          <w:sz w:val="24"/>
          <w:szCs w:val="24"/>
          <w:shd w:val="clear" w:color="auto" w:fill="FFFFFF"/>
        </w:rPr>
        <w:t>4.5.5</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shd w:val="clear" w:color="auto" w:fill="FFFFFF"/>
        </w:rPr>
        <w:t>应设置完善的夜间照明设施，满足夜间安全使用要求，避免眩光影响周边环境。</w:t>
      </w:r>
    </w:p>
    <w:p w14:paraId="268F8F34">
      <w:pPr>
        <w:spacing w:line="360" w:lineRule="auto"/>
        <w:jc w:val="left"/>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sz w:val="24"/>
          <w:szCs w:val="24"/>
          <w:shd w:val="clear" w:color="auto" w:fill="FFFFFF"/>
        </w:rPr>
        <w:t>4.5.6</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shd w:val="clear" w:color="auto" w:fill="FFFFFF"/>
        </w:rPr>
        <w:t>种植设计应选择适配场地尺度的乔灌木，注重季相变化，兼顾遮荫与通透性；宜选用抗性强、耐粗放管养的植物。</w:t>
      </w:r>
    </w:p>
    <w:bookmarkEnd w:id="58"/>
    <w:bookmarkEnd w:id="59"/>
    <w:p w14:paraId="4C1DDB17">
      <w:pPr>
        <w:widowControl/>
        <w:spacing w:line="360" w:lineRule="auto"/>
        <w:jc w:val="left"/>
        <w:rPr>
          <w:rFonts w:asciiTheme="minorEastAsia" w:hAnsiTheme="minorEastAsia" w:eastAsiaTheme="minorEastAsia" w:cstheme="minorEastAsia"/>
          <w:b/>
          <w:bCs/>
          <w:sz w:val="24"/>
          <w:szCs w:val="24"/>
        </w:rPr>
      </w:pPr>
      <w:bookmarkStart w:id="68" w:name="_Toc2129"/>
      <w:r>
        <w:rPr>
          <w:rFonts w:hint="eastAsia" w:asciiTheme="minorEastAsia" w:hAnsiTheme="minorEastAsia" w:eastAsiaTheme="minorEastAsia" w:cstheme="minorEastAsia"/>
          <w:b/>
          <w:bCs/>
          <w:sz w:val="24"/>
          <w:szCs w:val="24"/>
        </w:rPr>
        <w:br w:type="page"/>
      </w:r>
    </w:p>
    <w:p w14:paraId="306AD61A">
      <w:pPr>
        <w:pStyle w:val="34"/>
      </w:pPr>
      <w:bookmarkStart w:id="69" w:name="_Toc5955"/>
      <w:bookmarkStart w:id="70" w:name="_Toc23385"/>
      <w:bookmarkStart w:id="71" w:name="_Toc8808"/>
      <w:r>
        <w:rPr>
          <w:rFonts w:hint="eastAsia"/>
        </w:rPr>
        <w:t>5　防护绿地</w:t>
      </w:r>
      <w:bookmarkEnd w:id="69"/>
      <w:bookmarkEnd w:id="70"/>
    </w:p>
    <w:p w14:paraId="0DA467A2">
      <w:pPr>
        <w:pStyle w:val="40"/>
        <w:outlineLvl w:val="1"/>
        <w:rPr>
          <w:b w:val="0"/>
        </w:rPr>
      </w:pPr>
      <w:bookmarkStart w:id="72" w:name="_Toc3158"/>
      <w:bookmarkStart w:id="73" w:name="_Toc22832"/>
      <w:r>
        <w:rPr>
          <w:rFonts w:hint="eastAsia"/>
          <w:b w:val="0"/>
        </w:rPr>
        <w:t>5.1　一般规定</w:t>
      </w:r>
      <w:bookmarkEnd w:id="72"/>
      <w:bookmarkEnd w:id="73"/>
    </w:p>
    <w:p w14:paraId="77287090">
      <w:pPr>
        <w:widowControl/>
        <w:spacing w:line="360" w:lineRule="auto"/>
        <w:jc w:val="lef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5.1.1</w:t>
      </w:r>
      <w:r>
        <w:rPr>
          <w:rFonts w:hint="eastAsia" w:asciiTheme="minorEastAsia" w:hAnsiTheme="minorEastAsia" w:eastAsiaTheme="minorEastAsia" w:cstheme="minorEastAsia"/>
          <w:sz w:val="24"/>
          <w:szCs w:val="24"/>
        </w:rPr>
        <w:t>　防护绿地</w:t>
      </w:r>
      <w:r>
        <w:rPr>
          <w:rFonts w:hint="eastAsia" w:asciiTheme="minorEastAsia" w:hAnsiTheme="minorEastAsia" w:eastAsiaTheme="minorEastAsia" w:cstheme="minorEastAsia"/>
          <w:kern w:val="0"/>
          <w:sz w:val="24"/>
          <w:szCs w:val="24"/>
        </w:rPr>
        <w:t>可分为卫生隔离防护绿地、道路及铁路防护绿地、高压走廊防护绿地、公用设施防护绿地等。</w:t>
      </w:r>
    </w:p>
    <w:p w14:paraId="657345C9">
      <w:pPr>
        <w:widowControl/>
        <w:spacing w:line="360" w:lineRule="auto"/>
        <w:jc w:val="lef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5.1.2</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kern w:val="0"/>
          <w:sz w:val="24"/>
          <w:szCs w:val="24"/>
        </w:rPr>
        <w:t>应优先利用现有场地植物资源，注重体现生物多样性和绿地结构系统性，最大限度发挥绿地的生态防护效果。</w:t>
      </w:r>
    </w:p>
    <w:p w14:paraId="12492B6E">
      <w:pPr>
        <w:widowControl/>
        <w:spacing w:line="360" w:lineRule="auto"/>
        <w:jc w:val="lef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5.1.3</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kern w:val="0"/>
          <w:sz w:val="24"/>
          <w:szCs w:val="24"/>
        </w:rPr>
        <w:t>应结合不同类型防护绿地的防护需求、地形地貌、植被分布等特点，设计层次分明的防护绿地体系，并确保具有保障安全的隔离宽度。</w:t>
      </w:r>
    </w:p>
    <w:p w14:paraId="1C13D4A9">
      <w:pPr>
        <w:widowControl/>
        <w:spacing w:line="360" w:lineRule="auto"/>
        <w:jc w:val="lef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5.1.4</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kern w:val="0"/>
          <w:sz w:val="24"/>
          <w:szCs w:val="24"/>
        </w:rPr>
        <w:t>应选择具有良好的生态适宜性、抗灾能力和高防护功能的植物种类。</w:t>
      </w:r>
    </w:p>
    <w:p w14:paraId="3FD205A0">
      <w:pPr>
        <w:widowControl/>
        <w:spacing w:line="360" w:lineRule="auto"/>
        <w:jc w:val="lef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5.1.5</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kern w:val="0"/>
          <w:sz w:val="24"/>
          <w:szCs w:val="24"/>
        </w:rPr>
        <w:t>应配置乔木为主、灌草搭配为辅的多树种、多结构、多功能的复层植物生态群落。</w:t>
      </w:r>
    </w:p>
    <w:p w14:paraId="53E5C49E">
      <w:pPr>
        <w:widowControl/>
        <w:spacing w:line="360" w:lineRule="auto"/>
        <w:jc w:val="lef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5.1.</w:t>
      </w:r>
      <w:r>
        <w:rPr>
          <w:rFonts w:asciiTheme="minorEastAsia" w:hAnsiTheme="minorEastAsia" w:eastAsiaTheme="minorEastAsia" w:cstheme="minorEastAsia"/>
          <w:b/>
          <w:kern w:val="0"/>
          <w:sz w:val="24"/>
          <w:szCs w:val="24"/>
        </w:rPr>
        <w:t>6</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kern w:val="0"/>
          <w:sz w:val="24"/>
          <w:szCs w:val="24"/>
        </w:rPr>
        <w:t>应设置简易道路供绿地管理养护使用。</w:t>
      </w:r>
    </w:p>
    <w:p w14:paraId="30B4BBD7">
      <w:pPr>
        <w:widowControl/>
        <w:spacing w:line="360" w:lineRule="auto"/>
        <w:jc w:val="lef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5.1.</w:t>
      </w:r>
      <w:r>
        <w:rPr>
          <w:rFonts w:asciiTheme="minorEastAsia" w:hAnsiTheme="minorEastAsia" w:eastAsiaTheme="minorEastAsia" w:cstheme="minorEastAsia"/>
          <w:b/>
          <w:kern w:val="0"/>
          <w:sz w:val="24"/>
          <w:szCs w:val="24"/>
        </w:rPr>
        <w:t>7</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kern w:val="0"/>
          <w:sz w:val="24"/>
          <w:szCs w:val="24"/>
        </w:rPr>
        <w:t>宜设置警示牌等必要的标识设施、防护围栏等配套基础设施。</w:t>
      </w:r>
    </w:p>
    <w:p w14:paraId="2096E3CD">
      <w:pPr>
        <w:pStyle w:val="40"/>
        <w:outlineLvl w:val="1"/>
        <w:rPr>
          <w:b w:val="0"/>
        </w:rPr>
      </w:pPr>
      <w:bookmarkStart w:id="74" w:name="_Toc24888"/>
      <w:bookmarkStart w:id="75" w:name="_Toc23239"/>
      <w:r>
        <w:rPr>
          <w:rFonts w:hint="eastAsia"/>
          <w:b w:val="0"/>
        </w:rPr>
        <w:t>5.2　卫生隔离防护绿地</w:t>
      </w:r>
      <w:bookmarkEnd w:id="74"/>
      <w:bookmarkEnd w:id="75"/>
    </w:p>
    <w:p w14:paraId="57ADE7E4">
      <w:pPr>
        <w:widowControl/>
        <w:spacing w:line="360" w:lineRule="auto"/>
        <w:jc w:val="lef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5.2.1</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kern w:val="0"/>
          <w:sz w:val="24"/>
          <w:szCs w:val="24"/>
        </w:rPr>
        <w:t>应在城市非工业区与卫生相关的工业用地、水源地、仓储用地及医疗用地周边设置防护绿地。</w:t>
      </w:r>
    </w:p>
    <w:p w14:paraId="45A60D6A">
      <w:pPr>
        <w:widowControl/>
        <w:spacing w:line="360" w:lineRule="auto"/>
        <w:jc w:val="lef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5.2.2</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kern w:val="0"/>
          <w:sz w:val="24"/>
          <w:szCs w:val="24"/>
        </w:rPr>
        <w:t>应选用生长健壮、郁密度高、抗逆性强的乡土树种，并具有滞尘、减噪、富集土壤重金属、抑制病菌传播等功能的树种。</w:t>
      </w:r>
    </w:p>
    <w:p w14:paraId="0E5D7174">
      <w:pPr>
        <w:widowControl/>
        <w:spacing w:line="360" w:lineRule="auto"/>
        <w:jc w:val="lef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5.2.3</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kern w:val="0"/>
          <w:sz w:val="24"/>
          <w:szCs w:val="24"/>
        </w:rPr>
        <w:t>应采用乔、灌木混交的紧密或半透风林带结构，结构内部进行自然式种植。</w:t>
      </w:r>
    </w:p>
    <w:p w14:paraId="31D62FBB">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5.2.4</w:t>
      </w:r>
      <w:r>
        <w:rPr>
          <w:rFonts w:hint="eastAsia" w:asciiTheme="minorEastAsia" w:hAnsiTheme="minorEastAsia" w:eastAsiaTheme="minorEastAsia" w:cstheme="minorEastAsia"/>
          <w:sz w:val="24"/>
          <w:szCs w:val="24"/>
        </w:rPr>
        <w:t>　卫生隔离绿地设计应符合下列规定：</w:t>
      </w:r>
    </w:p>
    <w:p w14:paraId="00F1E271">
      <w:pPr>
        <w:spacing w:line="360" w:lineRule="auto"/>
        <w:ind w:firstLine="482"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w:t>
      </w:r>
      <w:r>
        <w:rPr>
          <w:rFonts w:hint="eastAsia" w:asciiTheme="minorEastAsia" w:hAnsiTheme="minorEastAsia" w:eastAsiaTheme="minorEastAsia" w:cstheme="minorEastAsia"/>
          <w:sz w:val="24"/>
          <w:szCs w:val="24"/>
        </w:rPr>
        <w:t>　应在工厂区上风方向设置两条及以上的防护林带，林带宽度应符合现行国家标准《城市绿线划定技术规范》GB/T</w:t>
      </w:r>
      <w:r>
        <w:rPr>
          <w:rFonts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t>51163的有关规定。在工厂区的下风方向污染物开始密集降落的范围内和受影响的地段内设置防护林带；</w:t>
      </w:r>
    </w:p>
    <w:p w14:paraId="5A88C3CB">
      <w:pPr>
        <w:widowControl/>
        <w:spacing w:line="360" w:lineRule="auto"/>
        <w:ind w:firstLine="482"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2</w:t>
      </w:r>
      <w:r>
        <w:rPr>
          <w:rFonts w:hint="eastAsia" w:asciiTheme="minorEastAsia" w:hAnsiTheme="minorEastAsia" w:eastAsiaTheme="minorEastAsia" w:cstheme="minorEastAsia"/>
          <w:sz w:val="24"/>
          <w:szCs w:val="24"/>
        </w:rPr>
        <w:t>　水源地隔离带设立在紧邻河道、湖泊等水体一侧，由林、草或湿地植物覆盖，宜带状分布；</w:t>
      </w:r>
    </w:p>
    <w:p w14:paraId="4BCC2C2C">
      <w:pPr>
        <w:widowControl/>
        <w:spacing w:line="360" w:lineRule="auto"/>
        <w:ind w:firstLine="482"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kern w:val="0"/>
          <w:sz w:val="24"/>
          <w:szCs w:val="24"/>
        </w:rPr>
        <w:t>3</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kern w:val="0"/>
          <w:sz w:val="24"/>
          <w:szCs w:val="24"/>
        </w:rPr>
        <w:t>水源地周边应避免选择容易产生飞絮及花粉的树种；</w:t>
      </w:r>
    </w:p>
    <w:p w14:paraId="72C768BA">
      <w:pPr>
        <w:spacing w:line="360" w:lineRule="auto"/>
        <w:ind w:firstLine="482"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4</w:t>
      </w:r>
      <w:r>
        <w:rPr>
          <w:rFonts w:hint="eastAsia" w:asciiTheme="minorEastAsia" w:hAnsiTheme="minorEastAsia" w:eastAsiaTheme="minorEastAsia" w:cstheme="minorEastAsia"/>
          <w:sz w:val="24"/>
          <w:szCs w:val="24"/>
        </w:rPr>
        <w:t>　仓储用地隔离带应在主导风向迎风面布置防风绿带；</w:t>
      </w:r>
    </w:p>
    <w:p w14:paraId="6709921E">
      <w:pPr>
        <w:spacing w:line="360" w:lineRule="auto"/>
        <w:ind w:firstLine="482"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5</w:t>
      </w:r>
      <w:r>
        <w:rPr>
          <w:rFonts w:hint="eastAsia" w:asciiTheme="minorEastAsia" w:hAnsiTheme="minorEastAsia" w:eastAsiaTheme="minorEastAsia" w:cstheme="minorEastAsia"/>
          <w:sz w:val="24"/>
          <w:szCs w:val="24"/>
        </w:rPr>
        <w:t>　医疗用地防护绿带应选用具有较强杀灭真菌、细菌等传染病菌的常绿树种，带状围合于医疗用地周边。</w:t>
      </w:r>
    </w:p>
    <w:p w14:paraId="75376E20">
      <w:pPr>
        <w:pStyle w:val="40"/>
        <w:outlineLvl w:val="1"/>
        <w:rPr>
          <w:b w:val="0"/>
        </w:rPr>
      </w:pPr>
      <w:bookmarkStart w:id="76" w:name="_Toc31278"/>
      <w:bookmarkStart w:id="77" w:name="_Toc2545"/>
      <w:r>
        <w:rPr>
          <w:rFonts w:hint="eastAsia"/>
          <w:b w:val="0"/>
        </w:rPr>
        <w:t>5.3　道路及铁路防护绿地</w:t>
      </w:r>
      <w:bookmarkEnd w:id="76"/>
      <w:bookmarkEnd w:id="77"/>
    </w:p>
    <w:p w14:paraId="6A88AAAC">
      <w:pPr>
        <w:widowControl/>
        <w:spacing w:line="360" w:lineRule="auto"/>
        <w:jc w:val="lef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5.3.1</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kern w:val="0"/>
          <w:sz w:val="24"/>
          <w:szCs w:val="24"/>
        </w:rPr>
        <w:t>应采用线性延续的布局形式，与城郊绿地形成整体的防护林体系。不同等级、不同类型路段应进行针对性设计。</w:t>
      </w:r>
    </w:p>
    <w:p w14:paraId="18087BCD">
      <w:pPr>
        <w:widowControl/>
        <w:spacing w:line="360" w:lineRule="auto"/>
        <w:jc w:val="lef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5.3.2</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kern w:val="0"/>
          <w:sz w:val="24"/>
          <w:szCs w:val="24"/>
        </w:rPr>
        <w:t>应兼顾</w:t>
      </w:r>
      <w:r>
        <w:rPr>
          <w:rFonts w:hint="eastAsia" w:asciiTheme="minorEastAsia" w:hAnsiTheme="minorEastAsia" w:eastAsiaTheme="minorEastAsia" w:cstheme="minorEastAsia"/>
          <w:kern w:val="0"/>
          <w:sz w:val="24"/>
          <w:szCs w:val="24"/>
          <w:lang w:eastAsia="zh-Hans"/>
        </w:rPr>
        <w:t>地域</w:t>
      </w:r>
      <w:r>
        <w:rPr>
          <w:rFonts w:hint="eastAsia" w:asciiTheme="minorEastAsia" w:hAnsiTheme="minorEastAsia" w:eastAsiaTheme="minorEastAsia" w:cstheme="minorEastAsia"/>
          <w:kern w:val="0"/>
          <w:sz w:val="24"/>
          <w:szCs w:val="24"/>
        </w:rPr>
        <w:t>环境差异，选择根深叶大、耐病虫害、抗风性强、易于养护的植物品种。</w:t>
      </w:r>
    </w:p>
    <w:p w14:paraId="18822FDB">
      <w:pPr>
        <w:widowControl/>
        <w:spacing w:line="360" w:lineRule="auto"/>
        <w:jc w:val="lef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5.3.3</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kern w:val="0"/>
          <w:sz w:val="24"/>
          <w:szCs w:val="24"/>
        </w:rPr>
        <w:t>植物配置宜采用乔木为主搭配灌木、地被的复层栽植形式。</w:t>
      </w:r>
    </w:p>
    <w:p w14:paraId="5572A9DE">
      <w:pPr>
        <w:widowControl/>
        <w:spacing w:line="360" w:lineRule="auto"/>
        <w:jc w:val="lef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5.3.4</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kern w:val="0"/>
          <w:sz w:val="24"/>
          <w:szCs w:val="24"/>
        </w:rPr>
        <w:t>道路两侧防护绿地宽度大于或等于12m时，可因地制宜地布置休闲空间、休憩设施和慢行绿道。</w:t>
      </w:r>
    </w:p>
    <w:p w14:paraId="2AEB842A">
      <w:pPr>
        <w:pStyle w:val="40"/>
        <w:outlineLvl w:val="1"/>
        <w:rPr>
          <w:b w:val="0"/>
        </w:rPr>
      </w:pPr>
      <w:bookmarkStart w:id="78" w:name="_Toc3242"/>
      <w:bookmarkStart w:id="79" w:name="_Toc30334"/>
      <w:r>
        <w:rPr>
          <w:rFonts w:hint="eastAsia"/>
          <w:b w:val="0"/>
        </w:rPr>
        <w:t>5.4　高压走廊防护绿地</w:t>
      </w:r>
      <w:bookmarkEnd w:id="78"/>
      <w:bookmarkEnd w:id="79"/>
    </w:p>
    <w:p w14:paraId="283A02EB">
      <w:pPr>
        <w:widowControl/>
        <w:spacing w:line="360" w:lineRule="auto"/>
        <w:jc w:val="left"/>
        <w:rPr>
          <w:rFonts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kern w:val="0"/>
          <w:sz w:val="24"/>
          <w:szCs w:val="24"/>
        </w:rPr>
        <w:t>5.4.1</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kern w:val="0"/>
          <w:sz w:val="24"/>
          <w:szCs w:val="24"/>
        </w:rPr>
        <w:t>高压走廊防护绿地的植物配置应满足安全性要求，不得选择危及电力设施安全的植物，种植要求应符合现行国家标准《城市电力规划规范》GB/T</w:t>
      </w:r>
      <w:r>
        <w:rPr>
          <w:rFonts w:asciiTheme="minorEastAsia" w:hAnsiTheme="minorEastAsia" w:eastAsiaTheme="minorEastAsia" w:cstheme="minorEastAsia"/>
          <w:kern w:val="0"/>
          <w:sz w:val="24"/>
          <w:szCs w:val="24"/>
        </w:rPr>
        <w:t xml:space="preserve"> </w:t>
      </w:r>
      <w:r>
        <w:rPr>
          <w:rFonts w:hint="eastAsia" w:asciiTheme="minorEastAsia" w:hAnsiTheme="minorEastAsia" w:eastAsiaTheme="minorEastAsia" w:cstheme="minorEastAsia"/>
          <w:kern w:val="0"/>
          <w:sz w:val="24"/>
          <w:szCs w:val="24"/>
        </w:rPr>
        <w:t>50293的</w:t>
      </w:r>
      <w:r>
        <w:rPr>
          <w:rFonts w:hint="eastAsia" w:asciiTheme="minorEastAsia" w:hAnsiTheme="minorEastAsia" w:eastAsiaTheme="minorEastAsia" w:cstheme="minorEastAsia"/>
          <w:sz w:val="24"/>
          <w:szCs w:val="24"/>
        </w:rPr>
        <w:t>有关</w:t>
      </w:r>
      <w:r>
        <w:rPr>
          <w:rFonts w:hint="eastAsia" w:asciiTheme="minorEastAsia" w:hAnsiTheme="minorEastAsia" w:eastAsiaTheme="minorEastAsia" w:cstheme="minorEastAsia"/>
          <w:kern w:val="0"/>
          <w:sz w:val="24"/>
          <w:szCs w:val="24"/>
        </w:rPr>
        <w:t>规定。应及时修剪或砍伐危及架空电力线路安全的树木。</w:t>
      </w:r>
    </w:p>
    <w:p w14:paraId="548ECC09">
      <w:pPr>
        <w:widowControl/>
        <w:spacing w:line="360" w:lineRule="auto"/>
        <w:jc w:val="lef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5.4.2</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kern w:val="0"/>
          <w:sz w:val="24"/>
          <w:szCs w:val="24"/>
        </w:rPr>
        <w:t>地形设计应避开杆塔、拉线基础，附近区域不得进行土方填挖。</w:t>
      </w:r>
    </w:p>
    <w:p w14:paraId="053646DF">
      <w:pPr>
        <w:widowControl/>
        <w:spacing w:line="360" w:lineRule="auto"/>
        <w:jc w:val="lef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5.4.3</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kern w:val="0"/>
          <w:sz w:val="24"/>
          <w:szCs w:val="24"/>
        </w:rPr>
        <w:t>电力设施周边应优先选择乡土、耐火、低矮且生长缓慢的植物，不宜种植藤本植物，</w:t>
      </w:r>
      <w:r>
        <w:rPr>
          <w:rFonts w:hint="eastAsia" w:asciiTheme="minorEastAsia" w:hAnsiTheme="minorEastAsia" w:eastAsiaTheme="minorEastAsia" w:cstheme="minorEastAsia"/>
          <w:kern w:val="0"/>
          <w:sz w:val="24"/>
          <w:szCs w:val="24"/>
          <w:lang w:eastAsia="zh-Hans"/>
        </w:rPr>
        <w:t>不得有</w:t>
      </w:r>
      <w:r>
        <w:rPr>
          <w:rFonts w:hint="eastAsia" w:asciiTheme="minorEastAsia" w:hAnsiTheme="minorEastAsia" w:eastAsiaTheme="minorEastAsia" w:cstheme="minorEastAsia"/>
          <w:kern w:val="0"/>
          <w:sz w:val="24"/>
          <w:szCs w:val="24"/>
        </w:rPr>
        <w:t>植物攀附杆塔。</w:t>
      </w:r>
    </w:p>
    <w:p w14:paraId="0E498513">
      <w:pPr>
        <w:pStyle w:val="40"/>
        <w:outlineLvl w:val="1"/>
        <w:rPr>
          <w:b w:val="0"/>
        </w:rPr>
      </w:pPr>
      <w:bookmarkStart w:id="80" w:name="_Toc4237"/>
      <w:bookmarkStart w:id="81" w:name="_Toc7271"/>
      <w:r>
        <w:rPr>
          <w:rFonts w:hint="eastAsia"/>
          <w:b w:val="0"/>
        </w:rPr>
        <w:t>5.5　公用设施防护绿地</w:t>
      </w:r>
      <w:bookmarkEnd w:id="80"/>
      <w:bookmarkEnd w:id="81"/>
    </w:p>
    <w:p w14:paraId="3582D5E3">
      <w:pPr>
        <w:widowControl/>
        <w:spacing w:line="360" w:lineRule="auto"/>
        <w:jc w:val="lef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5.5.1</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kern w:val="0"/>
          <w:sz w:val="24"/>
          <w:szCs w:val="24"/>
        </w:rPr>
        <w:t>应针对供应、环境及安全设施的主要防护目的选择植物，</w:t>
      </w:r>
      <w:r>
        <w:rPr>
          <w:rFonts w:hint="eastAsia" w:asciiTheme="minorEastAsia" w:hAnsiTheme="minorEastAsia" w:eastAsiaTheme="minorEastAsia" w:cstheme="minorEastAsia"/>
          <w:kern w:val="0"/>
          <w:sz w:val="24"/>
          <w:szCs w:val="24"/>
          <w:lang w:eastAsia="zh-Hans"/>
        </w:rPr>
        <w:t>不得</w:t>
      </w:r>
      <w:r>
        <w:rPr>
          <w:rFonts w:hint="eastAsia" w:asciiTheme="minorEastAsia" w:hAnsiTheme="minorEastAsia" w:eastAsiaTheme="minorEastAsia" w:cstheme="minorEastAsia"/>
          <w:kern w:val="0"/>
          <w:sz w:val="24"/>
          <w:szCs w:val="24"/>
        </w:rPr>
        <w:t>选择影响公用设施正常运行的植源性污染树种。</w:t>
      </w:r>
    </w:p>
    <w:p w14:paraId="775430D7">
      <w:pPr>
        <w:widowControl/>
        <w:spacing w:line="360" w:lineRule="auto"/>
        <w:jc w:val="lef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5.5.2</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kern w:val="0"/>
          <w:sz w:val="24"/>
          <w:szCs w:val="24"/>
        </w:rPr>
        <w:t>植物配置应根据防护对象特征、防护绿地宽度及所在区域夏季主导风向的不同，以乔灌木为主，合理配置。</w:t>
      </w:r>
    </w:p>
    <w:p w14:paraId="73E29DF7">
      <w:pPr>
        <w:widowControl/>
        <w:spacing w:line="360" w:lineRule="auto"/>
        <w:jc w:val="lef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5.5.3</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kern w:val="0"/>
          <w:sz w:val="24"/>
          <w:szCs w:val="24"/>
        </w:rPr>
        <w:t>环境设施防护绿地不应采用雨水下渗减排方式。</w:t>
      </w:r>
    </w:p>
    <w:p w14:paraId="57D3024B">
      <w:pPr>
        <w:spacing w:line="360" w:lineRule="auto"/>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5.5.4</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kern w:val="0"/>
          <w:sz w:val="24"/>
          <w:szCs w:val="24"/>
        </w:rPr>
        <w:t>各类设施防护绿地设计</w:t>
      </w:r>
      <w:r>
        <w:rPr>
          <w:rFonts w:hint="eastAsia" w:asciiTheme="minorEastAsia" w:hAnsiTheme="minorEastAsia" w:eastAsiaTheme="minorEastAsia" w:cstheme="minorEastAsia"/>
          <w:sz w:val="24"/>
          <w:szCs w:val="24"/>
        </w:rPr>
        <w:t>应符合下列规定：</w:t>
      </w:r>
    </w:p>
    <w:p w14:paraId="550BD0EF">
      <w:pPr>
        <w:spacing w:line="360" w:lineRule="auto"/>
        <w:ind w:firstLine="482"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kern w:val="0"/>
          <w:sz w:val="24"/>
          <w:szCs w:val="24"/>
        </w:rPr>
        <w:t>1</w:t>
      </w:r>
      <w:r>
        <w:rPr>
          <w:rFonts w:hint="eastAsia" w:asciiTheme="minorEastAsia" w:hAnsiTheme="minorEastAsia" w:eastAsiaTheme="minorEastAsia" w:cstheme="minorEastAsia"/>
          <w:sz w:val="24"/>
          <w:szCs w:val="24"/>
        </w:rPr>
        <w:t>　水厂、变电所（站）绿地应以隔离人群、灰尘和保护公用设施为主。水厂绿地不应种植产生飞絮和多花粉的植物；</w:t>
      </w:r>
    </w:p>
    <w:p w14:paraId="415B4AEC">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b/>
          <w:sz w:val="24"/>
          <w:szCs w:val="24"/>
        </w:rPr>
        <w:t>2</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napToGrid w:val="0"/>
          <w:kern w:val="0"/>
          <w:sz w:val="24"/>
          <w:szCs w:val="24"/>
        </w:rPr>
        <w:t>配电设施周围应以草坪、花卉等地被类植物为主，可种植少量灌木并保持安全距离；变压器室附近禁种带飞絮的植物，宜选滞尘强的品种；</w:t>
      </w:r>
    </w:p>
    <w:p w14:paraId="6656215D">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3</w:t>
      </w:r>
      <w:r>
        <w:rPr>
          <w:rFonts w:hint="eastAsia" w:asciiTheme="minorEastAsia" w:hAnsiTheme="minorEastAsia" w:eastAsiaTheme="minorEastAsia" w:cstheme="minorEastAsia"/>
          <w:sz w:val="24"/>
          <w:szCs w:val="24"/>
        </w:rPr>
        <w:t>　易燃、易爆区域附近应布置枝叶茂密、含水分多的大乔木及灌木；液化气设施附近，不宜种植绿篱及茂密灌木，可铺设草坪或稀疏乔木；</w:t>
      </w:r>
    </w:p>
    <w:p w14:paraId="114AE0A1">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4　</w:t>
      </w:r>
      <w:r>
        <w:rPr>
          <w:rFonts w:hint="eastAsia" w:asciiTheme="minorEastAsia" w:hAnsiTheme="minorEastAsia" w:eastAsiaTheme="minorEastAsia" w:cstheme="minorEastAsia"/>
          <w:sz w:val="24"/>
          <w:szCs w:val="24"/>
        </w:rPr>
        <w:t>泵站、污水处理厂、建筑垃圾转运调配厂等设施防护绿地，宜选用隔音降音效果好、对粉尘吸附性强以及抗污染能力强的植物；</w:t>
      </w:r>
    </w:p>
    <w:p w14:paraId="00982CED">
      <w:pPr>
        <w:spacing w:line="360" w:lineRule="auto"/>
        <w:ind w:firstLine="482"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5</w:t>
      </w:r>
      <w:r>
        <w:rPr>
          <w:rFonts w:hint="eastAsia" w:asciiTheme="minorEastAsia" w:hAnsiTheme="minorEastAsia" w:eastAsiaTheme="minorEastAsia" w:cstheme="minorEastAsia"/>
          <w:sz w:val="24"/>
          <w:szCs w:val="24"/>
        </w:rPr>
        <w:t>　污水处理厂、生活垃圾及卫生填埋场等设施防护绿地宜选用滞尘能力强、抗污染、吸污能力强的并对SO</w:t>
      </w:r>
      <w:r>
        <w:rPr>
          <w:rFonts w:hint="eastAsia" w:asciiTheme="minorEastAsia" w:hAnsiTheme="minorEastAsia" w:eastAsiaTheme="minorEastAsia" w:cstheme="minorEastAsia"/>
          <w:sz w:val="24"/>
          <w:szCs w:val="24"/>
          <w:vertAlign w:val="subscript"/>
        </w:rPr>
        <w:t>2</w:t>
      </w:r>
      <w:r>
        <w:rPr>
          <w:rFonts w:hint="eastAsia" w:asciiTheme="minorEastAsia" w:hAnsiTheme="minorEastAsia" w:eastAsiaTheme="minorEastAsia" w:cstheme="minorEastAsia"/>
          <w:sz w:val="24"/>
          <w:szCs w:val="24"/>
        </w:rPr>
        <w:t>、Cl</w:t>
      </w:r>
      <w:r>
        <w:rPr>
          <w:rFonts w:hint="eastAsia" w:asciiTheme="minorEastAsia" w:hAnsiTheme="minorEastAsia" w:eastAsiaTheme="minorEastAsia" w:cstheme="minorEastAsia"/>
          <w:sz w:val="24"/>
          <w:szCs w:val="24"/>
          <w:vertAlign w:val="subscript"/>
        </w:rPr>
        <w:t>2</w:t>
      </w:r>
      <w:r>
        <w:rPr>
          <w:rFonts w:hint="eastAsia" w:asciiTheme="minorEastAsia" w:hAnsiTheme="minorEastAsia" w:eastAsiaTheme="minorEastAsia" w:cstheme="minorEastAsia"/>
          <w:sz w:val="24"/>
          <w:szCs w:val="24"/>
        </w:rPr>
        <w:t>等化学物具有一定抗性的植物。宜和芳香型植物搭配种植；</w:t>
      </w:r>
    </w:p>
    <w:p w14:paraId="6900288F">
      <w:pPr>
        <w:spacing w:line="360" w:lineRule="auto"/>
        <w:ind w:firstLine="482"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6</w:t>
      </w:r>
      <w:r>
        <w:rPr>
          <w:rFonts w:hint="eastAsia" w:asciiTheme="minorEastAsia" w:hAnsiTheme="minorEastAsia" w:eastAsiaTheme="minorEastAsia" w:cstheme="minorEastAsia"/>
          <w:sz w:val="24"/>
          <w:szCs w:val="24"/>
        </w:rPr>
        <w:t>　垃圾焚烧厂防护绿地宜选用降噪除尘功能强，耐贫瘠、对重金属有一定吸附功能并具有阻燃性的植物；</w:t>
      </w:r>
    </w:p>
    <w:p w14:paraId="4620D316">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b/>
          <w:snapToGrid w:val="0"/>
          <w:kern w:val="0"/>
          <w:sz w:val="24"/>
          <w:szCs w:val="24"/>
        </w:rPr>
        <w:t>7</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napToGrid w:val="0"/>
          <w:kern w:val="0"/>
          <w:sz w:val="24"/>
          <w:szCs w:val="24"/>
        </w:rPr>
        <w:t>防洪设施用地应确保行洪安全，宜选择耐旱、耐盐碱、耐潮湿、枝叶繁茂、根系发达、抗冲抗淹的本地植物；</w:t>
      </w:r>
    </w:p>
    <w:p w14:paraId="744ECFD3">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sz w:val="24"/>
          <w:szCs w:val="24"/>
        </w:rPr>
        <w:t>8</w:t>
      </w:r>
      <w:r>
        <w:rPr>
          <w:rFonts w:hint="eastAsia" w:asciiTheme="minorEastAsia" w:hAnsiTheme="minorEastAsia" w:eastAsiaTheme="minorEastAsia" w:cstheme="minorEastAsia"/>
          <w:sz w:val="24"/>
          <w:szCs w:val="24"/>
        </w:rPr>
        <w:t>　防洪堤面宜采用草皮或低矮灌木护坡，护堤林带应栽种在背水侧。河岸、滩宜采用植树、植草等生物防护措施。可设置防浪林台、防浪林带等，林带的宽度、行距、株距应满足消浪、促淤、固土、保堤等要求。</w:t>
      </w:r>
    </w:p>
    <w:p w14:paraId="3C5CB507">
      <w:pPr>
        <w:widowControl/>
        <w:jc w:val="left"/>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br w:type="page"/>
      </w:r>
    </w:p>
    <w:p w14:paraId="4B999313">
      <w:pPr>
        <w:pStyle w:val="34"/>
      </w:pPr>
      <w:bookmarkStart w:id="82" w:name="_Toc6291"/>
      <w:bookmarkStart w:id="83" w:name="_Toc6894"/>
      <w:r>
        <w:rPr>
          <w:rFonts w:hint="eastAsia"/>
        </w:rPr>
        <w:t>6　广场用地</w:t>
      </w:r>
      <w:bookmarkEnd w:id="82"/>
      <w:bookmarkEnd w:id="83"/>
    </w:p>
    <w:p w14:paraId="5DAC2F52">
      <w:pPr>
        <w:pStyle w:val="40"/>
        <w:outlineLvl w:val="1"/>
        <w:rPr>
          <w:b w:val="0"/>
        </w:rPr>
      </w:pPr>
      <w:bookmarkStart w:id="84" w:name="_Toc13410"/>
      <w:bookmarkStart w:id="85" w:name="_Toc30151"/>
      <w:r>
        <w:rPr>
          <w:rFonts w:hint="eastAsia"/>
          <w:b w:val="0"/>
        </w:rPr>
        <w:t>6.1　一般规定</w:t>
      </w:r>
      <w:bookmarkEnd w:id="84"/>
      <w:bookmarkEnd w:id="85"/>
    </w:p>
    <w:p w14:paraId="31A03A73">
      <w:pPr>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6.1.</w:t>
      </w:r>
      <w:r>
        <w:rPr>
          <w:rFonts w:asciiTheme="minorEastAsia" w:hAnsiTheme="minorEastAsia" w:eastAsiaTheme="minorEastAsia" w:cstheme="minorEastAsia"/>
          <w:b/>
          <w:sz w:val="24"/>
          <w:szCs w:val="24"/>
        </w:rPr>
        <w:t>1</w:t>
      </w:r>
      <w:r>
        <w:rPr>
          <w:rFonts w:hint="eastAsia" w:asciiTheme="minorEastAsia" w:hAnsiTheme="minorEastAsia" w:eastAsiaTheme="minorEastAsia" w:cstheme="minorEastAsia"/>
          <w:sz w:val="24"/>
          <w:szCs w:val="24"/>
        </w:rPr>
        <w:t>　应符合上位规划要求，明确功能定位，综合承载游憩、纪念、集会、集散、交通接驳、防灾避险等复合功能。</w:t>
      </w:r>
    </w:p>
    <w:p w14:paraId="6AEF2990">
      <w:pPr>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kern w:val="0"/>
          <w:sz w:val="24"/>
          <w:szCs w:val="24"/>
        </w:rPr>
        <w:t>6.1.</w:t>
      </w:r>
      <w:r>
        <w:rPr>
          <w:rFonts w:asciiTheme="minorEastAsia" w:hAnsiTheme="minorEastAsia" w:eastAsiaTheme="minorEastAsia" w:cstheme="minorEastAsia"/>
          <w:b/>
          <w:kern w:val="0"/>
          <w:sz w:val="24"/>
          <w:szCs w:val="24"/>
        </w:rPr>
        <w:t>2</w:t>
      </w:r>
      <w:r>
        <w:rPr>
          <w:rFonts w:hint="eastAsia" w:asciiTheme="minorEastAsia" w:hAnsiTheme="minorEastAsia" w:eastAsiaTheme="minorEastAsia" w:cstheme="minorEastAsia"/>
          <w:sz w:val="24"/>
          <w:szCs w:val="24"/>
        </w:rPr>
        <w:t>　应坚持以人为本、平灾结合，落实全龄友好与无障碍设计要求，提升使用舒适度。</w:t>
      </w:r>
    </w:p>
    <w:p w14:paraId="741A66B4">
      <w:pPr>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6.1.</w:t>
      </w:r>
      <w:r>
        <w:rPr>
          <w:rFonts w:asciiTheme="minorEastAsia" w:hAnsiTheme="minorEastAsia" w:eastAsiaTheme="minorEastAsia" w:cstheme="minorEastAsia"/>
          <w:b/>
          <w:sz w:val="24"/>
          <w:szCs w:val="24"/>
        </w:rPr>
        <w:t>3</w:t>
      </w:r>
      <w:r>
        <w:rPr>
          <w:rFonts w:hint="eastAsia" w:asciiTheme="minorEastAsia" w:hAnsiTheme="minorEastAsia" w:eastAsiaTheme="minorEastAsia" w:cstheme="minorEastAsia"/>
          <w:sz w:val="24"/>
          <w:szCs w:val="24"/>
        </w:rPr>
        <w:t>　宜结合原有地貌、古树名木、历史遗存、周边建筑的开发，多层次、一体化设计。</w:t>
      </w:r>
    </w:p>
    <w:p w14:paraId="33E30F16">
      <w:pPr>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6.1.</w:t>
      </w:r>
      <w:r>
        <w:rPr>
          <w:rFonts w:asciiTheme="minorEastAsia" w:hAnsiTheme="minorEastAsia" w:eastAsiaTheme="minorEastAsia" w:cstheme="minorEastAsia"/>
          <w:b/>
          <w:sz w:val="24"/>
          <w:szCs w:val="24"/>
        </w:rPr>
        <w:t>4</w:t>
      </w:r>
      <w:r>
        <w:rPr>
          <w:rFonts w:hint="eastAsia" w:asciiTheme="minorEastAsia" w:hAnsiTheme="minorEastAsia" w:eastAsiaTheme="minorEastAsia" w:cstheme="minorEastAsia"/>
          <w:sz w:val="24"/>
          <w:szCs w:val="24"/>
        </w:rPr>
        <w:t>　广场空间布局应与周边城市道路交通、用地功能、自然生态要素等外部条件相协调。</w:t>
      </w:r>
    </w:p>
    <w:p w14:paraId="28C69709">
      <w:pPr>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6.1.</w:t>
      </w:r>
      <w:r>
        <w:rPr>
          <w:rFonts w:asciiTheme="minorEastAsia" w:hAnsiTheme="minorEastAsia" w:eastAsiaTheme="minorEastAsia" w:cstheme="minorEastAsia"/>
          <w:b/>
          <w:sz w:val="24"/>
          <w:szCs w:val="24"/>
        </w:rPr>
        <w:t>5</w:t>
      </w:r>
      <w:r>
        <w:rPr>
          <w:rFonts w:hint="eastAsia" w:asciiTheme="minorEastAsia" w:hAnsiTheme="minorEastAsia" w:eastAsiaTheme="minorEastAsia" w:cstheme="minorEastAsia"/>
          <w:sz w:val="24"/>
          <w:szCs w:val="24"/>
        </w:rPr>
        <w:t>　广场可通过地形塑造、种植设计、铺装变化营造层次清晰的空间序列。内部布局应主次分明、动静分区，兼顾多种使用场景需求。</w:t>
      </w:r>
    </w:p>
    <w:p w14:paraId="659CF827">
      <w:pPr>
        <w:pStyle w:val="40"/>
        <w:outlineLvl w:val="1"/>
        <w:rPr>
          <w:b w:val="0"/>
        </w:rPr>
      </w:pPr>
      <w:bookmarkStart w:id="86" w:name="_Toc14460"/>
      <w:bookmarkStart w:id="87" w:name="_Toc11358"/>
      <w:r>
        <w:rPr>
          <w:rFonts w:hint="eastAsia"/>
          <w:b w:val="0"/>
        </w:rPr>
        <w:t>6.2　绿化、设施及铺装</w:t>
      </w:r>
      <w:bookmarkEnd w:id="86"/>
      <w:bookmarkEnd w:id="87"/>
    </w:p>
    <w:p w14:paraId="51E8DFBC">
      <w:pPr>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6.2.1</w:t>
      </w:r>
      <w:r>
        <w:rPr>
          <w:rFonts w:hint="eastAsia" w:asciiTheme="minorEastAsia" w:hAnsiTheme="minorEastAsia" w:eastAsiaTheme="minorEastAsia" w:cstheme="minorEastAsia"/>
          <w:sz w:val="24"/>
          <w:szCs w:val="24"/>
        </w:rPr>
        <w:t>　绿化应符合下列规定：</w:t>
      </w:r>
    </w:p>
    <w:p w14:paraId="6DDC1AE4">
      <w:pPr>
        <w:spacing w:line="360" w:lineRule="auto"/>
        <w:ind w:firstLine="482"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w:t>
      </w:r>
      <w:r>
        <w:rPr>
          <w:rFonts w:hint="eastAsia" w:asciiTheme="minorEastAsia" w:hAnsiTheme="minorEastAsia" w:eastAsiaTheme="minorEastAsia" w:cstheme="minorEastAsia"/>
          <w:sz w:val="24"/>
          <w:szCs w:val="24"/>
        </w:rPr>
        <w:t>　广场绿地率不应低于35%；</w:t>
      </w:r>
    </w:p>
    <w:p w14:paraId="300096BD">
      <w:pPr>
        <w:spacing w:line="360" w:lineRule="auto"/>
        <w:ind w:firstLine="482"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2</w:t>
      </w:r>
      <w:r>
        <w:rPr>
          <w:rFonts w:hint="eastAsia" w:asciiTheme="minorEastAsia" w:hAnsiTheme="minorEastAsia" w:eastAsiaTheme="minorEastAsia" w:cstheme="minorEastAsia"/>
          <w:sz w:val="24"/>
          <w:szCs w:val="24"/>
        </w:rPr>
        <w:t>　植物选择应以乡土、长寿、无过敏源的乔木及花期长、易养护的林下地被为主，可适量配置开花小乔木与灌木；</w:t>
      </w:r>
    </w:p>
    <w:p w14:paraId="21A39885">
      <w:pPr>
        <w:spacing w:line="360" w:lineRule="auto"/>
        <w:ind w:firstLine="482"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3</w:t>
      </w:r>
      <w:r>
        <w:rPr>
          <w:rFonts w:hint="eastAsia" w:asciiTheme="minorEastAsia" w:hAnsiTheme="minorEastAsia" w:eastAsiaTheme="minorEastAsia" w:cstheme="minorEastAsia"/>
          <w:sz w:val="24"/>
          <w:szCs w:val="24"/>
        </w:rPr>
        <w:t>　对外界面、主要空间及重要轴线区域，宜选用分支点高、冠大荫浓的乔木列植或树阵种植；林下宜配置耐荫地被或草坪。广场集中绿地宜采用自然式复层种植模式；</w:t>
      </w:r>
    </w:p>
    <w:p w14:paraId="1C1EE136">
      <w:pPr>
        <w:spacing w:line="360" w:lineRule="auto"/>
        <w:ind w:firstLine="482"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4</w:t>
      </w:r>
      <w:r>
        <w:rPr>
          <w:rFonts w:hint="eastAsia" w:asciiTheme="minorEastAsia" w:hAnsiTheme="minorEastAsia" w:eastAsiaTheme="minorEastAsia" w:cstheme="minorEastAsia"/>
          <w:sz w:val="24"/>
          <w:szCs w:val="24"/>
        </w:rPr>
        <w:t>　场地高差较大的广场，可结合陡坡、挡墙设置立体绿化；</w:t>
      </w:r>
    </w:p>
    <w:p w14:paraId="4B885F70">
      <w:pPr>
        <w:spacing w:line="360" w:lineRule="auto"/>
        <w:ind w:firstLine="482" w:firstLineChars="200"/>
        <w:jc w:val="left"/>
        <w:rPr>
          <w:rFonts w:asciiTheme="minorEastAsia" w:hAnsiTheme="minorEastAsia" w:eastAsiaTheme="minorEastAsia" w:cstheme="minorEastAsia"/>
          <w:sz w:val="24"/>
          <w:szCs w:val="24"/>
        </w:rPr>
      </w:pPr>
      <w:r>
        <w:rPr>
          <w:rFonts w:asciiTheme="minorEastAsia" w:hAnsiTheme="minorEastAsia" w:eastAsiaTheme="minorEastAsia" w:cstheme="minorEastAsia"/>
          <w:b/>
          <w:sz w:val="24"/>
          <w:szCs w:val="24"/>
        </w:rPr>
        <w:t>5</w:t>
      </w:r>
      <w:r>
        <w:rPr>
          <w:rFonts w:hint="eastAsia" w:asciiTheme="minorEastAsia" w:hAnsiTheme="minorEastAsia" w:eastAsiaTheme="minorEastAsia" w:cstheme="minorEastAsia"/>
          <w:sz w:val="24"/>
          <w:szCs w:val="24"/>
        </w:rPr>
        <w:t>　节庆及重大活动期间，可在广场主入口、核心空间、轴线沿路等区域临时布置时令花卉。</w:t>
      </w:r>
    </w:p>
    <w:p w14:paraId="49C218A3">
      <w:pPr>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6.2.2</w:t>
      </w:r>
      <w:r>
        <w:rPr>
          <w:rFonts w:hint="eastAsia" w:asciiTheme="minorEastAsia" w:hAnsiTheme="minorEastAsia" w:eastAsiaTheme="minorEastAsia" w:cstheme="minorEastAsia"/>
          <w:sz w:val="24"/>
          <w:szCs w:val="24"/>
        </w:rPr>
        <w:t>　广场设施及铺装设计应符合下列规定：</w:t>
      </w:r>
    </w:p>
    <w:p w14:paraId="363813F6">
      <w:pPr>
        <w:spacing w:line="360" w:lineRule="auto"/>
        <w:ind w:firstLine="482"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w:t>
      </w:r>
      <w:r>
        <w:rPr>
          <w:rFonts w:hint="eastAsia" w:asciiTheme="minorEastAsia" w:hAnsiTheme="minorEastAsia" w:eastAsiaTheme="minorEastAsia" w:cstheme="minorEastAsia"/>
          <w:sz w:val="24"/>
          <w:szCs w:val="24"/>
        </w:rPr>
        <w:t>　广场应配套休息座椅、垃圾桶、公共卫生间等便民服务设施，严寒、高热地区可配置遮阳、避雨、取暖等适应性设施，设施风格应与广场整体风貌协调；</w:t>
      </w:r>
    </w:p>
    <w:p w14:paraId="206289AE">
      <w:pPr>
        <w:spacing w:line="360" w:lineRule="auto"/>
        <w:ind w:firstLine="482"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2</w:t>
      </w:r>
      <w:r>
        <w:rPr>
          <w:rFonts w:hint="eastAsia" w:asciiTheme="minorEastAsia" w:hAnsiTheme="minorEastAsia" w:eastAsiaTheme="minorEastAsia" w:cstheme="minorEastAsia"/>
          <w:sz w:val="24"/>
          <w:szCs w:val="24"/>
        </w:rPr>
        <w:t>　广场举办大型活动时，应估算瞬时人流规模，设置临时集散缓冲区域，配套满足活动需求的临时电力接口及应急照明系统，应制定人流疏导应急预案，保障人员集散安全有序；</w:t>
      </w:r>
    </w:p>
    <w:p w14:paraId="7F488C5C">
      <w:pPr>
        <w:spacing w:line="360" w:lineRule="auto"/>
        <w:ind w:firstLine="482"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3</w:t>
      </w:r>
      <w:r>
        <w:rPr>
          <w:rFonts w:hint="eastAsia" w:asciiTheme="minorEastAsia" w:hAnsiTheme="minorEastAsia" w:eastAsiaTheme="minorEastAsia" w:cstheme="minorEastAsia"/>
          <w:sz w:val="24"/>
          <w:szCs w:val="24"/>
        </w:rPr>
        <w:t>　宜依据广场主题布设城市标志性雕塑、场景化的互动雕塑，或者临时性的装置艺术；</w:t>
      </w:r>
    </w:p>
    <w:p w14:paraId="1D3D8F73">
      <w:pPr>
        <w:spacing w:line="360" w:lineRule="auto"/>
        <w:ind w:firstLine="482"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4</w:t>
      </w:r>
      <w:r>
        <w:rPr>
          <w:rFonts w:hint="eastAsia" w:asciiTheme="minorEastAsia" w:hAnsiTheme="minorEastAsia" w:eastAsiaTheme="minorEastAsia" w:cstheme="minorEastAsia"/>
          <w:sz w:val="24"/>
          <w:szCs w:val="24"/>
        </w:rPr>
        <w:t>　车行</w:t>
      </w:r>
      <w:r>
        <w:rPr>
          <w:rFonts w:hint="eastAsia" w:asciiTheme="minorEastAsia" w:hAnsiTheme="minorEastAsia" w:eastAsiaTheme="minorEastAsia" w:cstheme="minorEastAsia"/>
          <w:sz w:val="24"/>
          <w:szCs w:val="24"/>
          <w:lang w:eastAsia="zh-Hans"/>
        </w:rPr>
        <w:t>场地</w:t>
      </w:r>
      <w:r>
        <w:rPr>
          <w:rFonts w:hint="eastAsia" w:asciiTheme="minorEastAsia" w:hAnsiTheme="minorEastAsia" w:eastAsiaTheme="minorEastAsia" w:cstheme="minorEastAsia"/>
          <w:sz w:val="24"/>
          <w:szCs w:val="24"/>
        </w:rPr>
        <w:t>的铺装基础强度</w:t>
      </w:r>
      <w:r>
        <w:rPr>
          <w:rFonts w:hint="eastAsia" w:asciiTheme="minorEastAsia" w:hAnsiTheme="minorEastAsia" w:eastAsiaTheme="minorEastAsia" w:cstheme="minorEastAsia"/>
          <w:sz w:val="24"/>
          <w:szCs w:val="24"/>
          <w:lang w:eastAsia="zh-Hans"/>
        </w:rPr>
        <w:t>应满足结构计算的要求</w:t>
      </w:r>
      <w:r>
        <w:rPr>
          <w:rFonts w:hint="eastAsia" w:asciiTheme="minorEastAsia" w:hAnsiTheme="minorEastAsia" w:eastAsiaTheme="minorEastAsia" w:cstheme="minorEastAsia"/>
          <w:sz w:val="24"/>
          <w:szCs w:val="24"/>
        </w:rPr>
        <w:t>，并考虑举办大型活动的行车路线的基础承载需求。</w:t>
      </w:r>
    </w:p>
    <w:p w14:paraId="5DB4E327">
      <w:pPr>
        <w:spacing w:line="360" w:lineRule="auto"/>
        <w:rPr>
          <w:rFonts w:asciiTheme="minorEastAsia" w:hAnsiTheme="minorEastAsia" w:eastAsiaTheme="minorEastAsia" w:cstheme="minorEastAsia"/>
          <w:b/>
          <w:bCs/>
          <w:sz w:val="24"/>
          <w:szCs w:val="24"/>
        </w:rPr>
      </w:pPr>
      <w:r>
        <w:rPr>
          <w:rFonts w:hint="eastAsia" w:cs="宋体" w:asciiTheme="minorEastAsia" w:hAnsiTheme="minorEastAsia" w:eastAsiaTheme="minorEastAsia"/>
          <w:b/>
          <w:sz w:val="24"/>
          <w:szCs w:val="24"/>
        </w:rPr>
        <w:t>6.2.3</w:t>
      </w:r>
      <w:r>
        <w:rPr>
          <w:rFonts w:hint="eastAsia" w:asciiTheme="minorEastAsia" w:hAnsiTheme="minorEastAsia" w:eastAsiaTheme="minorEastAsia" w:cstheme="minorEastAsia"/>
          <w:sz w:val="24"/>
          <w:szCs w:val="24"/>
        </w:rPr>
        <w:t>　</w:t>
      </w:r>
      <w:r>
        <w:rPr>
          <w:rFonts w:hint="eastAsia" w:cs="宋体" w:asciiTheme="minorEastAsia" w:hAnsiTheme="minorEastAsia" w:eastAsiaTheme="minorEastAsia"/>
          <w:color w:val="0F1115"/>
          <w:sz w:val="24"/>
          <w:szCs w:val="24"/>
          <w:shd w:val="clear" w:color="auto" w:fill="FFFFFF"/>
        </w:rPr>
        <w:t>人流密集的集散广场、城市滨江广场等硬质铺装场所，应确保在节假日等瞬时大客流情况下</w:t>
      </w:r>
      <w:r>
        <w:rPr>
          <w:rFonts w:cs="Segoe UI" w:asciiTheme="minorEastAsia" w:hAnsiTheme="minorEastAsia" w:eastAsiaTheme="minorEastAsia"/>
          <w:color w:val="0F1115"/>
          <w:sz w:val="24"/>
          <w:szCs w:val="24"/>
          <w:shd w:val="clear" w:color="auto" w:fill="FFFFFF"/>
        </w:rPr>
        <w:t>的通行和疏散安全，并</w:t>
      </w:r>
      <w:r>
        <w:rPr>
          <w:rFonts w:hint="eastAsia" w:cs="Segoe UI" w:asciiTheme="minorEastAsia" w:hAnsiTheme="minorEastAsia" w:eastAsiaTheme="minorEastAsia"/>
          <w:color w:val="0F1115"/>
          <w:sz w:val="24"/>
          <w:szCs w:val="24"/>
          <w:shd w:val="clear" w:color="auto" w:fill="FFFFFF"/>
        </w:rPr>
        <w:t>应</w:t>
      </w:r>
      <w:r>
        <w:rPr>
          <w:rFonts w:cs="Segoe UI" w:asciiTheme="minorEastAsia" w:hAnsiTheme="minorEastAsia" w:eastAsiaTheme="minorEastAsia"/>
          <w:color w:val="0F1115"/>
          <w:sz w:val="24"/>
          <w:szCs w:val="24"/>
          <w:shd w:val="clear" w:color="auto" w:fill="FFFFFF"/>
        </w:rPr>
        <w:t>避免使用连续台阶处理竖向高差。</w:t>
      </w:r>
    </w:p>
    <w:p w14:paraId="25AAC176">
      <w:pPr>
        <w:widowControl/>
        <w:spacing w:line="360" w:lineRule="auto"/>
        <w:jc w:val="left"/>
        <w:rPr>
          <w:rFonts w:asciiTheme="minorEastAsia" w:hAnsiTheme="minorEastAsia" w:eastAsiaTheme="minorEastAsia" w:cstheme="minorEastAsia"/>
          <w:b/>
          <w:bCs/>
          <w:sz w:val="30"/>
          <w:szCs w:val="30"/>
        </w:rPr>
      </w:pPr>
      <w:bookmarkStart w:id="88" w:name="_Toc3083"/>
      <w:r>
        <w:br w:type="page"/>
      </w:r>
    </w:p>
    <w:p w14:paraId="107EE5C2">
      <w:pPr>
        <w:pStyle w:val="34"/>
      </w:pPr>
      <w:bookmarkStart w:id="89" w:name="_Toc5096"/>
      <w:r>
        <w:rPr>
          <w:rFonts w:hint="eastAsia"/>
        </w:rPr>
        <w:t>7　附属绿地</w:t>
      </w:r>
      <w:bookmarkEnd w:id="88"/>
      <w:bookmarkEnd w:id="89"/>
    </w:p>
    <w:p w14:paraId="6F410F27">
      <w:pPr>
        <w:pStyle w:val="40"/>
        <w:outlineLvl w:val="1"/>
        <w:rPr>
          <w:b w:val="0"/>
        </w:rPr>
      </w:pPr>
      <w:bookmarkStart w:id="90" w:name="_Toc32380"/>
      <w:bookmarkStart w:id="91" w:name="_Toc22860"/>
      <w:r>
        <w:rPr>
          <w:rFonts w:hint="eastAsia"/>
          <w:b w:val="0"/>
        </w:rPr>
        <w:t>7.1　一般规定</w:t>
      </w:r>
      <w:bookmarkEnd w:id="90"/>
      <w:bookmarkEnd w:id="91"/>
    </w:p>
    <w:p w14:paraId="2DEF368B">
      <w:pPr>
        <w:numPr>
          <w:ilvl w:val="255"/>
          <w:numId w:val="0"/>
        </w:numPr>
        <w:adjustRightInd w:val="0"/>
        <w:spacing w:line="360" w:lineRule="auto"/>
        <w:textAlignment w:val="baseline"/>
        <w:rPr>
          <w:rFonts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b/>
          <w:snapToGrid w:val="0"/>
          <w:kern w:val="0"/>
          <w:sz w:val="24"/>
          <w:szCs w:val="24"/>
        </w:rPr>
        <w:t>7.1.1</w:t>
      </w:r>
      <w:r>
        <w:rPr>
          <w:rFonts w:hint="eastAsia" w:asciiTheme="minorEastAsia" w:hAnsiTheme="minorEastAsia" w:eastAsiaTheme="minorEastAsia" w:cstheme="minorEastAsia"/>
          <w:sz w:val="24"/>
          <w:szCs w:val="24"/>
        </w:rPr>
        <w:t>　附属绿地按其类型特点可分为</w:t>
      </w:r>
      <w:r>
        <w:rPr>
          <w:rFonts w:hint="eastAsia" w:asciiTheme="minorEastAsia" w:hAnsiTheme="minorEastAsia" w:eastAsiaTheme="minorEastAsia" w:cstheme="minorEastAsia"/>
          <w:snapToGrid w:val="0"/>
          <w:kern w:val="0"/>
          <w:sz w:val="24"/>
          <w:szCs w:val="24"/>
        </w:rPr>
        <w:t>居住用地、公共管理和公共服务设施用地、商业服务设施用地、工业用地、物流仓储用地、道路与交通设施用地和公用设施用地内的绿地。</w:t>
      </w:r>
    </w:p>
    <w:p w14:paraId="4D0C3136">
      <w:pPr>
        <w:adjustRightInd w:val="0"/>
        <w:snapToGrid w:val="0"/>
        <w:spacing w:line="360" w:lineRule="auto"/>
        <w:textAlignment w:val="baseline"/>
        <w:rPr>
          <w:rFonts w:asciiTheme="minorEastAsia" w:hAnsiTheme="minorEastAsia" w:eastAsiaTheme="minorEastAsia" w:cstheme="minorEastAsia"/>
          <w:snapToGrid w:val="0"/>
          <w:sz w:val="24"/>
          <w:szCs w:val="24"/>
        </w:rPr>
      </w:pPr>
      <w:r>
        <w:rPr>
          <w:rFonts w:hint="eastAsia" w:asciiTheme="minorEastAsia" w:hAnsiTheme="minorEastAsia" w:eastAsiaTheme="minorEastAsia" w:cstheme="minorEastAsia"/>
          <w:b/>
          <w:snapToGrid w:val="0"/>
          <w:sz w:val="24"/>
          <w:szCs w:val="24"/>
        </w:rPr>
        <w:t>7.1.2</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napToGrid w:val="0"/>
          <w:kern w:val="0"/>
          <w:sz w:val="24"/>
          <w:szCs w:val="24"/>
        </w:rPr>
        <w:t>附属绿地应具有改善环境、防护隔离、景观文化、休闲活动等功能。</w:t>
      </w:r>
    </w:p>
    <w:p w14:paraId="67C8BFBA">
      <w:pPr>
        <w:adjustRightInd w:val="0"/>
        <w:snapToGrid w:val="0"/>
        <w:spacing w:line="360" w:lineRule="auto"/>
        <w:textAlignment w:val="baseline"/>
        <w:rPr>
          <w:rFonts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b/>
          <w:snapToGrid w:val="0"/>
          <w:sz w:val="24"/>
          <w:szCs w:val="24"/>
        </w:rPr>
        <w:t>7.1.3</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napToGrid w:val="0"/>
          <w:sz w:val="24"/>
          <w:szCs w:val="24"/>
        </w:rPr>
        <w:t>附属绿地设计应</w:t>
      </w:r>
      <w:r>
        <w:rPr>
          <w:rFonts w:hint="eastAsia" w:asciiTheme="minorEastAsia" w:hAnsiTheme="minorEastAsia" w:eastAsiaTheme="minorEastAsia" w:cstheme="minorEastAsia"/>
          <w:snapToGrid w:val="0"/>
          <w:kern w:val="0"/>
          <w:sz w:val="24"/>
          <w:szCs w:val="24"/>
        </w:rPr>
        <w:t>根据用地性质准确定位，充分考虑场地特点、现状植物、周边环境、区域风貌、历史文化等因素，系统设计，合理布局。</w:t>
      </w:r>
    </w:p>
    <w:p w14:paraId="1B703DFB">
      <w:pPr>
        <w:adjustRightInd w:val="0"/>
        <w:snapToGrid w:val="0"/>
        <w:spacing w:line="360" w:lineRule="auto"/>
        <w:textAlignment w:val="baseline"/>
        <w:rPr>
          <w:rFonts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b/>
          <w:snapToGrid w:val="0"/>
          <w:sz w:val="24"/>
          <w:szCs w:val="24"/>
        </w:rPr>
        <w:t>7.1.4</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napToGrid w:val="0"/>
          <w:sz w:val="24"/>
          <w:szCs w:val="24"/>
        </w:rPr>
        <w:t>开放共享的附属绿地设计应符合下列规定：</w:t>
      </w:r>
    </w:p>
    <w:p w14:paraId="3C067FE1">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b/>
          <w:snapToGrid w:val="0"/>
          <w:kern w:val="0"/>
          <w:sz w:val="24"/>
          <w:szCs w:val="24"/>
        </w:rPr>
        <w:t>1</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napToGrid w:val="0"/>
          <w:kern w:val="0"/>
          <w:sz w:val="24"/>
          <w:szCs w:val="24"/>
        </w:rPr>
        <w:t>绿地设计应临街或有连通路径，方便公众自由进出；</w:t>
      </w:r>
    </w:p>
    <w:p w14:paraId="6064AF55">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b/>
          <w:snapToGrid w:val="0"/>
          <w:kern w:val="0"/>
          <w:sz w:val="24"/>
          <w:szCs w:val="24"/>
        </w:rPr>
        <w:t>2</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napToGrid w:val="0"/>
          <w:kern w:val="0"/>
          <w:sz w:val="24"/>
          <w:szCs w:val="24"/>
        </w:rPr>
        <w:t>应配置日常的活动场地和服务设施，并设立开放标识标牌，明确开放时间和开放范围等要素；</w:t>
      </w:r>
    </w:p>
    <w:p w14:paraId="11A72C7E">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b/>
          <w:snapToGrid w:val="0"/>
          <w:kern w:val="0"/>
          <w:sz w:val="24"/>
          <w:szCs w:val="24"/>
        </w:rPr>
        <w:t>3</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napToGrid w:val="0"/>
          <w:kern w:val="0"/>
          <w:sz w:val="24"/>
          <w:szCs w:val="24"/>
        </w:rPr>
        <w:t>宜采用疏朗通透的植物配置，保证公共空间的视觉通透；</w:t>
      </w:r>
    </w:p>
    <w:p w14:paraId="5562A4BB">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b/>
          <w:snapToGrid w:val="0"/>
          <w:kern w:val="0"/>
          <w:sz w:val="24"/>
          <w:szCs w:val="24"/>
        </w:rPr>
        <w:t>4</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napToGrid w:val="0"/>
          <w:kern w:val="0"/>
          <w:sz w:val="24"/>
          <w:szCs w:val="24"/>
        </w:rPr>
        <w:t>有夜间开放需求的应设置照明设施。</w:t>
      </w:r>
    </w:p>
    <w:p w14:paraId="4456744C">
      <w:pPr>
        <w:numPr>
          <w:ilvl w:val="255"/>
          <w:numId w:val="0"/>
        </w:numPr>
        <w:adjustRightInd w:val="0"/>
        <w:snapToGrid w:val="0"/>
        <w:spacing w:line="360" w:lineRule="auto"/>
        <w:textAlignment w:val="baseline"/>
        <w:rPr>
          <w:rFonts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b/>
          <w:snapToGrid w:val="0"/>
          <w:kern w:val="0"/>
          <w:sz w:val="24"/>
          <w:szCs w:val="24"/>
        </w:rPr>
        <w:t>7.1.5</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napToGrid w:val="0"/>
          <w:kern w:val="0"/>
          <w:sz w:val="24"/>
          <w:szCs w:val="24"/>
        </w:rPr>
        <w:t>绿地率指标可根据设施类型、用地规模及所在区域规划要求确定，且不得低于所在城市规划管理部门规定的最低限值。</w:t>
      </w:r>
    </w:p>
    <w:p w14:paraId="43B863B2">
      <w:pPr>
        <w:pStyle w:val="40"/>
        <w:outlineLvl w:val="1"/>
        <w:rPr>
          <w:b w:val="0"/>
        </w:rPr>
      </w:pPr>
      <w:bookmarkStart w:id="92" w:name="_Toc31167"/>
      <w:bookmarkStart w:id="93" w:name="_Toc31558"/>
      <w:r>
        <w:rPr>
          <w:rFonts w:hint="eastAsia"/>
          <w:b w:val="0"/>
        </w:rPr>
        <w:t>7.2　居住用地附属绿地</w:t>
      </w:r>
      <w:bookmarkEnd w:id="92"/>
      <w:bookmarkEnd w:id="93"/>
    </w:p>
    <w:p w14:paraId="13D58693">
      <w:pPr>
        <w:adjustRightInd w:val="0"/>
        <w:snapToGrid w:val="0"/>
        <w:spacing w:line="360" w:lineRule="auto"/>
        <w:textAlignment w:val="baseline"/>
        <w:rPr>
          <w:rFonts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b/>
          <w:snapToGrid w:val="0"/>
          <w:kern w:val="0"/>
          <w:sz w:val="24"/>
          <w:szCs w:val="24"/>
        </w:rPr>
        <w:t>7.2.1</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napToGrid w:val="0"/>
          <w:kern w:val="0"/>
          <w:sz w:val="24"/>
          <w:szCs w:val="24"/>
        </w:rPr>
        <w:t>应包括居住用地范围内除社区公园以外的绿地。</w:t>
      </w:r>
    </w:p>
    <w:p w14:paraId="01985FE4">
      <w:pPr>
        <w:adjustRightInd w:val="0"/>
        <w:snapToGrid w:val="0"/>
        <w:spacing w:line="360" w:lineRule="auto"/>
        <w:textAlignment w:val="baseline"/>
        <w:rPr>
          <w:rFonts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b/>
          <w:snapToGrid w:val="0"/>
          <w:kern w:val="0"/>
          <w:sz w:val="24"/>
          <w:szCs w:val="24"/>
        </w:rPr>
        <w:t>7.2.2</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napToGrid w:val="0"/>
          <w:kern w:val="0"/>
          <w:sz w:val="24"/>
          <w:szCs w:val="24"/>
        </w:rPr>
        <w:t>应统筹建筑、道路、地下空间、管线和消防系统。</w:t>
      </w:r>
    </w:p>
    <w:p w14:paraId="4DA360EE">
      <w:pPr>
        <w:adjustRightInd w:val="0"/>
        <w:snapToGrid w:val="0"/>
        <w:spacing w:line="360" w:lineRule="auto"/>
        <w:textAlignment w:val="baseline"/>
        <w:rPr>
          <w:rFonts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b/>
          <w:snapToGrid w:val="0"/>
          <w:kern w:val="0"/>
          <w:sz w:val="24"/>
          <w:szCs w:val="24"/>
        </w:rPr>
        <w:t>7.2.3</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napToGrid w:val="0"/>
          <w:kern w:val="0"/>
          <w:sz w:val="24"/>
          <w:szCs w:val="24"/>
        </w:rPr>
        <w:t>应以植物景观为主；集中绿地应遵循空间开放、形态完整、全龄友好，设施和场地配置适度使用、植物选择无毒无害等原则。无障碍设计应符合现行国家标准《无障碍设计规范》GB</w:t>
      </w:r>
      <w:r>
        <w:rPr>
          <w:rFonts w:asciiTheme="minorEastAsia" w:hAnsiTheme="minorEastAsia" w:eastAsiaTheme="minorEastAsia" w:cstheme="minorEastAsia"/>
          <w:snapToGrid w:val="0"/>
          <w:kern w:val="0"/>
          <w:sz w:val="24"/>
          <w:szCs w:val="24"/>
        </w:rPr>
        <w:t xml:space="preserve"> </w:t>
      </w:r>
      <w:r>
        <w:rPr>
          <w:rFonts w:hint="eastAsia" w:asciiTheme="minorEastAsia" w:hAnsiTheme="minorEastAsia" w:eastAsiaTheme="minorEastAsia" w:cstheme="minorEastAsia"/>
          <w:snapToGrid w:val="0"/>
          <w:kern w:val="0"/>
          <w:sz w:val="24"/>
          <w:szCs w:val="24"/>
        </w:rPr>
        <w:t>50763的有关规定。</w:t>
      </w:r>
    </w:p>
    <w:p w14:paraId="0FCA5FA9">
      <w:pPr>
        <w:adjustRightInd w:val="0"/>
        <w:snapToGrid w:val="0"/>
        <w:spacing w:line="360" w:lineRule="auto"/>
        <w:textAlignment w:val="baseline"/>
        <w:rPr>
          <w:rFonts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b/>
          <w:snapToGrid w:val="0"/>
          <w:kern w:val="0"/>
          <w:sz w:val="24"/>
          <w:szCs w:val="24"/>
        </w:rPr>
        <w:t>7.2.4</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napToGrid w:val="0"/>
          <w:kern w:val="0"/>
          <w:sz w:val="24"/>
          <w:szCs w:val="24"/>
        </w:rPr>
        <w:t>居住区绿地指标与总体设计应符合现行国家标准《城市居住区规划设计标准》GB</w:t>
      </w:r>
      <w:r>
        <w:rPr>
          <w:rFonts w:asciiTheme="minorEastAsia" w:hAnsiTheme="minorEastAsia" w:eastAsiaTheme="minorEastAsia" w:cstheme="minorEastAsia"/>
          <w:snapToGrid w:val="0"/>
          <w:kern w:val="0"/>
          <w:sz w:val="24"/>
          <w:szCs w:val="24"/>
        </w:rPr>
        <w:t xml:space="preserve"> </w:t>
      </w:r>
      <w:r>
        <w:rPr>
          <w:rFonts w:hint="eastAsia" w:asciiTheme="minorEastAsia" w:hAnsiTheme="minorEastAsia" w:eastAsiaTheme="minorEastAsia" w:cstheme="minorEastAsia"/>
          <w:snapToGrid w:val="0"/>
          <w:kern w:val="0"/>
          <w:sz w:val="24"/>
          <w:szCs w:val="24"/>
        </w:rPr>
        <w:t>50180的</w:t>
      </w:r>
      <w:r>
        <w:rPr>
          <w:rFonts w:hint="eastAsia" w:asciiTheme="minorEastAsia" w:hAnsiTheme="minorEastAsia" w:eastAsiaTheme="minorEastAsia" w:cstheme="minorEastAsia"/>
          <w:sz w:val="24"/>
          <w:szCs w:val="24"/>
        </w:rPr>
        <w:t>有关</w:t>
      </w:r>
      <w:r>
        <w:rPr>
          <w:rFonts w:hint="eastAsia" w:asciiTheme="minorEastAsia" w:hAnsiTheme="minorEastAsia" w:eastAsiaTheme="minorEastAsia" w:cstheme="minorEastAsia"/>
          <w:snapToGrid w:val="0"/>
          <w:kern w:val="0"/>
          <w:sz w:val="24"/>
          <w:szCs w:val="24"/>
        </w:rPr>
        <w:t>规定。</w:t>
      </w:r>
    </w:p>
    <w:p w14:paraId="61C48320">
      <w:pPr>
        <w:adjustRightInd w:val="0"/>
        <w:snapToGrid w:val="0"/>
        <w:spacing w:line="360" w:lineRule="auto"/>
        <w:jc w:val="left"/>
        <w:textAlignment w:val="baseline"/>
        <w:rPr>
          <w:rFonts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b/>
          <w:snapToGrid w:val="0"/>
          <w:kern w:val="0"/>
          <w:sz w:val="24"/>
          <w:szCs w:val="24"/>
        </w:rPr>
        <w:t>7.2.5</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napToGrid w:val="0"/>
          <w:kern w:val="0"/>
          <w:sz w:val="24"/>
          <w:szCs w:val="24"/>
        </w:rPr>
        <w:t>植物配置应符合现行行业标准《居住绿地设计标准》CJJ/T</w:t>
      </w:r>
      <w:r>
        <w:rPr>
          <w:rFonts w:asciiTheme="minorEastAsia" w:hAnsiTheme="minorEastAsia" w:eastAsiaTheme="minorEastAsia" w:cstheme="minorEastAsia"/>
          <w:snapToGrid w:val="0"/>
          <w:kern w:val="0"/>
          <w:sz w:val="24"/>
          <w:szCs w:val="24"/>
        </w:rPr>
        <w:t xml:space="preserve"> </w:t>
      </w:r>
      <w:r>
        <w:rPr>
          <w:rFonts w:hint="eastAsia" w:asciiTheme="minorEastAsia" w:hAnsiTheme="minorEastAsia" w:eastAsiaTheme="minorEastAsia" w:cstheme="minorEastAsia"/>
          <w:snapToGrid w:val="0"/>
          <w:kern w:val="0"/>
          <w:sz w:val="24"/>
          <w:szCs w:val="24"/>
        </w:rPr>
        <w:t>2</w:t>
      </w:r>
      <w:r>
        <w:rPr>
          <w:rFonts w:asciiTheme="minorEastAsia" w:hAnsiTheme="minorEastAsia" w:eastAsiaTheme="minorEastAsia" w:cstheme="minorEastAsia"/>
          <w:snapToGrid w:val="0"/>
          <w:kern w:val="0"/>
          <w:sz w:val="24"/>
          <w:szCs w:val="24"/>
        </w:rPr>
        <w:t>9</w:t>
      </w:r>
      <w:r>
        <w:rPr>
          <w:rFonts w:hint="eastAsia" w:asciiTheme="minorEastAsia" w:hAnsiTheme="minorEastAsia" w:eastAsiaTheme="minorEastAsia" w:cstheme="minorEastAsia"/>
          <w:snapToGrid w:val="0"/>
          <w:kern w:val="0"/>
          <w:sz w:val="24"/>
          <w:szCs w:val="24"/>
        </w:rPr>
        <w:t>4的</w:t>
      </w:r>
      <w:r>
        <w:rPr>
          <w:rFonts w:hint="eastAsia" w:asciiTheme="minorEastAsia" w:hAnsiTheme="minorEastAsia" w:eastAsiaTheme="minorEastAsia" w:cstheme="minorEastAsia"/>
          <w:sz w:val="24"/>
          <w:szCs w:val="24"/>
        </w:rPr>
        <w:t>有关</w:t>
      </w:r>
      <w:r>
        <w:rPr>
          <w:rFonts w:hint="eastAsia" w:asciiTheme="minorEastAsia" w:hAnsiTheme="minorEastAsia" w:eastAsiaTheme="minorEastAsia" w:cstheme="minorEastAsia"/>
          <w:snapToGrid w:val="0"/>
          <w:kern w:val="0"/>
          <w:sz w:val="24"/>
          <w:szCs w:val="24"/>
        </w:rPr>
        <w:t>规定。</w:t>
      </w:r>
    </w:p>
    <w:p w14:paraId="4AE74D53">
      <w:pPr>
        <w:adjustRightInd w:val="0"/>
        <w:snapToGrid w:val="0"/>
        <w:spacing w:line="360" w:lineRule="auto"/>
        <w:textAlignment w:val="baseline"/>
        <w:rPr>
          <w:rFonts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b/>
          <w:snapToGrid w:val="0"/>
          <w:kern w:val="0"/>
          <w:sz w:val="24"/>
          <w:szCs w:val="24"/>
        </w:rPr>
        <w:t>7.2.6</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napToGrid w:val="0"/>
          <w:kern w:val="0"/>
          <w:sz w:val="24"/>
          <w:szCs w:val="24"/>
        </w:rPr>
        <w:t>更新改造应保护既有树木；构建雨水减排设施时，应确保绿地安全与休闲功能；增加地面停车位和场地时，应维护现有树木健康生长。</w:t>
      </w:r>
    </w:p>
    <w:p w14:paraId="268E35CE">
      <w:pPr>
        <w:pStyle w:val="40"/>
        <w:outlineLvl w:val="1"/>
        <w:rPr>
          <w:b w:val="0"/>
        </w:rPr>
      </w:pPr>
      <w:bookmarkStart w:id="94" w:name="_Toc609"/>
      <w:bookmarkStart w:id="95" w:name="_Toc19547"/>
      <w:r>
        <w:rPr>
          <w:rFonts w:hint="eastAsia"/>
          <w:b w:val="0"/>
        </w:rPr>
        <w:t>7.3　公共管理和服务设施用地附属绿地</w:t>
      </w:r>
      <w:bookmarkEnd w:id="94"/>
      <w:bookmarkEnd w:id="95"/>
    </w:p>
    <w:p w14:paraId="38B2F2B5">
      <w:pPr>
        <w:adjustRightInd w:val="0"/>
        <w:snapToGrid w:val="0"/>
        <w:spacing w:line="360" w:lineRule="auto"/>
        <w:textAlignment w:val="baseline"/>
        <w:rPr>
          <w:rFonts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b/>
          <w:snapToGrid w:val="0"/>
          <w:kern w:val="0"/>
          <w:sz w:val="24"/>
          <w:szCs w:val="24"/>
        </w:rPr>
        <w:t>7.3.1</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napToGrid w:val="0"/>
          <w:kern w:val="0"/>
          <w:sz w:val="24"/>
          <w:szCs w:val="24"/>
        </w:rPr>
        <w:t>应包括行政、文化、教育、体育、卫生等机构和设施用地内的绿地。</w:t>
      </w:r>
    </w:p>
    <w:p w14:paraId="4415DF8C">
      <w:pPr>
        <w:adjustRightInd w:val="0"/>
        <w:snapToGrid w:val="0"/>
        <w:spacing w:line="360" w:lineRule="auto"/>
        <w:textAlignment w:val="baseline"/>
        <w:rPr>
          <w:rFonts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b/>
          <w:snapToGrid w:val="0"/>
          <w:kern w:val="0"/>
          <w:sz w:val="24"/>
          <w:szCs w:val="24"/>
        </w:rPr>
        <w:t>7.3.2</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napToGrid w:val="0"/>
          <w:kern w:val="0"/>
          <w:sz w:val="24"/>
          <w:szCs w:val="24"/>
        </w:rPr>
        <w:t>应以设施用地核心功能为主，确保绿化布局与用地功能协同适配。</w:t>
      </w:r>
    </w:p>
    <w:p w14:paraId="162DD6E1">
      <w:pPr>
        <w:adjustRightInd w:val="0"/>
        <w:snapToGrid w:val="0"/>
        <w:spacing w:line="360" w:lineRule="auto"/>
        <w:textAlignment w:val="baseline"/>
        <w:rPr>
          <w:rFonts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b/>
          <w:snapToGrid w:val="0"/>
          <w:kern w:val="0"/>
          <w:sz w:val="24"/>
          <w:szCs w:val="24"/>
        </w:rPr>
        <w:t>7.3.3</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napToGrid w:val="0"/>
          <w:kern w:val="0"/>
          <w:sz w:val="24"/>
          <w:szCs w:val="24"/>
        </w:rPr>
        <w:t>应统筹平衡绿地指标与用地功能，满足通行、停车、应急救援等关键使用需求。</w:t>
      </w:r>
    </w:p>
    <w:p w14:paraId="7799211E">
      <w:pPr>
        <w:adjustRightInd w:val="0"/>
        <w:snapToGrid w:val="0"/>
        <w:spacing w:line="360" w:lineRule="auto"/>
        <w:textAlignment w:val="baseline"/>
        <w:rPr>
          <w:rFonts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b/>
          <w:snapToGrid w:val="0"/>
          <w:kern w:val="0"/>
          <w:sz w:val="24"/>
          <w:szCs w:val="24"/>
        </w:rPr>
        <w:t>7.3.4</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napToGrid w:val="0"/>
          <w:kern w:val="0"/>
          <w:sz w:val="24"/>
          <w:szCs w:val="24"/>
        </w:rPr>
        <w:t>学校绿地应设置自然教育和研学活动空间；医院绿地应打造静谧休憩、康复疗愈环境；行政办公绿地应兼顾礼仪展示与日常休憩需求；博物馆绿地应结合展陈主题设计文化景观。</w:t>
      </w:r>
    </w:p>
    <w:p w14:paraId="4898829F">
      <w:pPr>
        <w:pStyle w:val="40"/>
        <w:outlineLvl w:val="1"/>
        <w:rPr>
          <w:b w:val="0"/>
        </w:rPr>
      </w:pPr>
      <w:bookmarkStart w:id="96" w:name="_Toc25255"/>
      <w:bookmarkStart w:id="97" w:name="_Toc19396"/>
      <w:r>
        <w:rPr>
          <w:rFonts w:hint="eastAsia"/>
          <w:b w:val="0"/>
        </w:rPr>
        <w:t>7.4　商业服务设施用地附属绿地</w:t>
      </w:r>
      <w:bookmarkEnd w:id="96"/>
      <w:bookmarkEnd w:id="97"/>
    </w:p>
    <w:p w14:paraId="1DD7D805">
      <w:pPr>
        <w:numPr>
          <w:ilvl w:val="255"/>
          <w:numId w:val="0"/>
        </w:numPr>
        <w:adjustRightInd w:val="0"/>
        <w:snapToGrid w:val="0"/>
        <w:spacing w:line="360" w:lineRule="auto"/>
        <w:textAlignment w:val="baseline"/>
        <w:rPr>
          <w:rFonts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b/>
          <w:snapToGrid w:val="0"/>
          <w:kern w:val="0"/>
          <w:sz w:val="24"/>
          <w:szCs w:val="24"/>
        </w:rPr>
        <w:t>7.4.1</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napToGrid w:val="0"/>
          <w:kern w:val="0"/>
          <w:sz w:val="24"/>
          <w:szCs w:val="24"/>
        </w:rPr>
        <w:t>应包括商业、商务、娱乐康体等用地内的绿地。</w:t>
      </w:r>
    </w:p>
    <w:p w14:paraId="7C86EB83">
      <w:pPr>
        <w:numPr>
          <w:ilvl w:val="255"/>
          <w:numId w:val="0"/>
        </w:numPr>
        <w:adjustRightInd w:val="0"/>
        <w:snapToGrid w:val="0"/>
        <w:spacing w:line="360" w:lineRule="auto"/>
        <w:textAlignment w:val="baseline"/>
        <w:rPr>
          <w:rFonts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b/>
          <w:snapToGrid w:val="0"/>
          <w:kern w:val="0"/>
          <w:sz w:val="24"/>
          <w:szCs w:val="24"/>
        </w:rPr>
        <w:t>7.4.2</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napToGrid w:val="0"/>
          <w:kern w:val="0"/>
          <w:sz w:val="24"/>
          <w:szCs w:val="24"/>
        </w:rPr>
        <w:t>可分为绿化种植区、休憩体验区及场景互动区，各区应统筹布局并应符合下列规定：</w:t>
      </w:r>
    </w:p>
    <w:p w14:paraId="5F060D87">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b/>
          <w:snapToGrid w:val="0"/>
          <w:kern w:val="0"/>
          <w:sz w:val="24"/>
          <w:szCs w:val="24"/>
        </w:rPr>
        <w:t>1</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napToGrid w:val="0"/>
          <w:kern w:val="0"/>
          <w:sz w:val="24"/>
          <w:szCs w:val="24"/>
        </w:rPr>
        <w:t>绿地布局应与商业建筑布局、出入口设置、业态分布、人行及车行流线统筹衔接，不得影响通行与安全；</w:t>
      </w:r>
    </w:p>
    <w:p w14:paraId="0641E783">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b/>
          <w:snapToGrid w:val="0"/>
          <w:kern w:val="0"/>
          <w:sz w:val="24"/>
          <w:szCs w:val="24"/>
        </w:rPr>
        <w:t>2</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napToGrid w:val="0"/>
          <w:kern w:val="0"/>
          <w:sz w:val="24"/>
          <w:szCs w:val="24"/>
        </w:rPr>
        <w:t>核心出入口、主力业态周边、广场等重点区域应打造核心景观场景；人流密集区域宜配套充裕的休憩与互动设施；建筑及停车场周边宜满足生态防护功能，并兼顾功能与景观协调性；</w:t>
      </w:r>
    </w:p>
    <w:p w14:paraId="295B3C8C">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b/>
          <w:snapToGrid w:val="0"/>
          <w:kern w:val="0"/>
          <w:sz w:val="24"/>
          <w:szCs w:val="24"/>
        </w:rPr>
        <w:t>3</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napToGrid w:val="0"/>
          <w:kern w:val="0"/>
          <w:sz w:val="24"/>
          <w:szCs w:val="24"/>
        </w:rPr>
        <w:t>设计应紧扣场景主题，适配商业定位及业态特色，增加场景辨识度。应预留商业活动、设施维护及应急空间。</w:t>
      </w:r>
    </w:p>
    <w:p w14:paraId="2C2E83ED">
      <w:pPr>
        <w:pStyle w:val="40"/>
        <w:outlineLvl w:val="1"/>
        <w:rPr>
          <w:b w:val="0"/>
        </w:rPr>
      </w:pPr>
      <w:bookmarkStart w:id="98" w:name="_Toc22270"/>
      <w:bookmarkStart w:id="99" w:name="_Toc28283"/>
      <w:r>
        <w:rPr>
          <w:rFonts w:hint="eastAsia"/>
          <w:b w:val="0"/>
        </w:rPr>
        <w:t>7.5　工业用地附属绿地</w:t>
      </w:r>
      <w:bookmarkEnd w:id="98"/>
      <w:bookmarkEnd w:id="99"/>
    </w:p>
    <w:p w14:paraId="0F87F65D">
      <w:pPr>
        <w:adjustRightInd w:val="0"/>
        <w:snapToGrid w:val="0"/>
        <w:spacing w:line="360" w:lineRule="auto"/>
        <w:textAlignment w:val="baseline"/>
        <w:rPr>
          <w:rFonts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b/>
          <w:snapToGrid w:val="0"/>
          <w:kern w:val="0"/>
          <w:sz w:val="24"/>
          <w:szCs w:val="24"/>
        </w:rPr>
        <w:t>7.5.1</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napToGrid w:val="0"/>
          <w:kern w:val="0"/>
          <w:sz w:val="24"/>
          <w:szCs w:val="24"/>
        </w:rPr>
        <w:t>应包括生产车间、库房及附属设施用地内的绿地。</w:t>
      </w:r>
    </w:p>
    <w:p w14:paraId="6E030A66">
      <w:pPr>
        <w:adjustRightInd w:val="0"/>
        <w:snapToGrid w:val="0"/>
        <w:spacing w:line="360" w:lineRule="auto"/>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napToGrid w:val="0"/>
          <w:kern w:val="0"/>
          <w:sz w:val="24"/>
          <w:szCs w:val="24"/>
        </w:rPr>
        <w:t>7.5.2</w:t>
      </w:r>
      <w:r>
        <w:rPr>
          <w:rFonts w:hint="eastAsia" w:asciiTheme="minorEastAsia" w:hAnsiTheme="minorEastAsia" w:eastAsiaTheme="minorEastAsia" w:cstheme="minorEastAsia"/>
          <w:sz w:val="24"/>
          <w:szCs w:val="24"/>
        </w:rPr>
        <w:t>　应纳入工业区总体规划，与建筑、道路、管线等统筹规划布局。</w:t>
      </w:r>
    </w:p>
    <w:p w14:paraId="05B2E93D">
      <w:pPr>
        <w:adjustRightInd w:val="0"/>
        <w:snapToGrid w:val="0"/>
        <w:spacing w:line="360" w:lineRule="auto"/>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7.5.3</w:t>
      </w:r>
      <w:r>
        <w:rPr>
          <w:rFonts w:hint="eastAsia" w:asciiTheme="minorEastAsia" w:hAnsiTheme="minorEastAsia" w:eastAsiaTheme="minorEastAsia" w:cstheme="minorEastAsia"/>
          <w:sz w:val="24"/>
          <w:szCs w:val="24"/>
        </w:rPr>
        <w:t>　应结合当地自然条件和工业生产特点，适地适树进行配置。</w:t>
      </w:r>
    </w:p>
    <w:p w14:paraId="3BAA7824">
      <w:pPr>
        <w:adjustRightInd w:val="0"/>
        <w:snapToGrid w:val="0"/>
        <w:spacing w:line="360" w:lineRule="auto"/>
        <w:textAlignment w:val="baseline"/>
        <w:rPr>
          <w:rFonts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b/>
          <w:snapToGrid w:val="0"/>
          <w:kern w:val="0"/>
          <w:sz w:val="24"/>
          <w:szCs w:val="24"/>
        </w:rPr>
        <w:t>7.5.4</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napToGrid w:val="0"/>
          <w:kern w:val="0"/>
          <w:sz w:val="24"/>
          <w:szCs w:val="24"/>
        </w:rPr>
        <w:t>设计应符合下列规定：</w:t>
      </w:r>
    </w:p>
    <w:p w14:paraId="15CFD2A6">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b/>
          <w:snapToGrid w:val="0"/>
          <w:kern w:val="0"/>
          <w:sz w:val="24"/>
          <w:szCs w:val="24"/>
        </w:rPr>
        <w:t>1</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napToGrid w:val="0"/>
          <w:kern w:val="0"/>
          <w:sz w:val="24"/>
          <w:szCs w:val="24"/>
        </w:rPr>
        <w:t>应</w:t>
      </w:r>
      <w:r>
        <w:rPr>
          <w:rFonts w:hint="eastAsia" w:asciiTheme="minorEastAsia" w:hAnsiTheme="minorEastAsia" w:eastAsiaTheme="minorEastAsia" w:cstheme="minorEastAsia"/>
          <w:sz w:val="24"/>
          <w:szCs w:val="24"/>
        </w:rPr>
        <w:t>分区施策，</w:t>
      </w:r>
      <w:r>
        <w:rPr>
          <w:rFonts w:hint="eastAsia" w:asciiTheme="minorEastAsia" w:hAnsiTheme="minorEastAsia" w:eastAsiaTheme="minorEastAsia" w:cstheme="minorEastAsia"/>
          <w:snapToGrid w:val="0"/>
          <w:kern w:val="0"/>
          <w:sz w:val="24"/>
          <w:szCs w:val="24"/>
        </w:rPr>
        <w:t>生产车间、库房周边</w:t>
      </w:r>
      <w:r>
        <w:rPr>
          <w:rFonts w:hint="eastAsia" w:asciiTheme="minorEastAsia" w:hAnsiTheme="minorEastAsia" w:eastAsiaTheme="minorEastAsia" w:cstheme="minorEastAsia"/>
          <w:sz w:val="24"/>
          <w:szCs w:val="24"/>
        </w:rPr>
        <w:t>应首先</w:t>
      </w:r>
      <w:r>
        <w:rPr>
          <w:rFonts w:hint="eastAsia" w:asciiTheme="minorEastAsia" w:hAnsiTheme="minorEastAsia" w:eastAsiaTheme="minorEastAsia" w:cstheme="minorEastAsia"/>
          <w:snapToGrid w:val="0"/>
          <w:kern w:val="0"/>
          <w:sz w:val="24"/>
          <w:szCs w:val="24"/>
        </w:rPr>
        <w:t>满足安全与工业流程需求；</w:t>
      </w:r>
    </w:p>
    <w:p w14:paraId="60D0EE6A">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2</w:t>
      </w:r>
      <w:r>
        <w:rPr>
          <w:rFonts w:hint="eastAsia" w:asciiTheme="minorEastAsia" w:hAnsiTheme="minorEastAsia" w:eastAsiaTheme="minorEastAsia" w:cstheme="minorEastAsia"/>
          <w:sz w:val="24"/>
          <w:szCs w:val="24"/>
        </w:rPr>
        <w:t>　应在</w:t>
      </w:r>
      <w:r>
        <w:rPr>
          <w:rFonts w:hint="eastAsia" w:asciiTheme="minorEastAsia" w:hAnsiTheme="minorEastAsia" w:eastAsiaTheme="minorEastAsia" w:cstheme="minorEastAsia"/>
          <w:snapToGrid w:val="0"/>
          <w:kern w:val="0"/>
          <w:sz w:val="24"/>
          <w:szCs w:val="24"/>
        </w:rPr>
        <w:t>职工集中休憩区、行政办公区及生活服务区等选择设置集中绿地，合理布置</w:t>
      </w:r>
      <w:r>
        <w:rPr>
          <w:rFonts w:hint="eastAsia" w:asciiTheme="minorEastAsia" w:hAnsiTheme="minorEastAsia" w:eastAsiaTheme="minorEastAsia" w:cstheme="minorEastAsia"/>
          <w:sz w:val="24"/>
          <w:szCs w:val="24"/>
        </w:rPr>
        <w:t>游步道、活动场地、休息和健身设施等；</w:t>
      </w:r>
    </w:p>
    <w:p w14:paraId="4A57369E">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b/>
          <w:sz w:val="24"/>
          <w:szCs w:val="24"/>
        </w:rPr>
        <w:t>3</w:t>
      </w:r>
      <w:r>
        <w:rPr>
          <w:rFonts w:hint="eastAsia" w:asciiTheme="minorEastAsia" w:hAnsiTheme="minorEastAsia" w:eastAsiaTheme="minorEastAsia" w:cstheme="minorEastAsia"/>
          <w:sz w:val="24"/>
          <w:szCs w:val="24"/>
        </w:rPr>
        <w:t>　应在对环境具有特殊洁净度要求的区域布置隔离绿地；</w:t>
      </w:r>
    </w:p>
    <w:p w14:paraId="0ED72AA3">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4</w:t>
      </w:r>
      <w:r>
        <w:rPr>
          <w:rFonts w:hint="eastAsia" w:asciiTheme="minorEastAsia" w:hAnsiTheme="minorEastAsia" w:eastAsiaTheme="minorEastAsia" w:cstheme="minorEastAsia"/>
          <w:sz w:val="24"/>
          <w:szCs w:val="24"/>
        </w:rPr>
        <w:t>　危险品的生产、存储和装卸设施周边应设置绿化缓冲带，应种植枝叶茂密、水分含量大的大乔木及灌木，不得种植含油脂量高的植物；</w:t>
      </w:r>
    </w:p>
    <w:p w14:paraId="6F8B5D85">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5</w:t>
      </w:r>
      <w:r>
        <w:rPr>
          <w:rFonts w:hint="eastAsia" w:asciiTheme="minorEastAsia" w:hAnsiTheme="minorEastAsia" w:eastAsiaTheme="minorEastAsia" w:cstheme="minorEastAsia"/>
          <w:sz w:val="24"/>
          <w:szCs w:val="24"/>
        </w:rPr>
        <w:t>　散发液化石油气等可燃气体的设施附近不宜种植绿篱或茂密灌木，可铺设草坪、稀疏栽植乔木。</w:t>
      </w:r>
    </w:p>
    <w:p w14:paraId="508F9AE5">
      <w:pPr>
        <w:pStyle w:val="40"/>
        <w:outlineLvl w:val="1"/>
        <w:rPr>
          <w:b w:val="0"/>
        </w:rPr>
      </w:pPr>
      <w:bookmarkStart w:id="100" w:name="_Toc28528"/>
      <w:bookmarkStart w:id="101" w:name="_Toc30893"/>
      <w:r>
        <w:rPr>
          <w:rFonts w:hint="eastAsia"/>
          <w:b w:val="0"/>
        </w:rPr>
        <w:t>7.6　物流仓储用地附属绿地</w:t>
      </w:r>
      <w:bookmarkEnd w:id="100"/>
      <w:bookmarkEnd w:id="101"/>
    </w:p>
    <w:p w14:paraId="30362C78">
      <w:pPr>
        <w:adjustRightInd w:val="0"/>
        <w:snapToGrid w:val="0"/>
        <w:spacing w:line="360" w:lineRule="auto"/>
        <w:textAlignment w:val="baseline"/>
        <w:rPr>
          <w:rFonts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b/>
          <w:snapToGrid w:val="0"/>
          <w:kern w:val="0"/>
          <w:sz w:val="24"/>
          <w:szCs w:val="24"/>
        </w:rPr>
        <w:t>7.6.1</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napToGrid w:val="0"/>
          <w:kern w:val="0"/>
          <w:sz w:val="24"/>
          <w:szCs w:val="24"/>
        </w:rPr>
        <w:t>应包括物资储备、中转、配送用地周边的绿地。</w:t>
      </w:r>
    </w:p>
    <w:p w14:paraId="2954B2F0">
      <w:pPr>
        <w:adjustRightInd w:val="0"/>
        <w:snapToGrid w:val="0"/>
        <w:spacing w:line="360" w:lineRule="auto"/>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napToGrid w:val="0"/>
          <w:kern w:val="0"/>
          <w:sz w:val="24"/>
          <w:szCs w:val="24"/>
        </w:rPr>
        <w:t>7.6.2</w:t>
      </w:r>
      <w:r>
        <w:rPr>
          <w:rFonts w:hint="eastAsia" w:asciiTheme="minorEastAsia" w:hAnsiTheme="minorEastAsia" w:eastAsiaTheme="minorEastAsia" w:cstheme="minorEastAsia"/>
          <w:sz w:val="24"/>
          <w:szCs w:val="24"/>
        </w:rPr>
        <w:t>　应根据物流园区或仓库类型，结合生产运输流程、安全防护和卫生隔离要求统筹规划布局，合理设计。</w:t>
      </w:r>
    </w:p>
    <w:p w14:paraId="316175A2">
      <w:pPr>
        <w:adjustRightInd w:val="0"/>
        <w:snapToGrid w:val="0"/>
        <w:spacing w:line="360" w:lineRule="auto"/>
        <w:textAlignment w:val="baseline"/>
        <w:rPr>
          <w:rFonts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b/>
          <w:snapToGrid w:val="0"/>
          <w:kern w:val="0"/>
          <w:sz w:val="24"/>
          <w:szCs w:val="24"/>
        </w:rPr>
        <w:t>7.6.3</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napToGrid w:val="0"/>
          <w:kern w:val="0"/>
          <w:sz w:val="24"/>
          <w:szCs w:val="24"/>
        </w:rPr>
        <w:t>设计应符合下列规定：</w:t>
      </w:r>
    </w:p>
    <w:p w14:paraId="02EA9688">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w:t>
      </w:r>
      <w:r>
        <w:rPr>
          <w:rFonts w:hint="eastAsia" w:asciiTheme="minorEastAsia" w:hAnsiTheme="minorEastAsia" w:eastAsiaTheme="minorEastAsia" w:cstheme="minorEastAsia"/>
          <w:sz w:val="24"/>
          <w:szCs w:val="24"/>
        </w:rPr>
        <w:t>　可</w:t>
      </w:r>
      <w:r>
        <w:rPr>
          <w:rFonts w:hint="eastAsia" w:asciiTheme="minorEastAsia" w:hAnsiTheme="minorEastAsia" w:eastAsiaTheme="minorEastAsia" w:cstheme="minorEastAsia"/>
          <w:snapToGrid w:val="0"/>
          <w:kern w:val="0"/>
          <w:sz w:val="24"/>
          <w:szCs w:val="24"/>
        </w:rPr>
        <w:t>利用零星空地进行绿化，且应保证物流动线畅通、</w:t>
      </w:r>
      <w:r>
        <w:rPr>
          <w:rFonts w:hint="eastAsia" w:asciiTheme="minorEastAsia" w:hAnsiTheme="minorEastAsia" w:eastAsiaTheme="minorEastAsia" w:cstheme="minorEastAsia"/>
          <w:sz w:val="24"/>
          <w:szCs w:val="24"/>
        </w:rPr>
        <w:t>视线通透；</w:t>
      </w:r>
    </w:p>
    <w:p w14:paraId="7C9D883D">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2</w:t>
      </w:r>
      <w:r>
        <w:rPr>
          <w:rFonts w:hint="eastAsia" w:asciiTheme="minorEastAsia" w:hAnsiTheme="minorEastAsia" w:eastAsiaTheme="minorEastAsia" w:cstheme="minorEastAsia"/>
          <w:sz w:val="24"/>
          <w:szCs w:val="24"/>
        </w:rPr>
        <w:t>　独立仓库或堆场与相邻居民区、工厂、道路之间宜设置防火林带；</w:t>
      </w:r>
    </w:p>
    <w:p w14:paraId="42808C24">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3</w:t>
      </w:r>
      <w:r>
        <w:rPr>
          <w:rFonts w:hint="eastAsia" w:asciiTheme="minorEastAsia" w:hAnsiTheme="minorEastAsia" w:eastAsiaTheme="minorEastAsia" w:cstheme="minorEastAsia"/>
          <w:sz w:val="24"/>
          <w:szCs w:val="24"/>
        </w:rPr>
        <w:t>　可利用有条件的连片仓库建筑设计屋顶绿化；</w:t>
      </w:r>
    </w:p>
    <w:p w14:paraId="588D14EC">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4</w:t>
      </w:r>
      <w:r>
        <w:rPr>
          <w:rFonts w:hint="eastAsia" w:asciiTheme="minorEastAsia" w:hAnsiTheme="minorEastAsia" w:eastAsiaTheme="minorEastAsia" w:cstheme="minorEastAsia"/>
          <w:sz w:val="24"/>
          <w:szCs w:val="24"/>
        </w:rPr>
        <w:t>　树种选择与种植应符合监控安全要求，合理布置种植距离。</w:t>
      </w:r>
    </w:p>
    <w:p w14:paraId="37688564">
      <w:pPr>
        <w:pStyle w:val="40"/>
        <w:outlineLvl w:val="1"/>
        <w:rPr>
          <w:b w:val="0"/>
        </w:rPr>
      </w:pPr>
      <w:bookmarkStart w:id="102" w:name="_Toc26343"/>
      <w:bookmarkStart w:id="103" w:name="_Toc17287"/>
      <w:r>
        <w:rPr>
          <w:rFonts w:hint="eastAsia"/>
          <w:b w:val="0"/>
        </w:rPr>
        <w:t>7.7　道路与交通设施用地附属绿地</w:t>
      </w:r>
      <w:bookmarkEnd w:id="102"/>
      <w:bookmarkEnd w:id="103"/>
    </w:p>
    <w:p w14:paraId="3FD21722">
      <w:pPr>
        <w:adjustRightInd w:val="0"/>
        <w:snapToGrid w:val="0"/>
        <w:spacing w:line="360" w:lineRule="auto"/>
        <w:textAlignment w:val="baseline"/>
        <w:rPr>
          <w:rFonts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b/>
          <w:snapToGrid w:val="0"/>
          <w:kern w:val="0"/>
          <w:sz w:val="24"/>
          <w:szCs w:val="24"/>
        </w:rPr>
        <w:t>7.7.1</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napToGrid w:val="0"/>
          <w:kern w:val="0"/>
          <w:sz w:val="24"/>
          <w:szCs w:val="24"/>
        </w:rPr>
        <w:t>应包括城市道路、交通设施用地内的绿地。</w:t>
      </w:r>
    </w:p>
    <w:p w14:paraId="79CE49F7">
      <w:pPr>
        <w:spacing w:line="360" w:lineRule="auto"/>
        <w:rPr>
          <w:rFonts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b/>
          <w:snapToGrid w:val="0"/>
          <w:kern w:val="0"/>
          <w:sz w:val="24"/>
          <w:szCs w:val="24"/>
        </w:rPr>
        <w:t>7.7.2</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napToGrid w:val="0"/>
          <w:kern w:val="0"/>
          <w:sz w:val="24"/>
          <w:szCs w:val="24"/>
        </w:rPr>
        <w:t>新建、扩建、更新的城市道路、社会停车场和城市道路立体交叉口的绿化设计应满足现行行业标准《城市道路绿化设计标准》CJJ/T</w:t>
      </w:r>
      <w:r>
        <w:rPr>
          <w:rFonts w:asciiTheme="minorEastAsia" w:hAnsiTheme="minorEastAsia" w:eastAsiaTheme="minorEastAsia" w:cstheme="minorEastAsia"/>
          <w:snapToGrid w:val="0"/>
          <w:kern w:val="0"/>
          <w:sz w:val="24"/>
          <w:szCs w:val="24"/>
        </w:rPr>
        <w:t xml:space="preserve"> </w:t>
      </w:r>
      <w:r>
        <w:rPr>
          <w:rFonts w:hint="eastAsia" w:asciiTheme="minorEastAsia" w:hAnsiTheme="minorEastAsia" w:eastAsiaTheme="minorEastAsia" w:cstheme="minorEastAsia"/>
          <w:snapToGrid w:val="0"/>
          <w:kern w:val="0"/>
          <w:sz w:val="24"/>
          <w:szCs w:val="24"/>
        </w:rPr>
        <w:t>75的</w:t>
      </w:r>
      <w:r>
        <w:rPr>
          <w:rFonts w:hint="eastAsia" w:asciiTheme="minorEastAsia" w:hAnsiTheme="minorEastAsia" w:eastAsiaTheme="minorEastAsia" w:cstheme="minorEastAsia"/>
          <w:sz w:val="24"/>
          <w:szCs w:val="24"/>
        </w:rPr>
        <w:t>有关</w:t>
      </w:r>
      <w:r>
        <w:rPr>
          <w:rFonts w:hint="eastAsia" w:asciiTheme="minorEastAsia" w:hAnsiTheme="minorEastAsia" w:eastAsiaTheme="minorEastAsia" w:cstheme="minorEastAsia"/>
          <w:snapToGrid w:val="0"/>
          <w:kern w:val="0"/>
          <w:sz w:val="24"/>
          <w:szCs w:val="24"/>
        </w:rPr>
        <w:t>规定。</w:t>
      </w:r>
    </w:p>
    <w:p w14:paraId="79F88808">
      <w:pPr>
        <w:spacing w:line="360" w:lineRule="auto"/>
        <w:rPr>
          <w:rFonts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b/>
          <w:snapToGrid w:val="0"/>
          <w:kern w:val="0"/>
          <w:sz w:val="24"/>
          <w:szCs w:val="24"/>
        </w:rPr>
        <w:t>7.7.3</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napToGrid w:val="0"/>
          <w:kern w:val="0"/>
          <w:sz w:val="24"/>
          <w:szCs w:val="24"/>
        </w:rPr>
        <w:t>设计应符合下列规定：</w:t>
      </w:r>
    </w:p>
    <w:p w14:paraId="4E878C1F">
      <w:pPr>
        <w:spacing w:line="360" w:lineRule="auto"/>
        <w:ind w:firstLine="482" w:firstLineChars="200"/>
        <w:rPr>
          <w:rFonts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b/>
          <w:snapToGrid w:val="0"/>
          <w:kern w:val="0"/>
          <w:sz w:val="24"/>
          <w:szCs w:val="24"/>
        </w:rPr>
        <w:t>1</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napToGrid w:val="0"/>
          <w:kern w:val="0"/>
          <w:sz w:val="24"/>
          <w:szCs w:val="24"/>
        </w:rPr>
        <w:t>整体风格与城市风貌协调，在道路关键节点可点缀地标性景观，彰显地域文化特色；</w:t>
      </w:r>
    </w:p>
    <w:p w14:paraId="41176CC9">
      <w:pPr>
        <w:spacing w:line="360" w:lineRule="auto"/>
        <w:ind w:firstLine="482" w:firstLineChars="200"/>
        <w:rPr>
          <w:rFonts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b/>
          <w:snapToGrid w:val="0"/>
          <w:kern w:val="0"/>
          <w:sz w:val="24"/>
          <w:szCs w:val="24"/>
        </w:rPr>
        <w:t>2</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napToGrid w:val="0"/>
          <w:kern w:val="0"/>
          <w:sz w:val="24"/>
          <w:szCs w:val="24"/>
        </w:rPr>
        <w:t>交叉口应满足视线通透，弯道避免植物遮挡。中央分隔带选用低分枝植物、边坡绿带选用深根固土植物，适配道路红线、公交站点、停车场等不同场景的使用需求；</w:t>
      </w:r>
    </w:p>
    <w:p w14:paraId="3AB52799">
      <w:pPr>
        <w:spacing w:line="360" w:lineRule="auto"/>
        <w:ind w:firstLine="482" w:firstLineChars="200"/>
        <w:rPr>
          <w:rFonts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b/>
          <w:snapToGrid w:val="0"/>
          <w:kern w:val="0"/>
          <w:sz w:val="24"/>
          <w:szCs w:val="24"/>
        </w:rPr>
        <w:t>3</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napToGrid w:val="0"/>
          <w:kern w:val="0"/>
          <w:sz w:val="24"/>
          <w:szCs w:val="24"/>
        </w:rPr>
        <w:t>植物设计不得影响信号灯、指示牌、消火栓等设施正常使用；</w:t>
      </w:r>
    </w:p>
    <w:p w14:paraId="52BCE47C">
      <w:pPr>
        <w:spacing w:line="360" w:lineRule="auto"/>
        <w:ind w:firstLine="482" w:firstLineChars="200"/>
        <w:rPr>
          <w:rFonts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b/>
          <w:snapToGrid w:val="0"/>
          <w:kern w:val="0"/>
          <w:sz w:val="24"/>
          <w:szCs w:val="24"/>
        </w:rPr>
        <w:t>4</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napToGrid w:val="0"/>
          <w:kern w:val="0"/>
          <w:sz w:val="24"/>
          <w:szCs w:val="24"/>
        </w:rPr>
        <w:t>路面雨水径流进入绿地前应采取截污设施；</w:t>
      </w:r>
    </w:p>
    <w:p w14:paraId="339642F6">
      <w:pPr>
        <w:spacing w:line="360" w:lineRule="auto"/>
        <w:ind w:firstLine="482" w:firstLineChars="200"/>
        <w:rPr>
          <w:rFonts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b/>
          <w:snapToGrid w:val="0"/>
          <w:kern w:val="0"/>
          <w:sz w:val="24"/>
          <w:szCs w:val="24"/>
        </w:rPr>
        <w:t>5</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napToGrid w:val="0"/>
          <w:kern w:val="0"/>
          <w:sz w:val="24"/>
          <w:szCs w:val="24"/>
        </w:rPr>
        <w:t>绿地率指标应满足现行行业标准《城市道路绿化设计标准》CJJ/T</w:t>
      </w:r>
      <w:r>
        <w:rPr>
          <w:rFonts w:asciiTheme="minorEastAsia" w:hAnsiTheme="minorEastAsia" w:eastAsiaTheme="minorEastAsia" w:cstheme="minorEastAsia"/>
          <w:snapToGrid w:val="0"/>
          <w:kern w:val="0"/>
          <w:sz w:val="24"/>
          <w:szCs w:val="24"/>
        </w:rPr>
        <w:t xml:space="preserve"> </w:t>
      </w:r>
      <w:r>
        <w:rPr>
          <w:rFonts w:hint="eastAsia" w:asciiTheme="minorEastAsia" w:hAnsiTheme="minorEastAsia" w:eastAsiaTheme="minorEastAsia" w:cstheme="minorEastAsia"/>
          <w:snapToGrid w:val="0"/>
          <w:kern w:val="0"/>
          <w:sz w:val="24"/>
          <w:szCs w:val="24"/>
        </w:rPr>
        <w:t>75的</w:t>
      </w:r>
      <w:r>
        <w:rPr>
          <w:rFonts w:hint="eastAsia" w:asciiTheme="minorEastAsia" w:hAnsiTheme="minorEastAsia" w:eastAsiaTheme="minorEastAsia" w:cstheme="minorEastAsia"/>
          <w:sz w:val="24"/>
          <w:szCs w:val="24"/>
        </w:rPr>
        <w:t>有关</w:t>
      </w:r>
      <w:r>
        <w:rPr>
          <w:rFonts w:hint="eastAsia" w:asciiTheme="minorEastAsia" w:hAnsiTheme="minorEastAsia" w:eastAsiaTheme="minorEastAsia" w:cstheme="minorEastAsia"/>
          <w:snapToGrid w:val="0"/>
          <w:kern w:val="0"/>
          <w:sz w:val="24"/>
          <w:szCs w:val="24"/>
        </w:rPr>
        <w:t>规定。</w:t>
      </w:r>
    </w:p>
    <w:p w14:paraId="2693B002">
      <w:pPr>
        <w:spacing w:line="360" w:lineRule="auto"/>
        <w:rPr>
          <w:rFonts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b/>
          <w:snapToGrid w:val="0"/>
          <w:kern w:val="0"/>
          <w:sz w:val="24"/>
          <w:szCs w:val="24"/>
        </w:rPr>
        <w:t>7.7.4</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napToGrid w:val="0"/>
          <w:kern w:val="0"/>
          <w:sz w:val="24"/>
          <w:szCs w:val="24"/>
        </w:rPr>
        <w:t>更新改造应处理好既有树木和植被的保护与道路安全视距的关系；增加地面停车位、铺装场地与维护现有树木健康生长的关系。</w:t>
      </w:r>
    </w:p>
    <w:p w14:paraId="0AD41200">
      <w:pPr>
        <w:pStyle w:val="40"/>
        <w:outlineLvl w:val="1"/>
        <w:rPr>
          <w:b w:val="0"/>
        </w:rPr>
      </w:pPr>
      <w:bookmarkStart w:id="104" w:name="_Toc6796"/>
      <w:bookmarkStart w:id="105" w:name="_Toc9561"/>
      <w:r>
        <w:rPr>
          <w:rFonts w:hint="eastAsia"/>
          <w:b w:val="0"/>
        </w:rPr>
        <w:t>7.8　公用设施用地附属绿地</w:t>
      </w:r>
      <w:bookmarkEnd w:id="104"/>
      <w:bookmarkEnd w:id="105"/>
    </w:p>
    <w:p w14:paraId="04C3323E">
      <w:pPr>
        <w:adjustRightInd w:val="0"/>
        <w:snapToGrid w:val="0"/>
        <w:spacing w:line="360" w:lineRule="auto"/>
        <w:textAlignment w:val="baseline"/>
        <w:rPr>
          <w:rFonts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b/>
          <w:snapToGrid w:val="0"/>
          <w:kern w:val="0"/>
          <w:sz w:val="24"/>
          <w:szCs w:val="24"/>
        </w:rPr>
        <w:t>7.8.1</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napToGrid w:val="0"/>
          <w:kern w:val="0"/>
          <w:sz w:val="24"/>
          <w:szCs w:val="24"/>
        </w:rPr>
        <w:t>应包括供应、环境、安全等设施用地内的绿地，可分为设施作业区和管理服务区。</w:t>
      </w:r>
    </w:p>
    <w:p w14:paraId="4F6B1664">
      <w:pPr>
        <w:numPr>
          <w:ilvl w:val="255"/>
          <w:numId w:val="0"/>
        </w:numPr>
        <w:adjustRightInd w:val="0"/>
        <w:snapToGrid w:val="0"/>
        <w:spacing w:line="360" w:lineRule="auto"/>
        <w:textAlignment w:val="baseline"/>
        <w:rPr>
          <w:rFonts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b/>
          <w:snapToGrid w:val="0"/>
          <w:kern w:val="0"/>
          <w:sz w:val="24"/>
          <w:szCs w:val="24"/>
        </w:rPr>
        <w:t>7.8.2</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napToGrid w:val="0"/>
          <w:kern w:val="0"/>
          <w:sz w:val="24"/>
          <w:szCs w:val="24"/>
        </w:rPr>
        <w:t>建筑物周边、道路两侧、围墙及其他空闲地均应充分绿化。</w:t>
      </w:r>
    </w:p>
    <w:p w14:paraId="5A46D810">
      <w:pPr>
        <w:numPr>
          <w:ilvl w:val="255"/>
          <w:numId w:val="0"/>
        </w:numPr>
        <w:adjustRightInd w:val="0"/>
        <w:snapToGrid w:val="0"/>
        <w:spacing w:line="360" w:lineRule="auto"/>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napToGrid w:val="0"/>
          <w:kern w:val="0"/>
          <w:sz w:val="24"/>
          <w:szCs w:val="24"/>
        </w:rPr>
        <w:t>7.8.3</w:t>
      </w:r>
      <w:r>
        <w:rPr>
          <w:rFonts w:hint="eastAsia" w:asciiTheme="minorEastAsia" w:hAnsiTheme="minorEastAsia" w:eastAsiaTheme="minorEastAsia" w:cstheme="minorEastAsia"/>
          <w:sz w:val="24"/>
          <w:szCs w:val="24"/>
        </w:rPr>
        <w:t>　设施作业区应依据设施的主导功能、生产运输流程、安全防护和卫生隔离要求等，合理安排绿地空间；植物应选择养护要求低，无果絮、花粉等污染源的品种。</w:t>
      </w:r>
    </w:p>
    <w:p w14:paraId="6ADBC091">
      <w:pPr>
        <w:adjustRightInd w:val="0"/>
        <w:snapToGrid w:val="0"/>
        <w:spacing w:line="360" w:lineRule="auto"/>
        <w:textAlignment w:val="baseline"/>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sz w:val="24"/>
          <w:szCs w:val="24"/>
        </w:rPr>
        <w:t>7.8.4</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napToGrid w:val="0"/>
          <w:kern w:val="0"/>
          <w:sz w:val="24"/>
          <w:szCs w:val="24"/>
        </w:rPr>
        <w:t>管理服务区宜结合用地面积、形状、使用需求等合理设置集中绿地。</w:t>
      </w:r>
    </w:p>
    <w:p w14:paraId="347BF5DC">
      <w:pPr>
        <w:widowControl/>
        <w:jc w:val="left"/>
        <w:rPr>
          <w:rFonts w:asciiTheme="minorEastAsia" w:hAnsiTheme="minorEastAsia" w:eastAsiaTheme="minorEastAsia" w:cstheme="minorEastAsia"/>
          <w:b/>
          <w:bCs/>
          <w:sz w:val="24"/>
          <w:szCs w:val="24"/>
        </w:rPr>
      </w:pPr>
      <w:bookmarkStart w:id="106" w:name="_Toc23596"/>
      <w:r>
        <w:rPr>
          <w:sz w:val="24"/>
          <w:szCs w:val="24"/>
        </w:rPr>
        <w:br w:type="page"/>
      </w:r>
    </w:p>
    <w:p w14:paraId="5A76459D">
      <w:pPr>
        <w:pStyle w:val="34"/>
        <w:numPr>
          <w:ilvl w:val="0"/>
          <w:numId w:val="3"/>
        </w:numPr>
      </w:pPr>
      <w:bookmarkStart w:id="107" w:name="_Toc31924"/>
      <w:r>
        <w:rPr>
          <w:rFonts w:hint="eastAsia"/>
        </w:rPr>
        <w:t>区域绿地</w:t>
      </w:r>
      <w:bookmarkEnd w:id="106"/>
      <w:bookmarkEnd w:id="107"/>
    </w:p>
    <w:p w14:paraId="1B2B4016">
      <w:pPr>
        <w:pStyle w:val="40"/>
        <w:outlineLvl w:val="1"/>
      </w:pPr>
      <w:bookmarkStart w:id="108" w:name="_Toc29797"/>
      <w:r>
        <w:rPr>
          <w:rFonts w:hint="eastAsia"/>
          <w:b w:val="0"/>
        </w:rPr>
        <w:t>8.1　一般规定</w:t>
      </w:r>
      <w:bookmarkEnd w:id="108"/>
    </w:p>
    <w:p w14:paraId="32555A52">
      <w:pPr>
        <w:spacing w:line="360" w:lineRule="auto"/>
        <w:rPr>
          <w:rFonts w:asciiTheme="minorEastAsia" w:hAnsiTheme="minorEastAsia" w:eastAsiaTheme="minorEastAsia" w:cstheme="minorEastAsia"/>
          <w:sz w:val="24"/>
          <w:szCs w:val="24"/>
        </w:rPr>
      </w:pPr>
      <w:r>
        <w:rPr>
          <w:rFonts w:asciiTheme="minorEastAsia" w:hAnsiTheme="minorEastAsia" w:eastAsiaTheme="minorEastAsia" w:cstheme="minorEastAsia"/>
          <w:b/>
          <w:sz w:val="24"/>
          <w:szCs w:val="24"/>
        </w:rPr>
        <w:t>8.1.1</w:t>
      </w:r>
      <w:r>
        <w:rPr>
          <w:rFonts w:hint="eastAsia" w:asciiTheme="minorEastAsia" w:hAnsiTheme="minorEastAsia" w:eastAsiaTheme="minorEastAsia" w:cstheme="minorEastAsia"/>
          <w:sz w:val="24"/>
          <w:szCs w:val="24"/>
        </w:rPr>
        <w:t>　区域绿地可包括风景游憩绿地、生态保育绿地、区域设施防护绿地和生产绿地。</w:t>
      </w:r>
    </w:p>
    <w:p w14:paraId="0F76D362">
      <w:pPr>
        <w:spacing w:line="360" w:lineRule="auto"/>
        <w:rPr>
          <w:rFonts w:asciiTheme="minorEastAsia" w:hAnsiTheme="minorEastAsia" w:eastAsiaTheme="minorEastAsia" w:cstheme="minorEastAsia"/>
          <w:sz w:val="24"/>
          <w:szCs w:val="24"/>
        </w:rPr>
      </w:pPr>
      <w:r>
        <w:rPr>
          <w:rFonts w:asciiTheme="minorEastAsia" w:hAnsiTheme="minorEastAsia" w:eastAsiaTheme="minorEastAsia" w:cstheme="minorEastAsia"/>
          <w:b/>
          <w:sz w:val="24"/>
          <w:szCs w:val="24"/>
        </w:rPr>
        <w:t>8.1.2</w:t>
      </w:r>
      <w:r>
        <w:rPr>
          <w:rFonts w:hint="eastAsia" w:asciiTheme="minorEastAsia" w:hAnsiTheme="minorEastAsia" w:eastAsiaTheme="minorEastAsia" w:cstheme="minorEastAsia"/>
          <w:sz w:val="24"/>
          <w:szCs w:val="24"/>
        </w:rPr>
        <w:t>　区域绿地设计应尊重场地现状条件，强化山、水、林、田、湖、草等自然生态要素的保护和利用，充分发挥其生态、游憩及生产价值。</w:t>
      </w:r>
    </w:p>
    <w:p w14:paraId="5C98170A">
      <w:pPr>
        <w:spacing w:line="360" w:lineRule="auto"/>
        <w:rPr>
          <w:rFonts w:asciiTheme="minorEastAsia" w:hAnsiTheme="minorEastAsia" w:eastAsiaTheme="minorEastAsia" w:cstheme="minorEastAsia"/>
          <w:sz w:val="24"/>
          <w:szCs w:val="24"/>
        </w:rPr>
      </w:pPr>
      <w:r>
        <w:rPr>
          <w:rFonts w:asciiTheme="minorEastAsia" w:hAnsiTheme="minorEastAsia" w:eastAsiaTheme="minorEastAsia" w:cstheme="minorEastAsia"/>
          <w:b/>
          <w:sz w:val="24"/>
          <w:szCs w:val="24"/>
        </w:rPr>
        <w:t>8.1.3</w:t>
      </w:r>
      <w:r>
        <w:rPr>
          <w:rFonts w:hint="eastAsia" w:asciiTheme="minorEastAsia" w:hAnsiTheme="minorEastAsia" w:eastAsiaTheme="minorEastAsia" w:cstheme="minorEastAsia"/>
          <w:sz w:val="24"/>
          <w:szCs w:val="24"/>
        </w:rPr>
        <w:t>　区域绿地应根据不同类型绿地的功能以及保护利用要求，在竖向地形、水生态体系、交通体系、植物景观及设施布局上采取针对性设计。</w:t>
      </w:r>
    </w:p>
    <w:p w14:paraId="52A76DF2">
      <w:pPr>
        <w:spacing w:line="360" w:lineRule="auto"/>
        <w:rPr>
          <w:rFonts w:asciiTheme="minorEastAsia" w:hAnsiTheme="minorEastAsia" w:eastAsiaTheme="minorEastAsia" w:cstheme="minorEastAsia"/>
          <w:sz w:val="24"/>
          <w:szCs w:val="24"/>
        </w:rPr>
      </w:pPr>
      <w:r>
        <w:rPr>
          <w:rFonts w:asciiTheme="minorEastAsia" w:hAnsiTheme="minorEastAsia" w:eastAsiaTheme="minorEastAsia" w:cstheme="minorEastAsia"/>
          <w:b/>
          <w:bCs/>
          <w:sz w:val="24"/>
          <w:szCs w:val="24"/>
        </w:rPr>
        <w:t>8.1.4</w:t>
      </w:r>
      <w:r>
        <w:rPr>
          <w:rFonts w:hint="eastAsia" w:asciiTheme="minorEastAsia" w:hAnsiTheme="minorEastAsia" w:eastAsiaTheme="minorEastAsia" w:cstheme="minorEastAsia"/>
          <w:sz w:val="24"/>
          <w:szCs w:val="24"/>
        </w:rPr>
        <w:t>　区域绿地设计应满足相应绿地的现行相关国家、行业标准的要求，并同时符合上位规划的要求。城市湿地公园的设计应满足现行行业标准《湿地公园设计标准》</w:t>
      </w:r>
      <w:r>
        <w:rPr>
          <w:rFonts w:asciiTheme="minorEastAsia" w:hAnsiTheme="minorEastAsia" w:eastAsiaTheme="minorEastAsia" w:cstheme="minorEastAsia"/>
          <w:sz w:val="24"/>
          <w:szCs w:val="24"/>
        </w:rPr>
        <w:t>CJJ/T 308的</w:t>
      </w:r>
      <w:r>
        <w:rPr>
          <w:rFonts w:hint="eastAsia" w:asciiTheme="minorEastAsia" w:hAnsiTheme="minorEastAsia" w:eastAsiaTheme="minorEastAsia" w:cstheme="minorEastAsia"/>
          <w:sz w:val="24"/>
          <w:szCs w:val="24"/>
        </w:rPr>
        <w:t>相关规定。</w:t>
      </w:r>
    </w:p>
    <w:p w14:paraId="284ACAB8">
      <w:pPr>
        <w:spacing w:line="360" w:lineRule="auto"/>
        <w:rPr>
          <w:rFonts w:asciiTheme="minorEastAsia" w:hAnsiTheme="minorEastAsia" w:eastAsiaTheme="minorEastAsia" w:cstheme="minorEastAsia"/>
          <w:sz w:val="24"/>
          <w:szCs w:val="24"/>
        </w:rPr>
      </w:pPr>
      <w:r>
        <w:rPr>
          <w:rFonts w:asciiTheme="minorEastAsia" w:hAnsiTheme="minorEastAsia" w:eastAsiaTheme="minorEastAsia" w:cstheme="minorEastAsia"/>
          <w:b/>
          <w:sz w:val="24"/>
          <w:szCs w:val="24"/>
        </w:rPr>
        <w:t>8.</w:t>
      </w:r>
      <w:r>
        <w:rPr>
          <w:rFonts w:hint="eastAsia" w:asciiTheme="minorEastAsia" w:hAnsiTheme="minorEastAsia" w:eastAsiaTheme="minorEastAsia" w:cstheme="minorEastAsia"/>
          <w:b/>
          <w:sz w:val="24"/>
          <w:szCs w:val="24"/>
        </w:rPr>
        <w:t>1</w:t>
      </w:r>
      <w:r>
        <w:rPr>
          <w:rFonts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rPr>
        <w:t>5</w:t>
      </w:r>
      <w:r>
        <w:rPr>
          <w:rFonts w:hint="eastAsia" w:asciiTheme="minorEastAsia" w:hAnsiTheme="minorEastAsia" w:eastAsiaTheme="minorEastAsia" w:cstheme="minorEastAsia"/>
          <w:sz w:val="24"/>
          <w:szCs w:val="24"/>
        </w:rPr>
        <w:t>　区域绿地植物配置应以近自然植物群落景观为特色，注重本地植被保育，体现自然、生态和野趣的效果。</w:t>
      </w:r>
    </w:p>
    <w:p w14:paraId="3316FCE8">
      <w:pPr>
        <w:spacing w:line="360" w:lineRule="auto"/>
        <w:rPr>
          <w:rFonts w:asciiTheme="minorEastAsia" w:hAnsiTheme="minorEastAsia" w:eastAsiaTheme="minorEastAsia" w:cstheme="minorEastAsia"/>
          <w:sz w:val="24"/>
          <w:szCs w:val="24"/>
        </w:rPr>
      </w:pPr>
      <w:r>
        <w:rPr>
          <w:rFonts w:asciiTheme="minorEastAsia" w:hAnsiTheme="minorEastAsia" w:eastAsiaTheme="minorEastAsia" w:cstheme="minorEastAsia"/>
          <w:b/>
          <w:sz w:val="24"/>
          <w:szCs w:val="24"/>
        </w:rPr>
        <w:t>8.</w:t>
      </w:r>
      <w:r>
        <w:rPr>
          <w:rFonts w:hint="eastAsia" w:asciiTheme="minorEastAsia" w:hAnsiTheme="minorEastAsia" w:eastAsiaTheme="minorEastAsia" w:cstheme="minorEastAsia"/>
          <w:b/>
          <w:sz w:val="24"/>
          <w:szCs w:val="24"/>
        </w:rPr>
        <w:t>1</w:t>
      </w:r>
      <w:r>
        <w:rPr>
          <w:rFonts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rPr>
        <w:t>6</w:t>
      </w:r>
      <w:r>
        <w:rPr>
          <w:rFonts w:hint="eastAsia" w:asciiTheme="minorEastAsia" w:hAnsiTheme="minorEastAsia" w:eastAsiaTheme="minorEastAsia" w:cstheme="minorEastAsia"/>
          <w:sz w:val="24"/>
          <w:szCs w:val="24"/>
        </w:rPr>
        <w:t>　区域绿地竖向设计应符合国土空间规划及土地专项整治、林地抚育等专项工程要求。</w:t>
      </w:r>
    </w:p>
    <w:p w14:paraId="51EC87E1">
      <w:pPr>
        <w:spacing w:line="360" w:lineRule="auto"/>
        <w:rPr>
          <w:rFonts w:asciiTheme="minorEastAsia" w:hAnsiTheme="minorEastAsia" w:eastAsiaTheme="minorEastAsia" w:cstheme="minorEastAsia"/>
          <w:sz w:val="24"/>
          <w:szCs w:val="24"/>
        </w:rPr>
      </w:pPr>
      <w:r>
        <w:rPr>
          <w:rFonts w:asciiTheme="minorEastAsia" w:hAnsiTheme="minorEastAsia" w:eastAsiaTheme="minorEastAsia" w:cstheme="minorEastAsia"/>
          <w:b/>
          <w:sz w:val="24"/>
          <w:szCs w:val="24"/>
        </w:rPr>
        <w:t>8.</w:t>
      </w:r>
      <w:r>
        <w:rPr>
          <w:rFonts w:hint="eastAsia" w:asciiTheme="minorEastAsia" w:hAnsiTheme="minorEastAsia" w:eastAsiaTheme="minorEastAsia" w:cstheme="minorEastAsia"/>
          <w:b/>
          <w:sz w:val="24"/>
          <w:szCs w:val="24"/>
        </w:rPr>
        <w:t>1</w:t>
      </w:r>
      <w:r>
        <w:rPr>
          <w:rFonts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rPr>
        <w:t>7</w:t>
      </w:r>
      <w:r>
        <w:rPr>
          <w:rFonts w:hint="eastAsia" w:asciiTheme="minorEastAsia" w:hAnsiTheme="minorEastAsia" w:eastAsiaTheme="minorEastAsia" w:cstheme="minorEastAsia"/>
          <w:sz w:val="24"/>
          <w:szCs w:val="24"/>
        </w:rPr>
        <w:t>　区域绿地水系设计应保护自然水系格局，兼顾地表排水、湿地保育、生境营造与游览安全。</w:t>
      </w:r>
    </w:p>
    <w:p w14:paraId="2B9F82F4">
      <w:pPr>
        <w:spacing w:line="360" w:lineRule="auto"/>
        <w:rPr>
          <w:rFonts w:asciiTheme="minorEastAsia" w:hAnsiTheme="minorEastAsia" w:eastAsiaTheme="minorEastAsia" w:cstheme="minorEastAsia"/>
          <w:sz w:val="24"/>
          <w:szCs w:val="24"/>
        </w:rPr>
      </w:pPr>
      <w:r>
        <w:rPr>
          <w:rFonts w:asciiTheme="minorEastAsia" w:hAnsiTheme="minorEastAsia" w:eastAsiaTheme="minorEastAsia" w:cstheme="minorEastAsia"/>
          <w:b/>
          <w:sz w:val="24"/>
          <w:szCs w:val="24"/>
        </w:rPr>
        <w:t>8.</w:t>
      </w:r>
      <w:r>
        <w:rPr>
          <w:rFonts w:hint="eastAsia" w:asciiTheme="minorEastAsia" w:hAnsiTheme="minorEastAsia" w:eastAsiaTheme="minorEastAsia" w:cstheme="minorEastAsia"/>
          <w:b/>
          <w:sz w:val="24"/>
          <w:szCs w:val="24"/>
        </w:rPr>
        <w:t>1</w:t>
      </w:r>
      <w:r>
        <w:rPr>
          <w:rFonts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rPr>
        <w:t>8</w:t>
      </w:r>
      <w:r>
        <w:rPr>
          <w:rFonts w:hint="eastAsia" w:asciiTheme="minorEastAsia" w:hAnsiTheme="minorEastAsia" w:eastAsiaTheme="minorEastAsia" w:cstheme="minorEastAsia"/>
          <w:sz w:val="24"/>
          <w:szCs w:val="24"/>
        </w:rPr>
        <w:t>　区域绿地交通组织应利用现状道路，统筹生产、生活与游览需求，集约布局设施，满足多种交通要求。绿道游径的设置应符合现行强制性工程建设规范《园林绿化工程项目规范》</w:t>
      </w:r>
      <w:r>
        <w:rPr>
          <w:rFonts w:asciiTheme="minorEastAsia" w:hAnsiTheme="minorEastAsia" w:eastAsiaTheme="minorEastAsia" w:cstheme="minorEastAsia"/>
          <w:sz w:val="24"/>
          <w:szCs w:val="24"/>
        </w:rPr>
        <w:t>GB 55014</w:t>
      </w:r>
      <w:r>
        <w:rPr>
          <w:rFonts w:hint="eastAsia" w:asciiTheme="minorEastAsia" w:hAnsiTheme="minorEastAsia" w:eastAsiaTheme="minorEastAsia" w:cstheme="minorEastAsia"/>
          <w:sz w:val="24"/>
          <w:szCs w:val="24"/>
        </w:rPr>
        <w:t>和现行行业标准《城镇绿道工程技术标准》CJJ/T</w:t>
      </w:r>
      <w:r>
        <w:rPr>
          <w:rFonts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t>304</w:t>
      </w:r>
      <w:r>
        <w:rPr>
          <w:rFonts w:asciiTheme="minorEastAsia" w:hAnsiTheme="minorEastAsia" w:eastAsiaTheme="minorEastAsia" w:cstheme="minorEastAsia"/>
          <w:sz w:val="24"/>
          <w:szCs w:val="24"/>
        </w:rPr>
        <w:t>的</w:t>
      </w:r>
      <w:r>
        <w:rPr>
          <w:rFonts w:hint="eastAsia" w:asciiTheme="minorEastAsia" w:hAnsiTheme="minorEastAsia" w:eastAsiaTheme="minorEastAsia" w:cstheme="minorEastAsia"/>
          <w:sz w:val="24"/>
          <w:szCs w:val="24"/>
        </w:rPr>
        <w:t>有关规定。</w:t>
      </w:r>
    </w:p>
    <w:p w14:paraId="1916912F">
      <w:pPr>
        <w:spacing w:line="360" w:lineRule="auto"/>
        <w:rPr>
          <w:rFonts w:asciiTheme="minorEastAsia" w:hAnsiTheme="minorEastAsia" w:eastAsiaTheme="minorEastAsia" w:cstheme="minorEastAsia"/>
          <w:sz w:val="24"/>
          <w:szCs w:val="24"/>
        </w:rPr>
      </w:pPr>
      <w:r>
        <w:rPr>
          <w:rFonts w:asciiTheme="minorEastAsia" w:hAnsiTheme="minorEastAsia" w:eastAsiaTheme="minorEastAsia" w:cstheme="minorEastAsia"/>
          <w:b/>
          <w:sz w:val="24"/>
          <w:szCs w:val="24"/>
        </w:rPr>
        <w:t>8.</w:t>
      </w:r>
      <w:r>
        <w:rPr>
          <w:rFonts w:hint="eastAsia" w:asciiTheme="minorEastAsia" w:hAnsiTheme="minorEastAsia" w:eastAsiaTheme="minorEastAsia" w:cstheme="minorEastAsia"/>
          <w:b/>
          <w:sz w:val="24"/>
          <w:szCs w:val="24"/>
        </w:rPr>
        <w:t>1</w:t>
      </w:r>
      <w:r>
        <w:rPr>
          <w:rFonts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rPr>
        <w:t>9</w:t>
      </w:r>
      <w:bookmarkStart w:id="109" w:name="_Hlk226459142"/>
      <w:r>
        <w:rPr>
          <w:rFonts w:hint="eastAsia" w:asciiTheme="minorEastAsia" w:hAnsiTheme="minorEastAsia" w:eastAsiaTheme="minorEastAsia" w:cstheme="minorEastAsia"/>
          <w:sz w:val="24"/>
          <w:szCs w:val="24"/>
        </w:rPr>
        <w:t>　</w:t>
      </w:r>
      <w:bookmarkEnd w:id="109"/>
      <w:r>
        <w:rPr>
          <w:rFonts w:hint="eastAsia" w:asciiTheme="minorEastAsia" w:hAnsiTheme="minorEastAsia" w:eastAsiaTheme="minorEastAsia" w:cstheme="minorEastAsia"/>
          <w:sz w:val="24"/>
          <w:szCs w:val="24"/>
        </w:rPr>
        <w:t>区域绿地设施布局应兼顾使用需求和生态保护，在主要游憩区域内按合理服务半径分散设置。不得建设与管理服务无关或与用地性质不符的建筑与设施。</w:t>
      </w:r>
    </w:p>
    <w:p w14:paraId="04947ED0">
      <w:pPr>
        <w:pStyle w:val="40"/>
        <w:widowControl/>
        <w:textAlignment w:val="baseline"/>
        <w:outlineLvl w:val="1"/>
        <w:rPr>
          <w:b w:val="0"/>
        </w:rPr>
      </w:pPr>
      <w:bookmarkStart w:id="110" w:name="_Toc30587"/>
      <w:r>
        <w:rPr>
          <w:rFonts w:hint="eastAsia"/>
          <w:b w:val="0"/>
        </w:rPr>
        <w:t>8.2　区域设施防护绿地</w:t>
      </w:r>
      <w:bookmarkEnd w:id="110"/>
    </w:p>
    <w:p w14:paraId="0BAFC8A2">
      <w:pPr>
        <w:widowControl/>
        <w:spacing w:line="360" w:lineRule="auto"/>
        <w:textAlignment w:val="baseline"/>
        <w:rPr>
          <w:rFonts w:asciiTheme="minorEastAsia" w:hAnsiTheme="minorEastAsia" w:eastAsiaTheme="minorEastAsia" w:cstheme="minorEastAsia"/>
          <w:sz w:val="24"/>
          <w:szCs w:val="24"/>
        </w:rPr>
      </w:pPr>
      <w:r>
        <w:rPr>
          <w:rFonts w:asciiTheme="minorEastAsia" w:hAnsiTheme="minorEastAsia" w:eastAsiaTheme="minorEastAsia" w:cstheme="minorEastAsia"/>
          <w:b/>
          <w:bCs/>
          <w:sz w:val="24"/>
          <w:szCs w:val="24"/>
        </w:rPr>
        <w:t>8.</w:t>
      </w:r>
      <w:r>
        <w:rPr>
          <w:rFonts w:hint="eastAsia" w:asciiTheme="minorEastAsia" w:hAnsiTheme="minorEastAsia" w:eastAsiaTheme="minorEastAsia" w:cstheme="minorEastAsia"/>
          <w:b/>
          <w:bCs/>
          <w:sz w:val="24"/>
          <w:szCs w:val="24"/>
        </w:rPr>
        <w:t>2</w:t>
      </w:r>
      <w:r>
        <w:rPr>
          <w:rFonts w:asciiTheme="minorEastAsia" w:hAnsiTheme="minorEastAsia" w:eastAsiaTheme="minorEastAsia" w:cstheme="minorEastAsia"/>
          <w:b/>
          <w:bCs/>
          <w:sz w:val="24"/>
          <w:szCs w:val="24"/>
        </w:rPr>
        <w:t>.1</w:t>
      </w:r>
      <w:r>
        <w:rPr>
          <w:rFonts w:hint="eastAsia" w:asciiTheme="minorEastAsia" w:hAnsiTheme="minorEastAsia" w:eastAsiaTheme="minorEastAsia" w:cstheme="minorEastAsia"/>
          <w:sz w:val="24"/>
          <w:szCs w:val="24"/>
        </w:rPr>
        <w:t>　区域设施防护绿地的设计应结合设施形态采用密植围合形式，紧密环绕设施，满足安全、防护、卫生、隔离等功能。</w:t>
      </w:r>
    </w:p>
    <w:p w14:paraId="15FBBB2E">
      <w:pPr>
        <w:widowControl/>
        <w:spacing w:line="360" w:lineRule="auto"/>
        <w:textAlignment w:val="baseline"/>
        <w:rPr>
          <w:rFonts w:asciiTheme="minorEastAsia" w:hAnsiTheme="minorEastAsia" w:eastAsiaTheme="minorEastAsia" w:cstheme="minorEastAsia"/>
          <w:sz w:val="24"/>
          <w:szCs w:val="24"/>
        </w:rPr>
      </w:pPr>
      <w:r>
        <w:rPr>
          <w:rFonts w:asciiTheme="minorEastAsia" w:hAnsiTheme="minorEastAsia" w:eastAsiaTheme="minorEastAsia" w:cstheme="minorEastAsia"/>
          <w:b/>
          <w:sz w:val="24"/>
          <w:szCs w:val="24"/>
        </w:rPr>
        <w:t>8.</w:t>
      </w:r>
      <w:r>
        <w:rPr>
          <w:rFonts w:hint="eastAsia" w:asciiTheme="minorEastAsia" w:hAnsiTheme="minorEastAsia" w:eastAsiaTheme="minorEastAsia" w:cstheme="minorEastAsia"/>
          <w:b/>
          <w:sz w:val="24"/>
          <w:szCs w:val="24"/>
        </w:rPr>
        <w:t>2</w:t>
      </w:r>
      <w:r>
        <w:rPr>
          <w:rFonts w:asciiTheme="minorEastAsia" w:hAnsiTheme="minorEastAsia" w:eastAsiaTheme="minorEastAsia" w:cstheme="minorEastAsia"/>
          <w:b/>
          <w:sz w:val="24"/>
          <w:szCs w:val="24"/>
        </w:rPr>
        <w:t>.2</w:t>
      </w:r>
      <w:r>
        <w:rPr>
          <w:rFonts w:hint="eastAsia" w:asciiTheme="minorEastAsia" w:hAnsiTheme="minorEastAsia" w:eastAsiaTheme="minorEastAsia" w:cstheme="minorEastAsia"/>
          <w:sz w:val="24"/>
          <w:szCs w:val="24"/>
        </w:rPr>
        <w:t>　区域设施防护绿地的设计应选择深根、抗倒伏的乡土树种，宜采用行列式的种植形式，按品字型、行列式栽植。</w:t>
      </w:r>
    </w:p>
    <w:p w14:paraId="5255EBFA">
      <w:pPr>
        <w:widowControl/>
        <w:spacing w:line="360" w:lineRule="auto"/>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8.2.3</w:t>
      </w:r>
      <w:r>
        <w:rPr>
          <w:rFonts w:hint="eastAsia" w:asciiTheme="minorEastAsia" w:hAnsiTheme="minorEastAsia" w:eastAsiaTheme="minorEastAsia" w:cstheme="minorEastAsia"/>
          <w:sz w:val="24"/>
          <w:szCs w:val="24"/>
        </w:rPr>
        <w:t>　区域设施防护绿地的设计不得设置游憩设施，可配置必要的管理维护设施。</w:t>
      </w:r>
    </w:p>
    <w:p w14:paraId="1F33CFB1">
      <w:pPr>
        <w:pStyle w:val="40"/>
        <w:widowControl/>
        <w:ind w:firstLine="600" w:firstLineChars="200"/>
        <w:textAlignment w:val="baseline"/>
        <w:outlineLvl w:val="1"/>
        <w:rPr>
          <w:rFonts w:asciiTheme="minorEastAsia" w:hAnsiTheme="minorEastAsia"/>
          <w:sz w:val="24"/>
          <w:szCs w:val="24"/>
        </w:rPr>
      </w:pPr>
      <w:bookmarkStart w:id="111" w:name="_Toc17772"/>
      <w:r>
        <w:rPr>
          <w:rFonts w:hint="eastAsia"/>
          <w:b w:val="0"/>
        </w:rPr>
        <w:t>8.3　生产绿地</w:t>
      </w:r>
      <w:bookmarkEnd w:id="111"/>
    </w:p>
    <w:p w14:paraId="3E641020">
      <w:pPr>
        <w:spacing w:line="360" w:lineRule="auto"/>
        <w:rPr>
          <w:rFonts w:asciiTheme="minorEastAsia" w:hAnsiTheme="minorEastAsia" w:eastAsiaTheme="minorEastAsia" w:cstheme="minorEastAsia"/>
          <w:sz w:val="24"/>
          <w:szCs w:val="24"/>
        </w:rPr>
      </w:pPr>
      <w:r>
        <w:rPr>
          <w:rFonts w:asciiTheme="minorEastAsia" w:hAnsiTheme="minorEastAsia" w:eastAsiaTheme="minorEastAsia" w:cstheme="minorEastAsia"/>
          <w:b/>
          <w:bCs/>
          <w:sz w:val="24"/>
          <w:szCs w:val="24"/>
        </w:rPr>
        <w:t>8.</w:t>
      </w:r>
      <w:r>
        <w:rPr>
          <w:rFonts w:hint="eastAsia" w:asciiTheme="minorEastAsia" w:hAnsiTheme="minorEastAsia" w:eastAsiaTheme="minorEastAsia" w:cstheme="minorEastAsia"/>
          <w:b/>
          <w:bCs/>
          <w:sz w:val="24"/>
          <w:szCs w:val="24"/>
        </w:rPr>
        <w:t>3</w:t>
      </w:r>
      <w:r>
        <w:rPr>
          <w:rFonts w:asciiTheme="minorEastAsia" w:hAnsiTheme="minorEastAsia" w:eastAsiaTheme="minorEastAsia" w:cstheme="minorEastAsia"/>
          <w:b/>
          <w:bCs/>
          <w:sz w:val="24"/>
          <w:szCs w:val="24"/>
        </w:rPr>
        <w:t>.1</w:t>
      </w:r>
      <w:r>
        <w:rPr>
          <w:rFonts w:hint="eastAsia" w:asciiTheme="minorEastAsia" w:hAnsiTheme="minorEastAsia" w:eastAsiaTheme="minorEastAsia" w:cstheme="minorEastAsia"/>
          <w:sz w:val="24"/>
          <w:szCs w:val="24"/>
        </w:rPr>
        <w:t>　生产绿地的设计应依据城市绿地系统规划，结合城市绿地树种规划、育苗规划统筹布局，以满足防护、景观、游憩、科研等多重功能。</w:t>
      </w:r>
    </w:p>
    <w:p w14:paraId="34D66DFB">
      <w:pPr>
        <w:spacing w:line="360" w:lineRule="auto"/>
        <w:rPr>
          <w:rFonts w:asciiTheme="minorEastAsia" w:hAnsiTheme="minorEastAsia" w:eastAsiaTheme="minorEastAsia" w:cstheme="minorEastAsia"/>
          <w:sz w:val="24"/>
          <w:szCs w:val="24"/>
        </w:rPr>
      </w:pPr>
      <w:r>
        <w:rPr>
          <w:rFonts w:asciiTheme="minorEastAsia" w:hAnsiTheme="minorEastAsia" w:eastAsiaTheme="minorEastAsia" w:cstheme="minorEastAsia"/>
          <w:b/>
          <w:bCs/>
          <w:sz w:val="24"/>
          <w:szCs w:val="24"/>
        </w:rPr>
        <w:t>8.</w:t>
      </w:r>
      <w:r>
        <w:rPr>
          <w:rFonts w:hint="eastAsia" w:asciiTheme="minorEastAsia" w:hAnsiTheme="minorEastAsia" w:eastAsiaTheme="minorEastAsia" w:cstheme="minorEastAsia"/>
          <w:b/>
          <w:bCs/>
          <w:sz w:val="24"/>
          <w:szCs w:val="24"/>
        </w:rPr>
        <w:t>3</w:t>
      </w:r>
      <w:r>
        <w:rPr>
          <w:rFonts w:asciiTheme="minorEastAsia" w:hAnsiTheme="minorEastAsia" w:eastAsiaTheme="minorEastAsia" w:cstheme="minorEastAsia"/>
          <w:b/>
          <w:bCs/>
          <w:sz w:val="24"/>
          <w:szCs w:val="24"/>
        </w:rPr>
        <w:t>.2</w:t>
      </w:r>
      <w:r>
        <w:rPr>
          <w:rFonts w:hint="eastAsia" w:asciiTheme="minorEastAsia" w:hAnsiTheme="minorEastAsia" w:eastAsiaTheme="minorEastAsia" w:cstheme="minorEastAsia"/>
          <w:sz w:val="24"/>
          <w:szCs w:val="24"/>
        </w:rPr>
        <w:t>　应优先选育、储备乡土树种。可通过引种驯化培育高抗性、高观赏性植物品种，以丰富苗木多样性。</w:t>
      </w:r>
    </w:p>
    <w:p w14:paraId="37D2CB4A">
      <w:pPr>
        <w:spacing w:line="360" w:lineRule="auto"/>
        <w:rPr>
          <w:rFonts w:asciiTheme="minorEastAsia" w:hAnsiTheme="minorEastAsia" w:eastAsiaTheme="minorEastAsia" w:cstheme="minorEastAsia"/>
          <w:sz w:val="24"/>
          <w:szCs w:val="24"/>
        </w:rPr>
      </w:pPr>
      <w:r>
        <w:rPr>
          <w:rFonts w:asciiTheme="minorEastAsia" w:hAnsiTheme="minorEastAsia" w:eastAsiaTheme="minorEastAsia" w:cstheme="minorEastAsia"/>
          <w:b/>
          <w:bCs/>
          <w:sz w:val="24"/>
          <w:szCs w:val="24"/>
        </w:rPr>
        <w:t>8.</w:t>
      </w:r>
      <w:r>
        <w:rPr>
          <w:rFonts w:hint="eastAsia" w:asciiTheme="minorEastAsia" w:hAnsiTheme="minorEastAsia" w:eastAsiaTheme="minorEastAsia" w:cstheme="minorEastAsia"/>
          <w:b/>
          <w:bCs/>
          <w:sz w:val="24"/>
          <w:szCs w:val="24"/>
        </w:rPr>
        <w:t>3</w:t>
      </w:r>
      <w:r>
        <w:rPr>
          <w:rFonts w:asciiTheme="minorEastAsia" w:hAnsiTheme="minorEastAsia" w:eastAsiaTheme="minorEastAsia" w:cstheme="minorEastAsia"/>
          <w:b/>
          <w:bCs/>
          <w:sz w:val="24"/>
          <w:szCs w:val="24"/>
        </w:rPr>
        <w:t>.3</w:t>
      </w:r>
      <w:r>
        <w:rPr>
          <w:rFonts w:hint="eastAsia" w:asciiTheme="minorEastAsia" w:hAnsiTheme="minorEastAsia" w:eastAsiaTheme="minorEastAsia" w:cstheme="minorEastAsia"/>
          <w:sz w:val="24"/>
          <w:szCs w:val="24"/>
        </w:rPr>
        <w:t>　应科学配置植物，通过调控种植密度、规格与分布，优化植物群落结构。</w:t>
      </w:r>
    </w:p>
    <w:p w14:paraId="78C811E3">
      <w:pPr>
        <w:bidi w:val="0"/>
        <w:rPr>
          <w:rFonts w:hint="eastAsia" w:asciiTheme="minorEastAsia" w:hAnsiTheme="minorEastAsia" w:eastAsiaTheme="minorEastAsia" w:cstheme="minorEastAsia"/>
          <w:sz w:val="24"/>
          <w:szCs w:val="24"/>
        </w:rPr>
      </w:pPr>
      <w:r>
        <w:rPr>
          <w:rFonts w:asciiTheme="minorEastAsia" w:hAnsiTheme="minorEastAsia" w:eastAsiaTheme="minorEastAsia" w:cstheme="minorEastAsia"/>
          <w:b/>
          <w:bCs/>
          <w:sz w:val="24"/>
          <w:szCs w:val="24"/>
        </w:rPr>
        <w:t>8.</w:t>
      </w:r>
      <w:r>
        <w:rPr>
          <w:rFonts w:hint="eastAsia" w:asciiTheme="minorEastAsia" w:hAnsiTheme="minorEastAsia" w:eastAsiaTheme="minorEastAsia" w:cstheme="minorEastAsia"/>
          <w:b/>
          <w:bCs/>
          <w:sz w:val="24"/>
          <w:szCs w:val="24"/>
        </w:rPr>
        <w:t>3</w:t>
      </w:r>
      <w:r>
        <w:rPr>
          <w:rFonts w:asciiTheme="minorEastAsia" w:hAnsiTheme="minorEastAsia" w:eastAsiaTheme="minorEastAsia" w:cstheme="minorEastAsia"/>
          <w:b/>
          <w:bCs/>
          <w:sz w:val="24"/>
          <w:szCs w:val="24"/>
        </w:rPr>
        <w:t>.</w:t>
      </w:r>
      <w:r>
        <w:rPr>
          <w:rFonts w:hint="eastAsia" w:asciiTheme="minorEastAsia" w:hAnsiTheme="minorEastAsia" w:eastAsiaTheme="minorEastAsia" w:cstheme="minorEastAsia"/>
          <w:b/>
          <w:bCs/>
          <w:sz w:val="24"/>
          <w:szCs w:val="24"/>
          <w:lang w:val="en-US" w:eastAsia="zh-CN"/>
        </w:rPr>
        <w:t>4</w:t>
      </w:r>
      <w:r>
        <w:rPr>
          <w:rFonts w:hint="eastAsia" w:asciiTheme="minorEastAsia" w:hAnsiTheme="minorEastAsia" w:eastAsiaTheme="minorEastAsia" w:cstheme="minorEastAsia"/>
          <w:sz w:val="24"/>
          <w:szCs w:val="24"/>
        </w:rPr>
        <w:t>　应配套完善生产辅助设施，包括内部道路、停车场、排灌系统、蓄粪池、积肥场、晒种场、贮种坑、苗木窖等，满足育苗、养护、贮存的全流程作业需求。</w:t>
      </w:r>
      <w:bookmarkEnd w:id="71"/>
    </w:p>
    <w:p w14:paraId="28D6BD54">
      <w:pPr>
        <w:bidi w:val="0"/>
      </w:pPr>
      <w:r>
        <w:rPr>
          <w:rFonts w:hint="eastAsia"/>
        </w:rPr>
        <w:br w:type="page"/>
      </w:r>
      <w:bookmarkStart w:id="112" w:name="_Toc18612"/>
      <w:bookmarkStart w:id="113" w:name="_Toc398058031"/>
      <w:bookmarkStart w:id="114" w:name="_Toc367884532"/>
      <w:bookmarkStart w:id="115" w:name="_Toc195092412"/>
      <w:bookmarkStart w:id="116" w:name="_Toc341643267"/>
      <w:bookmarkStart w:id="117" w:name="_Toc398058416"/>
      <w:bookmarkStart w:id="118" w:name="_Toc440288361"/>
      <w:bookmarkStart w:id="119" w:name="_Toc386407205"/>
      <w:bookmarkStart w:id="120" w:name="_Toc440288852"/>
      <w:bookmarkStart w:id="121" w:name="_Toc440290521"/>
      <w:bookmarkStart w:id="122" w:name="_Toc386406690"/>
      <w:bookmarkStart w:id="123" w:name="_Toc4283"/>
      <w:bookmarkStart w:id="124" w:name="_Toc362015365"/>
      <w:bookmarkStart w:id="125" w:name="_Toc341783282"/>
      <w:bookmarkStart w:id="126" w:name="_Toc367870727"/>
      <w:bookmarkStart w:id="127" w:name="_Toc341645787"/>
      <w:bookmarkStart w:id="128" w:name="_Toc414481371"/>
      <w:r>
        <w:rPr>
          <w:rFonts w:hint="eastAsia"/>
        </w:rPr>
        <w:t>9　专项设计</w:t>
      </w:r>
      <w:bookmarkEnd w:id="112"/>
    </w:p>
    <w:p w14:paraId="512A15E8">
      <w:pPr>
        <w:pStyle w:val="40"/>
        <w:outlineLvl w:val="1"/>
        <w:rPr>
          <w:b w:val="0"/>
        </w:rPr>
      </w:pPr>
      <w:bookmarkStart w:id="129" w:name="_Toc1999"/>
      <w:bookmarkStart w:id="130" w:name="_Toc21743"/>
      <w:r>
        <w:rPr>
          <w:rFonts w:hint="eastAsia"/>
          <w:b w:val="0"/>
        </w:rPr>
        <w:t>9.1　一般规定</w:t>
      </w:r>
      <w:bookmarkEnd w:id="129"/>
      <w:bookmarkEnd w:id="130"/>
    </w:p>
    <w:p w14:paraId="56974FAE">
      <w:pPr>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9.1.1</w:t>
      </w:r>
      <w:r>
        <w:rPr>
          <w:rFonts w:hint="eastAsia" w:asciiTheme="minorEastAsia" w:hAnsiTheme="minorEastAsia" w:eastAsiaTheme="minorEastAsia" w:cstheme="minorEastAsia"/>
          <w:sz w:val="24"/>
          <w:szCs w:val="24"/>
        </w:rPr>
        <w:t>　城市绿地设计应通过竖向、植物、土壤、道路交通、活动场地、建（构）筑物、以及解说标识系统等的协同设计</w:t>
      </w:r>
      <w:r>
        <w:rPr>
          <w:rFonts w:hint="eastAsia" w:asciiTheme="minorEastAsia" w:hAnsiTheme="minorEastAsia" w:eastAsiaTheme="minorEastAsia" w:cstheme="minorEastAsia"/>
          <w:sz w:val="24"/>
          <w:szCs w:val="24"/>
          <w:lang w:eastAsia="zh-Hans"/>
        </w:rPr>
        <w:t>满足</w:t>
      </w:r>
      <w:r>
        <w:rPr>
          <w:rFonts w:hint="eastAsia" w:asciiTheme="minorEastAsia" w:hAnsiTheme="minorEastAsia" w:eastAsiaTheme="minorEastAsia" w:cstheme="minorEastAsia"/>
          <w:sz w:val="24"/>
          <w:szCs w:val="24"/>
        </w:rPr>
        <w:t>其生态、社会、景观、经济等重要功能。</w:t>
      </w:r>
    </w:p>
    <w:p w14:paraId="05D89D5B">
      <w:pPr>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9.1.2</w:t>
      </w:r>
      <w:r>
        <w:rPr>
          <w:rFonts w:hint="eastAsia" w:asciiTheme="minorEastAsia" w:hAnsiTheme="minorEastAsia" w:eastAsiaTheme="minorEastAsia" w:cstheme="minorEastAsia"/>
          <w:sz w:val="24"/>
          <w:szCs w:val="24"/>
        </w:rPr>
        <w:t>　不同类型的城市绿地应根据其功能定位设定差异化的控制标准，通过设计促进综合效益的最大化。</w:t>
      </w:r>
    </w:p>
    <w:p w14:paraId="6219690C">
      <w:pPr>
        <w:pStyle w:val="40"/>
        <w:outlineLvl w:val="1"/>
        <w:rPr>
          <w:b w:val="0"/>
        </w:rPr>
      </w:pPr>
      <w:bookmarkStart w:id="131" w:name="_Toc17133"/>
      <w:bookmarkStart w:id="132" w:name="_Toc32146"/>
      <w:r>
        <w:rPr>
          <w:rFonts w:hint="eastAsia"/>
          <w:b w:val="0"/>
        </w:rPr>
        <w:t>9.2　生态功能专项设计</w:t>
      </w:r>
      <w:bookmarkEnd w:id="131"/>
      <w:bookmarkEnd w:id="132"/>
    </w:p>
    <w:p w14:paraId="03DFEC05">
      <w:pPr>
        <w:widowControl/>
        <w:spacing w:line="360" w:lineRule="auto"/>
        <w:jc w:val="center"/>
        <w:outlineLvl w:val="2"/>
        <w:rPr>
          <w:rFonts w:ascii="仿宋" w:hAnsi="仿宋" w:eastAsia="仿宋" w:cs="仿宋"/>
          <w:sz w:val="28"/>
          <w:szCs w:val="28"/>
        </w:rPr>
      </w:pPr>
      <w:r>
        <w:rPr>
          <w:rFonts w:hint="eastAsia" w:ascii="仿宋" w:hAnsi="仿宋" w:eastAsia="仿宋" w:cs="仿宋"/>
          <w:b/>
          <w:bCs/>
          <w:sz w:val="28"/>
          <w:szCs w:val="28"/>
        </w:rPr>
        <w:t>I　一般规定</w:t>
      </w:r>
    </w:p>
    <w:p w14:paraId="406E3C8E">
      <w:pPr>
        <w:widowControl/>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9.2.1</w:t>
      </w:r>
      <w:r>
        <w:rPr>
          <w:rFonts w:hint="eastAsia" w:asciiTheme="minorEastAsia" w:hAnsiTheme="minorEastAsia" w:eastAsiaTheme="minorEastAsia" w:cstheme="minorEastAsia"/>
          <w:sz w:val="24"/>
          <w:szCs w:val="24"/>
        </w:rPr>
        <w:t>　城市绿地的生态功能设计应采取相应技术措施满足水文调节、微气候改善、生物多样性保护、减碳增汇等要求。既有绿地更新改造设计应结合体检评估结果，优先采用低碳、生态、节约、韧性等技术措施，提升绿地的生态功能。</w:t>
      </w:r>
    </w:p>
    <w:p w14:paraId="6015EB07">
      <w:pPr>
        <w:widowControl/>
        <w:spacing w:line="360" w:lineRule="auto"/>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b/>
          <w:sz w:val="24"/>
          <w:szCs w:val="24"/>
        </w:rPr>
        <w:t>9.2.2</w:t>
      </w:r>
      <w:r>
        <w:rPr>
          <w:rFonts w:hint="eastAsia" w:asciiTheme="minorEastAsia" w:hAnsiTheme="minorEastAsia" w:eastAsiaTheme="minorEastAsia" w:cstheme="minorEastAsia"/>
          <w:sz w:val="24"/>
          <w:szCs w:val="24"/>
        </w:rPr>
        <w:t>　各类城市绿地生态功能控制要求应符合表9.2.2的规定。</w:t>
      </w:r>
    </w:p>
    <w:p w14:paraId="43E64468">
      <w:pPr>
        <w:spacing w:line="360" w:lineRule="auto"/>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表9.2.2</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b/>
          <w:bCs/>
          <w:szCs w:val="21"/>
        </w:rPr>
        <w:t>城市绿地生态功能控制要求</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1269"/>
        <w:gridCol w:w="1320"/>
        <w:gridCol w:w="1320"/>
        <w:gridCol w:w="1320"/>
        <w:gridCol w:w="1320"/>
        <w:gridCol w:w="1320"/>
      </w:tblGrid>
      <w:tr w14:paraId="4ACA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696" w:type="dxa"/>
            <w:gridSpan w:val="2"/>
            <w:vAlign w:val="center"/>
          </w:tcPr>
          <w:p w14:paraId="154E1D72">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绿地类别</w:t>
            </w:r>
          </w:p>
        </w:tc>
        <w:tc>
          <w:tcPr>
            <w:tcW w:w="1320" w:type="dxa"/>
            <w:vAlign w:val="center"/>
          </w:tcPr>
          <w:p w14:paraId="70CC563C">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水文调节</w:t>
            </w:r>
          </w:p>
        </w:tc>
        <w:tc>
          <w:tcPr>
            <w:tcW w:w="1320" w:type="dxa"/>
            <w:vAlign w:val="center"/>
          </w:tcPr>
          <w:p w14:paraId="6A1521FF">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空气净化</w:t>
            </w:r>
          </w:p>
        </w:tc>
        <w:tc>
          <w:tcPr>
            <w:tcW w:w="1320" w:type="dxa"/>
            <w:vAlign w:val="center"/>
          </w:tcPr>
          <w:p w14:paraId="47C62A8C">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微气候改善</w:t>
            </w:r>
          </w:p>
        </w:tc>
        <w:tc>
          <w:tcPr>
            <w:tcW w:w="1320" w:type="dxa"/>
            <w:vAlign w:val="center"/>
          </w:tcPr>
          <w:p w14:paraId="185B20D1">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生物多样性保护</w:t>
            </w:r>
          </w:p>
        </w:tc>
        <w:tc>
          <w:tcPr>
            <w:tcW w:w="1320" w:type="dxa"/>
            <w:vAlign w:val="center"/>
          </w:tcPr>
          <w:p w14:paraId="7B06B13D">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减碳增汇</w:t>
            </w:r>
          </w:p>
        </w:tc>
      </w:tr>
      <w:tr w14:paraId="7E8F1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vMerge w:val="restart"/>
            <w:vAlign w:val="center"/>
          </w:tcPr>
          <w:p w14:paraId="1AD9160C">
            <w:p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公园</w:t>
            </w:r>
          </w:p>
          <w:p w14:paraId="5C81574F">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绿地</w:t>
            </w:r>
          </w:p>
        </w:tc>
        <w:tc>
          <w:tcPr>
            <w:tcW w:w="1269" w:type="dxa"/>
            <w:vAlign w:val="center"/>
          </w:tcPr>
          <w:p w14:paraId="68FF6529">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综合公园</w:t>
            </w:r>
          </w:p>
        </w:tc>
        <w:tc>
          <w:tcPr>
            <w:tcW w:w="1320" w:type="dxa"/>
            <w:vAlign w:val="center"/>
          </w:tcPr>
          <w:p w14:paraId="28D8D294">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c>
          <w:tcPr>
            <w:tcW w:w="1320" w:type="dxa"/>
            <w:vAlign w:val="center"/>
          </w:tcPr>
          <w:p w14:paraId="211334D6">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c>
          <w:tcPr>
            <w:tcW w:w="1320" w:type="dxa"/>
            <w:vAlign w:val="center"/>
          </w:tcPr>
          <w:p w14:paraId="78DEAAA3">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c>
          <w:tcPr>
            <w:tcW w:w="1320" w:type="dxa"/>
            <w:vAlign w:val="center"/>
          </w:tcPr>
          <w:p w14:paraId="11453890">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c>
          <w:tcPr>
            <w:tcW w:w="1320" w:type="dxa"/>
            <w:vAlign w:val="center"/>
          </w:tcPr>
          <w:p w14:paraId="27979DD8">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r>
      <w:tr w14:paraId="73042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vMerge w:val="continue"/>
            <w:vAlign w:val="center"/>
          </w:tcPr>
          <w:p w14:paraId="26853F0B">
            <w:pPr>
              <w:jc w:val="center"/>
              <w:rPr>
                <w:rFonts w:asciiTheme="minorEastAsia" w:hAnsiTheme="minorEastAsia" w:eastAsiaTheme="minorEastAsia" w:cstheme="minorEastAsia"/>
                <w:b/>
                <w:bCs/>
                <w:szCs w:val="21"/>
              </w:rPr>
            </w:pPr>
          </w:p>
        </w:tc>
        <w:tc>
          <w:tcPr>
            <w:tcW w:w="1269" w:type="dxa"/>
            <w:vAlign w:val="center"/>
          </w:tcPr>
          <w:p w14:paraId="60D04ED4">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社区公园</w:t>
            </w:r>
          </w:p>
        </w:tc>
        <w:tc>
          <w:tcPr>
            <w:tcW w:w="1320" w:type="dxa"/>
            <w:vAlign w:val="center"/>
          </w:tcPr>
          <w:p w14:paraId="326CFFF2">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c>
          <w:tcPr>
            <w:tcW w:w="1320" w:type="dxa"/>
            <w:vAlign w:val="center"/>
          </w:tcPr>
          <w:p w14:paraId="1AA3B418">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c>
          <w:tcPr>
            <w:tcW w:w="1320" w:type="dxa"/>
            <w:vAlign w:val="center"/>
          </w:tcPr>
          <w:p w14:paraId="1540B3A5">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c>
          <w:tcPr>
            <w:tcW w:w="1320" w:type="dxa"/>
            <w:vAlign w:val="center"/>
          </w:tcPr>
          <w:p w14:paraId="6E3879E2">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c>
          <w:tcPr>
            <w:tcW w:w="1320" w:type="dxa"/>
            <w:vAlign w:val="center"/>
          </w:tcPr>
          <w:p w14:paraId="07A8D51B">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r>
      <w:tr w14:paraId="20112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vMerge w:val="continue"/>
            <w:vAlign w:val="center"/>
          </w:tcPr>
          <w:p w14:paraId="3CC0F4A0">
            <w:pPr>
              <w:jc w:val="center"/>
              <w:rPr>
                <w:rFonts w:asciiTheme="minorEastAsia" w:hAnsiTheme="minorEastAsia" w:eastAsiaTheme="minorEastAsia" w:cstheme="minorEastAsia"/>
                <w:b/>
                <w:bCs/>
                <w:szCs w:val="21"/>
              </w:rPr>
            </w:pPr>
          </w:p>
        </w:tc>
        <w:tc>
          <w:tcPr>
            <w:tcW w:w="1269" w:type="dxa"/>
            <w:vAlign w:val="center"/>
          </w:tcPr>
          <w:p w14:paraId="5175708C">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专类公园</w:t>
            </w:r>
          </w:p>
        </w:tc>
        <w:tc>
          <w:tcPr>
            <w:tcW w:w="1320" w:type="dxa"/>
            <w:vAlign w:val="center"/>
          </w:tcPr>
          <w:p w14:paraId="216B7D35">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c>
          <w:tcPr>
            <w:tcW w:w="1320" w:type="dxa"/>
            <w:vAlign w:val="center"/>
          </w:tcPr>
          <w:p w14:paraId="33AF25A2">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c>
          <w:tcPr>
            <w:tcW w:w="1320" w:type="dxa"/>
            <w:vAlign w:val="center"/>
          </w:tcPr>
          <w:p w14:paraId="61438759">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c>
          <w:tcPr>
            <w:tcW w:w="1320" w:type="dxa"/>
            <w:vAlign w:val="center"/>
          </w:tcPr>
          <w:p w14:paraId="76AC56D1">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c>
          <w:tcPr>
            <w:tcW w:w="1320" w:type="dxa"/>
            <w:vAlign w:val="center"/>
          </w:tcPr>
          <w:p w14:paraId="4C8B88EF">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r>
      <w:tr w14:paraId="1CDA7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vMerge w:val="continue"/>
            <w:vAlign w:val="center"/>
          </w:tcPr>
          <w:p w14:paraId="2973E4C8">
            <w:pPr>
              <w:jc w:val="center"/>
              <w:rPr>
                <w:rFonts w:asciiTheme="minorEastAsia" w:hAnsiTheme="minorEastAsia" w:eastAsiaTheme="minorEastAsia" w:cstheme="minorEastAsia"/>
                <w:b/>
                <w:bCs/>
                <w:szCs w:val="21"/>
              </w:rPr>
            </w:pPr>
          </w:p>
        </w:tc>
        <w:tc>
          <w:tcPr>
            <w:tcW w:w="1269" w:type="dxa"/>
            <w:vAlign w:val="center"/>
          </w:tcPr>
          <w:p w14:paraId="5E1CA765">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游园</w:t>
            </w:r>
          </w:p>
        </w:tc>
        <w:tc>
          <w:tcPr>
            <w:tcW w:w="1320" w:type="dxa"/>
            <w:vAlign w:val="center"/>
          </w:tcPr>
          <w:p w14:paraId="0C4EA643">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c>
          <w:tcPr>
            <w:tcW w:w="1320" w:type="dxa"/>
            <w:vAlign w:val="center"/>
          </w:tcPr>
          <w:p w14:paraId="404D0047">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c>
          <w:tcPr>
            <w:tcW w:w="1320" w:type="dxa"/>
            <w:vAlign w:val="center"/>
          </w:tcPr>
          <w:p w14:paraId="65107683">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c>
          <w:tcPr>
            <w:tcW w:w="1320" w:type="dxa"/>
            <w:vAlign w:val="center"/>
          </w:tcPr>
          <w:p w14:paraId="439F6DCF">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c>
          <w:tcPr>
            <w:tcW w:w="1320" w:type="dxa"/>
            <w:vAlign w:val="center"/>
          </w:tcPr>
          <w:p w14:paraId="56447F75">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r>
      <w:tr w14:paraId="6D565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vMerge w:val="restart"/>
            <w:vAlign w:val="center"/>
          </w:tcPr>
          <w:p w14:paraId="185E98BA">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防护绿地</w:t>
            </w:r>
          </w:p>
        </w:tc>
        <w:tc>
          <w:tcPr>
            <w:tcW w:w="1269" w:type="dxa"/>
            <w:vAlign w:val="center"/>
          </w:tcPr>
          <w:p w14:paraId="0015D3F7">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卫生隔离</w:t>
            </w:r>
          </w:p>
        </w:tc>
        <w:tc>
          <w:tcPr>
            <w:tcW w:w="1320" w:type="dxa"/>
            <w:vAlign w:val="center"/>
          </w:tcPr>
          <w:p w14:paraId="60716DA4">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vAlign w:val="center"/>
          </w:tcPr>
          <w:p w14:paraId="7A880E48">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vAlign w:val="center"/>
          </w:tcPr>
          <w:p w14:paraId="5098E89A">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vAlign w:val="center"/>
          </w:tcPr>
          <w:p w14:paraId="15202CF2">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vAlign w:val="center"/>
          </w:tcPr>
          <w:p w14:paraId="0E6900F5">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5B9CE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vMerge w:val="continue"/>
            <w:vAlign w:val="center"/>
          </w:tcPr>
          <w:p w14:paraId="1CBD9EDD">
            <w:pPr>
              <w:jc w:val="center"/>
              <w:rPr>
                <w:rFonts w:asciiTheme="minorEastAsia" w:hAnsiTheme="minorEastAsia" w:eastAsiaTheme="minorEastAsia" w:cstheme="minorEastAsia"/>
                <w:b/>
                <w:bCs/>
                <w:szCs w:val="21"/>
              </w:rPr>
            </w:pPr>
          </w:p>
        </w:tc>
        <w:tc>
          <w:tcPr>
            <w:tcW w:w="1269" w:type="dxa"/>
            <w:vAlign w:val="center"/>
          </w:tcPr>
          <w:p w14:paraId="318452D0">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道路及铁路</w:t>
            </w:r>
          </w:p>
        </w:tc>
        <w:tc>
          <w:tcPr>
            <w:tcW w:w="1320" w:type="dxa"/>
            <w:vAlign w:val="center"/>
          </w:tcPr>
          <w:p w14:paraId="3C69B6D3">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vAlign w:val="center"/>
          </w:tcPr>
          <w:p w14:paraId="3E979E82">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vAlign w:val="center"/>
          </w:tcPr>
          <w:p w14:paraId="59A8C39B">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vAlign w:val="center"/>
          </w:tcPr>
          <w:p w14:paraId="3A64FE1B">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vAlign w:val="center"/>
          </w:tcPr>
          <w:p w14:paraId="4F7521C2">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62216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vMerge w:val="continue"/>
            <w:vAlign w:val="center"/>
          </w:tcPr>
          <w:p w14:paraId="3ECBB388">
            <w:pPr>
              <w:jc w:val="center"/>
              <w:rPr>
                <w:rFonts w:asciiTheme="minorEastAsia" w:hAnsiTheme="minorEastAsia" w:eastAsiaTheme="minorEastAsia" w:cstheme="minorEastAsia"/>
                <w:b/>
                <w:bCs/>
                <w:szCs w:val="21"/>
              </w:rPr>
            </w:pPr>
          </w:p>
        </w:tc>
        <w:tc>
          <w:tcPr>
            <w:tcW w:w="1269" w:type="dxa"/>
            <w:vAlign w:val="center"/>
          </w:tcPr>
          <w:p w14:paraId="27B34B77">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高压走廊</w:t>
            </w:r>
          </w:p>
        </w:tc>
        <w:tc>
          <w:tcPr>
            <w:tcW w:w="1320" w:type="dxa"/>
            <w:vAlign w:val="center"/>
          </w:tcPr>
          <w:p w14:paraId="2462CCA7">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vAlign w:val="center"/>
          </w:tcPr>
          <w:p w14:paraId="7D51F3E3">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vAlign w:val="center"/>
          </w:tcPr>
          <w:p w14:paraId="4C0647C5">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vAlign w:val="center"/>
          </w:tcPr>
          <w:p w14:paraId="27FC3798">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vAlign w:val="center"/>
          </w:tcPr>
          <w:p w14:paraId="11ED92B2">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6FF6E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vMerge w:val="continue"/>
            <w:vAlign w:val="center"/>
          </w:tcPr>
          <w:p w14:paraId="5CCBCCC1">
            <w:pPr>
              <w:jc w:val="center"/>
              <w:rPr>
                <w:rFonts w:asciiTheme="minorEastAsia" w:hAnsiTheme="minorEastAsia" w:eastAsiaTheme="minorEastAsia" w:cstheme="minorEastAsia"/>
                <w:b/>
                <w:bCs/>
                <w:szCs w:val="21"/>
              </w:rPr>
            </w:pPr>
          </w:p>
        </w:tc>
        <w:tc>
          <w:tcPr>
            <w:tcW w:w="1269" w:type="dxa"/>
            <w:vAlign w:val="center"/>
          </w:tcPr>
          <w:p w14:paraId="117AF9C8">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公用设施</w:t>
            </w:r>
          </w:p>
        </w:tc>
        <w:tc>
          <w:tcPr>
            <w:tcW w:w="1320" w:type="dxa"/>
            <w:vAlign w:val="center"/>
          </w:tcPr>
          <w:p w14:paraId="35CD3630">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vAlign w:val="center"/>
          </w:tcPr>
          <w:p w14:paraId="1CA4A2AF">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vAlign w:val="center"/>
          </w:tcPr>
          <w:p w14:paraId="7301E5D8">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vAlign w:val="center"/>
          </w:tcPr>
          <w:p w14:paraId="2ADB7A3E">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vAlign w:val="center"/>
          </w:tcPr>
          <w:p w14:paraId="40ED7038">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32144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vMerge w:val="restart"/>
            <w:vAlign w:val="center"/>
          </w:tcPr>
          <w:p w14:paraId="5E56592E">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附属绿地</w:t>
            </w:r>
          </w:p>
        </w:tc>
        <w:tc>
          <w:tcPr>
            <w:tcW w:w="1269" w:type="dxa"/>
            <w:vAlign w:val="center"/>
          </w:tcPr>
          <w:p w14:paraId="31A81520">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居住</w:t>
            </w:r>
          </w:p>
        </w:tc>
        <w:tc>
          <w:tcPr>
            <w:tcW w:w="1320" w:type="dxa"/>
          </w:tcPr>
          <w:p w14:paraId="183F372E">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tcPr>
          <w:p w14:paraId="4C34AF49">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tcPr>
          <w:p w14:paraId="1C35599D">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tcPr>
          <w:p w14:paraId="45BBAA8F">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tcPr>
          <w:p w14:paraId="4B8B1793">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50899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vMerge w:val="continue"/>
            <w:vAlign w:val="center"/>
          </w:tcPr>
          <w:p w14:paraId="3F72C36D">
            <w:pPr>
              <w:jc w:val="center"/>
              <w:rPr>
                <w:rFonts w:asciiTheme="minorEastAsia" w:hAnsiTheme="minorEastAsia" w:eastAsiaTheme="minorEastAsia" w:cstheme="minorEastAsia"/>
                <w:b/>
                <w:bCs/>
                <w:szCs w:val="21"/>
              </w:rPr>
            </w:pPr>
          </w:p>
        </w:tc>
        <w:tc>
          <w:tcPr>
            <w:tcW w:w="1269" w:type="dxa"/>
            <w:vAlign w:val="center"/>
          </w:tcPr>
          <w:p w14:paraId="30BFFF8B">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公共管理与公服</w:t>
            </w:r>
          </w:p>
        </w:tc>
        <w:tc>
          <w:tcPr>
            <w:tcW w:w="1320" w:type="dxa"/>
          </w:tcPr>
          <w:p w14:paraId="50BB5442">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tcPr>
          <w:p w14:paraId="3D9C3CDF">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tcPr>
          <w:p w14:paraId="2DD80922">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tcPr>
          <w:p w14:paraId="53E33A30">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tcPr>
          <w:p w14:paraId="4F3C1F4D">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4A735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vMerge w:val="continue"/>
            <w:vAlign w:val="center"/>
          </w:tcPr>
          <w:p w14:paraId="482E92BB">
            <w:pPr>
              <w:jc w:val="center"/>
              <w:rPr>
                <w:rFonts w:asciiTheme="minorEastAsia" w:hAnsiTheme="minorEastAsia" w:eastAsiaTheme="minorEastAsia" w:cstheme="minorEastAsia"/>
                <w:b/>
                <w:bCs/>
                <w:szCs w:val="21"/>
              </w:rPr>
            </w:pPr>
          </w:p>
        </w:tc>
        <w:tc>
          <w:tcPr>
            <w:tcW w:w="1269" w:type="dxa"/>
            <w:vAlign w:val="center"/>
          </w:tcPr>
          <w:p w14:paraId="3DBFF7B6">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商业服务</w:t>
            </w:r>
          </w:p>
        </w:tc>
        <w:tc>
          <w:tcPr>
            <w:tcW w:w="1320" w:type="dxa"/>
          </w:tcPr>
          <w:p w14:paraId="088ECA8D">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tcPr>
          <w:p w14:paraId="68FD36FF">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tcPr>
          <w:p w14:paraId="5533C22E">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tcPr>
          <w:p w14:paraId="3DAD4DFB">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tcPr>
          <w:p w14:paraId="3C9565E8">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119CB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vMerge w:val="continue"/>
            <w:vAlign w:val="center"/>
          </w:tcPr>
          <w:p w14:paraId="1E803513">
            <w:pPr>
              <w:jc w:val="center"/>
              <w:rPr>
                <w:rFonts w:asciiTheme="minorEastAsia" w:hAnsiTheme="minorEastAsia" w:eastAsiaTheme="minorEastAsia" w:cstheme="minorEastAsia"/>
                <w:b/>
                <w:bCs/>
                <w:szCs w:val="21"/>
              </w:rPr>
            </w:pPr>
          </w:p>
        </w:tc>
        <w:tc>
          <w:tcPr>
            <w:tcW w:w="1269" w:type="dxa"/>
            <w:vAlign w:val="center"/>
          </w:tcPr>
          <w:p w14:paraId="3780D1F3">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工业</w:t>
            </w:r>
          </w:p>
        </w:tc>
        <w:tc>
          <w:tcPr>
            <w:tcW w:w="1320" w:type="dxa"/>
          </w:tcPr>
          <w:p w14:paraId="64032C05">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tcPr>
          <w:p w14:paraId="68BCA65D">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tcPr>
          <w:p w14:paraId="284722DD">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tcPr>
          <w:p w14:paraId="4C115366">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tcPr>
          <w:p w14:paraId="4FB94519">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376AB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vMerge w:val="continue"/>
            <w:vAlign w:val="center"/>
          </w:tcPr>
          <w:p w14:paraId="7260E2AB">
            <w:pPr>
              <w:jc w:val="center"/>
              <w:rPr>
                <w:rFonts w:asciiTheme="minorEastAsia" w:hAnsiTheme="minorEastAsia" w:eastAsiaTheme="minorEastAsia" w:cstheme="minorEastAsia"/>
                <w:b/>
                <w:bCs/>
                <w:szCs w:val="21"/>
              </w:rPr>
            </w:pPr>
          </w:p>
        </w:tc>
        <w:tc>
          <w:tcPr>
            <w:tcW w:w="1269" w:type="dxa"/>
            <w:vAlign w:val="center"/>
          </w:tcPr>
          <w:p w14:paraId="09E4B8E7">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仓储</w:t>
            </w:r>
          </w:p>
        </w:tc>
        <w:tc>
          <w:tcPr>
            <w:tcW w:w="1320" w:type="dxa"/>
          </w:tcPr>
          <w:p w14:paraId="26963649">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tcPr>
          <w:p w14:paraId="6BAD431E">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tcPr>
          <w:p w14:paraId="70F4C35E">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tcPr>
          <w:p w14:paraId="78F7D585">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tcPr>
          <w:p w14:paraId="56C75091">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0EEDB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vMerge w:val="continue"/>
            <w:vAlign w:val="center"/>
          </w:tcPr>
          <w:p w14:paraId="2435B478">
            <w:pPr>
              <w:jc w:val="center"/>
              <w:rPr>
                <w:rFonts w:asciiTheme="minorEastAsia" w:hAnsiTheme="minorEastAsia" w:eastAsiaTheme="minorEastAsia" w:cstheme="minorEastAsia"/>
                <w:b/>
                <w:bCs/>
                <w:szCs w:val="21"/>
              </w:rPr>
            </w:pPr>
          </w:p>
        </w:tc>
        <w:tc>
          <w:tcPr>
            <w:tcW w:w="1269" w:type="dxa"/>
            <w:vAlign w:val="center"/>
          </w:tcPr>
          <w:p w14:paraId="3B592C8C">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道路交通</w:t>
            </w:r>
          </w:p>
        </w:tc>
        <w:tc>
          <w:tcPr>
            <w:tcW w:w="1320" w:type="dxa"/>
          </w:tcPr>
          <w:p w14:paraId="670EBF3D">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tcPr>
          <w:p w14:paraId="3BCB72D5">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tcPr>
          <w:p w14:paraId="07012FE5">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tcPr>
          <w:p w14:paraId="539727DA">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tcPr>
          <w:p w14:paraId="68E0B0DB">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3DCAA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vMerge w:val="continue"/>
            <w:vAlign w:val="center"/>
          </w:tcPr>
          <w:p w14:paraId="2EADB205">
            <w:pPr>
              <w:jc w:val="center"/>
              <w:rPr>
                <w:rFonts w:asciiTheme="minorEastAsia" w:hAnsiTheme="minorEastAsia" w:eastAsiaTheme="minorEastAsia" w:cstheme="minorEastAsia"/>
                <w:b/>
                <w:bCs/>
                <w:szCs w:val="21"/>
              </w:rPr>
            </w:pPr>
          </w:p>
        </w:tc>
        <w:tc>
          <w:tcPr>
            <w:tcW w:w="1269" w:type="dxa"/>
            <w:vAlign w:val="center"/>
          </w:tcPr>
          <w:p w14:paraId="58932575">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公共设施</w:t>
            </w:r>
          </w:p>
        </w:tc>
        <w:tc>
          <w:tcPr>
            <w:tcW w:w="1320" w:type="dxa"/>
          </w:tcPr>
          <w:p w14:paraId="2010E9D3">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tcPr>
          <w:p w14:paraId="43E701D8">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tcPr>
          <w:p w14:paraId="103E8C2B">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tcPr>
          <w:p w14:paraId="4A941926">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tcPr>
          <w:p w14:paraId="2E95A43E">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4EA9C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gridSpan w:val="2"/>
            <w:vAlign w:val="center"/>
          </w:tcPr>
          <w:p w14:paraId="4931A179">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广场用地</w:t>
            </w:r>
          </w:p>
        </w:tc>
        <w:tc>
          <w:tcPr>
            <w:tcW w:w="1320" w:type="dxa"/>
            <w:vAlign w:val="center"/>
          </w:tcPr>
          <w:p w14:paraId="100C7A00">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vAlign w:val="center"/>
          </w:tcPr>
          <w:p w14:paraId="49B0F9B6">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vAlign w:val="center"/>
          </w:tcPr>
          <w:p w14:paraId="25689F4C">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vAlign w:val="center"/>
          </w:tcPr>
          <w:p w14:paraId="39B3FAD4">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vAlign w:val="center"/>
          </w:tcPr>
          <w:p w14:paraId="48AA7726">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62008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vMerge w:val="restart"/>
            <w:vAlign w:val="center"/>
          </w:tcPr>
          <w:p w14:paraId="68161F9F">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区域绿地</w:t>
            </w:r>
          </w:p>
        </w:tc>
        <w:tc>
          <w:tcPr>
            <w:tcW w:w="1269" w:type="dxa"/>
            <w:vAlign w:val="center"/>
          </w:tcPr>
          <w:p w14:paraId="33C80428">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风景游憩</w:t>
            </w:r>
          </w:p>
        </w:tc>
        <w:tc>
          <w:tcPr>
            <w:tcW w:w="1320" w:type="dxa"/>
            <w:vAlign w:val="center"/>
          </w:tcPr>
          <w:p w14:paraId="1B5453DE">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vAlign w:val="center"/>
          </w:tcPr>
          <w:p w14:paraId="0D221D41">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vAlign w:val="center"/>
          </w:tcPr>
          <w:p w14:paraId="70C90387">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vAlign w:val="center"/>
          </w:tcPr>
          <w:p w14:paraId="6A9945BB">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vAlign w:val="center"/>
          </w:tcPr>
          <w:p w14:paraId="15150229">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6F084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vMerge w:val="continue"/>
            <w:vAlign w:val="center"/>
          </w:tcPr>
          <w:p w14:paraId="2B06F438">
            <w:pPr>
              <w:jc w:val="center"/>
              <w:rPr>
                <w:rFonts w:asciiTheme="minorEastAsia" w:hAnsiTheme="minorEastAsia" w:eastAsiaTheme="minorEastAsia" w:cstheme="minorEastAsia"/>
                <w:b/>
                <w:bCs/>
                <w:szCs w:val="21"/>
              </w:rPr>
            </w:pPr>
          </w:p>
        </w:tc>
        <w:tc>
          <w:tcPr>
            <w:tcW w:w="1269" w:type="dxa"/>
            <w:vAlign w:val="center"/>
          </w:tcPr>
          <w:p w14:paraId="44D3E27C">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生态保育</w:t>
            </w:r>
          </w:p>
        </w:tc>
        <w:tc>
          <w:tcPr>
            <w:tcW w:w="1320" w:type="dxa"/>
            <w:vAlign w:val="center"/>
          </w:tcPr>
          <w:p w14:paraId="0FA4763B">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vAlign w:val="center"/>
          </w:tcPr>
          <w:p w14:paraId="33587E57">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vAlign w:val="center"/>
          </w:tcPr>
          <w:p w14:paraId="64F39F54">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vAlign w:val="center"/>
          </w:tcPr>
          <w:p w14:paraId="71343D8B">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vAlign w:val="center"/>
          </w:tcPr>
          <w:p w14:paraId="7C29EA24">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3A512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vMerge w:val="continue"/>
            <w:vAlign w:val="center"/>
          </w:tcPr>
          <w:p w14:paraId="4ADE1BF7">
            <w:pPr>
              <w:jc w:val="center"/>
              <w:rPr>
                <w:rFonts w:asciiTheme="minorEastAsia" w:hAnsiTheme="minorEastAsia" w:eastAsiaTheme="minorEastAsia" w:cstheme="minorEastAsia"/>
                <w:b/>
                <w:bCs/>
                <w:szCs w:val="21"/>
              </w:rPr>
            </w:pPr>
          </w:p>
        </w:tc>
        <w:tc>
          <w:tcPr>
            <w:tcW w:w="1269" w:type="dxa"/>
            <w:vAlign w:val="center"/>
          </w:tcPr>
          <w:p w14:paraId="45E39DF5">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区域设施防护</w:t>
            </w:r>
          </w:p>
        </w:tc>
        <w:tc>
          <w:tcPr>
            <w:tcW w:w="1320" w:type="dxa"/>
            <w:vAlign w:val="center"/>
          </w:tcPr>
          <w:p w14:paraId="482FA7EE">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vAlign w:val="center"/>
          </w:tcPr>
          <w:p w14:paraId="674A2CD3">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vAlign w:val="center"/>
          </w:tcPr>
          <w:p w14:paraId="23A692EA">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vAlign w:val="center"/>
          </w:tcPr>
          <w:p w14:paraId="485EE2F0">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vAlign w:val="center"/>
          </w:tcPr>
          <w:p w14:paraId="7B34F969">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7A35F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vMerge w:val="continue"/>
            <w:vAlign w:val="center"/>
          </w:tcPr>
          <w:p w14:paraId="3A2942B7">
            <w:pPr>
              <w:jc w:val="center"/>
              <w:rPr>
                <w:rFonts w:asciiTheme="minorEastAsia" w:hAnsiTheme="minorEastAsia" w:eastAsiaTheme="minorEastAsia" w:cstheme="minorEastAsia"/>
                <w:b/>
                <w:bCs/>
                <w:szCs w:val="21"/>
              </w:rPr>
            </w:pPr>
          </w:p>
        </w:tc>
        <w:tc>
          <w:tcPr>
            <w:tcW w:w="1269" w:type="dxa"/>
            <w:vAlign w:val="center"/>
          </w:tcPr>
          <w:p w14:paraId="5BF14531">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生产</w:t>
            </w:r>
          </w:p>
        </w:tc>
        <w:tc>
          <w:tcPr>
            <w:tcW w:w="1320" w:type="dxa"/>
            <w:vAlign w:val="center"/>
          </w:tcPr>
          <w:p w14:paraId="51F84171">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vAlign w:val="center"/>
          </w:tcPr>
          <w:p w14:paraId="3BF36152">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vAlign w:val="center"/>
          </w:tcPr>
          <w:p w14:paraId="02E95565">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vAlign w:val="center"/>
          </w:tcPr>
          <w:p w14:paraId="4C7DA58F">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320" w:type="dxa"/>
            <w:vAlign w:val="center"/>
          </w:tcPr>
          <w:p w14:paraId="0B453CB1">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bl>
    <w:p w14:paraId="42A9C505">
      <w:pPr>
        <w:widowControl/>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注：“</w:t>
      </w:r>
      <w:r>
        <w:rPr>
          <w:rFonts w:hint="eastAsia" w:asciiTheme="minorEastAsia" w:hAnsiTheme="minorEastAsia" w:eastAsiaTheme="minorEastAsia" w:cstheme="minorEastAsia"/>
          <w:bCs/>
          <w:szCs w:val="21"/>
          <w:lang w:bidi="ar"/>
        </w:rPr>
        <w:t>●</w:t>
      </w:r>
      <w:r>
        <w:rPr>
          <w:rFonts w:hint="eastAsia" w:asciiTheme="minorEastAsia" w:hAnsiTheme="minorEastAsia" w:eastAsiaTheme="minorEastAsia" w:cstheme="minorEastAsia"/>
          <w:szCs w:val="21"/>
        </w:rPr>
        <w:t>”表示应设；“</w:t>
      </w:r>
      <w:r>
        <w:rPr>
          <w:rFonts w:hint="eastAsia" w:asciiTheme="minorEastAsia" w:hAnsiTheme="minorEastAsia" w:eastAsiaTheme="minorEastAsia" w:cstheme="minorEastAsia"/>
          <w:bCs/>
          <w:szCs w:val="21"/>
          <w:lang w:bidi="ar"/>
        </w:rPr>
        <w:t>○</w:t>
      </w:r>
      <w:r>
        <w:rPr>
          <w:rFonts w:hint="eastAsia" w:asciiTheme="minorEastAsia" w:hAnsiTheme="minorEastAsia" w:eastAsiaTheme="minorEastAsia" w:cstheme="minorEastAsia"/>
          <w:szCs w:val="21"/>
        </w:rPr>
        <w:t>”表示宜设；“—”表示不需要设置。</w:t>
      </w:r>
    </w:p>
    <w:p w14:paraId="1B759EFE">
      <w:pPr>
        <w:widowControl/>
        <w:jc w:val="left"/>
        <w:rPr>
          <w:rFonts w:asciiTheme="minorEastAsia" w:hAnsiTheme="minorEastAsia" w:eastAsiaTheme="minorEastAsia" w:cstheme="minorEastAsia"/>
          <w:szCs w:val="21"/>
        </w:rPr>
      </w:pPr>
    </w:p>
    <w:p w14:paraId="05F820EB">
      <w:pPr>
        <w:widowControl/>
        <w:spacing w:line="360" w:lineRule="auto"/>
        <w:jc w:val="center"/>
        <w:outlineLvl w:val="2"/>
        <w:rPr>
          <w:rFonts w:ascii="仿宋" w:hAnsi="仿宋" w:eastAsia="仿宋" w:cs="仿宋"/>
          <w:b/>
          <w:bCs/>
          <w:sz w:val="28"/>
          <w:szCs w:val="28"/>
        </w:rPr>
      </w:pPr>
      <w:r>
        <w:rPr>
          <w:rFonts w:hint="eastAsia" w:ascii="仿宋" w:hAnsi="仿宋" w:eastAsia="仿宋" w:cs="仿宋"/>
          <w:b/>
          <w:bCs/>
          <w:sz w:val="28"/>
          <w:szCs w:val="28"/>
        </w:rPr>
        <w:t>II　水文调节功能</w:t>
      </w:r>
    </w:p>
    <w:p w14:paraId="1B139185">
      <w:pPr>
        <w:widowControl/>
        <w:spacing w:line="360" w:lineRule="auto"/>
        <w:jc w:val="left"/>
        <w:rPr>
          <w:rFonts w:asciiTheme="minorEastAsia" w:hAnsiTheme="minorEastAsia" w:eastAsiaTheme="minorEastAsia" w:cstheme="minorEastAsia"/>
          <w:sz w:val="24"/>
          <w:szCs w:val="24"/>
        </w:rPr>
      </w:pPr>
      <w:r>
        <w:rPr>
          <w:rFonts w:asciiTheme="minorEastAsia" w:hAnsiTheme="minorEastAsia" w:eastAsiaTheme="minorEastAsia" w:cstheme="minorEastAsia"/>
          <w:b/>
          <w:sz w:val="24"/>
          <w:szCs w:val="24"/>
        </w:rPr>
        <w:t>9.2.3</w:t>
      </w:r>
      <w:r>
        <w:rPr>
          <w:rFonts w:hint="eastAsia" w:asciiTheme="minorEastAsia" w:hAnsiTheme="minorEastAsia" w:eastAsiaTheme="minorEastAsia" w:cstheme="minorEastAsia"/>
          <w:sz w:val="24"/>
          <w:szCs w:val="24"/>
        </w:rPr>
        <w:t>　城市绿地应落实城市绿地系统规划等上位规划确定的建设目标，因地制宜提出绿地雨水控制利用设计方案，并应符合下列规定：</w:t>
      </w:r>
    </w:p>
    <w:p w14:paraId="58C24CFE">
      <w:pPr>
        <w:widowControl/>
        <w:numPr>
          <w:ilvl w:val="255"/>
          <w:numId w:val="0"/>
        </w:numPr>
        <w:spacing w:line="360" w:lineRule="auto"/>
        <w:ind w:firstLine="482"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w:t>
      </w:r>
      <w:r>
        <w:rPr>
          <w:rFonts w:hint="eastAsia" w:asciiTheme="minorEastAsia" w:hAnsiTheme="minorEastAsia" w:eastAsiaTheme="minorEastAsia" w:cstheme="minorEastAsia"/>
          <w:sz w:val="24"/>
          <w:szCs w:val="24"/>
        </w:rPr>
        <w:t>　应根据绿地的海绵功能定位和海绵城市绿地规划控制指标，通过现状调研，分析计算和模型确定海绵城市绿地设计控制指标；</w:t>
      </w:r>
    </w:p>
    <w:p w14:paraId="31109686">
      <w:pPr>
        <w:widowControl/>
        <w:numPr>
          <w:ilvl w:val="255"/>
          <w:numId w:val="0"/>
        </w:numPr>
        <w:spacing w:line="360" w:lineRule="auto"/>
        <w:ind w:firstLine="482"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2</w:t>
      </w:r>
      <w:r>
        <w:rPr>
          <w:rFonts w:hint="eastAsia" w:asciiTheme="minorEastAsia" w:hAnsiTheme="minorEastAsia" w:eastAsiaTheme="minorEastAsia" w:cstheme="minorEastAsia"/>
          <w:sz w:val="24"/>
          <w:szCs w:val="24"/>
        </w:rPr>
        <w:t>　海绵城市绿地设计控制指标应包括场地径流总量控制指标、雨水径流污染物削减率和绿地雨水资源利用率，含水体绿地应包括绿地内水体环境质量指标。场地径流总量控制指标应按表9.2.3的规定取值。</w:t>
      </w:r>
    </w:p>
    <w:p w14:paraId="76252552">
      <w:pPr>
        <w:widowControl/>
        <w:jc w:val="left"/>
        <w:rPr>
          <w:rFonts w:asciiTheme="minorEastAsia" w:hAnsiTheme="minorEastAsia" w:eastAsiaTheme="minorEastAsia" w:cstheme="minorEastAsia"/>
          <w:b/>
          <w:bCs/>
          <w:szCs w:val="21"/>
        </w:rPr>
      </w:pPr>
      <w:r>
        <w:rPr>
          <w:rFonts w:asciiTheme="minorEastAsia" w:hAnsiTheme="minorEastAsia" w:eastAsiaTheme="minorEastAsia" w:cstheme="minorEastAsia"/>
          <w:b/>
          <w:bCs/>
          <w:szCs w:val="21"/>
        </w:rPr>
        <w:br w:type="page"/>
      </w:r>
    </w:p>
    <w:p w14:paraId="646B5BE2">
      <w:pPr>
        <w:widowControl/>
        <w:ind w:left="425"/>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表9.2.3</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b/>
          <w:bCs/>
          <w:szCs w:val="21"/>
        </w:rPr>
        <w:t>各类城市绿地场地径流总量控制指标</w:t>
      </w:r>
    </w:p>
    <w:tbl>
      <w:tblPr>
        <w:tblStyle w:val="23"/>
        <w:tblW w:w="8505"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1284"/>
        <w:gridCol w:w="2468"/>
        <w:gridCol w:w="4753"/>
      </w:tblGrid>
      <w:tr w14:paraId="0A7FB5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blHeader/>
          <w:jc w:val="center"/>
        </w:trPr>
        <w:tc>
          <w:tcPr>
            <w:tcW w:w="3752" w:type="dxa"/>
            <w:gridSpan w:val="2"/>
            <w:tcBorders>
              <w:tl2br w:val="nil"/>
              <w:tr2bl w:val="nil"/>
            </w:tcBorders>
            <w:vAlign w:val="center"/>
          </w:tcPr>
          <w:p w14:paraId="05B0D8B4">
            <w:pPr>
              <w:snapToGrid w:val="0"/>
              <w:spacing w:line="36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绿地类别</w:t>
            </w:r>
          </w:p>
        </w:tc>
        <w:tc>
          <w:tcPr>
            <w:tcW w:w="4753" w:type="dxa"/>
            <w:tcBorders>
              <w:tl2br w:val="nil"/>
              <w:tr2bl w:val="nil"/>
            </w:tcBorders>
            <w:vAlign w:val="center"/>
          </w:tcPr>
          <w:p w14:paraId="6C761E92">
            <w:pPr>
              <w:snapToGrid w:val="0"/>
              <w:spacing w:line="36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场地径流控制指标</w:t>
            </w:r>
          </w:p>
        </w:tc>
      </w:tr>
      <w:tr w14:paraId="3BBDCAD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blHeader/>
          <w:jc w:val="center"/>
        </w:trPr>
        <w:tc>
          <w:tcPr>
            <w:tcW w:w="1284" w:type="dxa"/>
            <w:vMerge w:val="restart"/>
            <w:tcBorders>
              <w:tl2br w:val="nil"/>
              <w:tr2bl w:val="nil"/>
            </w:tcBorders>
            <w:vAlign w:val="center"/>
          </w:tcPr>
          <w:p w14:paraId="6056A683">
            <w:pPr>
              <w:snapToGrid w:val="0"/>
              <w:spacing w:line="36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公园绿地</w:t>
            </w:r>
          </w:p>
        </w:tc>
        <w:tc>
          <w:tcPr>
            <w:tcW w:w="2468" w:type="dxa"/>
            <w:tcBorders>
              <w:tl2br w:val="nil"/>
              <w:tr2bl w:val="nil"/>
            </w:tcBorders>
            <w:vAlign w:val="center"/>
          </w:tcPr>
          <w:p w14:paraId="773ED2A4">
            <w:pPr>
              <w:snapToGrid w:val="0"/>
              <w:spacing w:line="36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综合公园</w:t>
            </w:r>
          </w:p>
        </w:tc>
        <w:tc>
          <w:tcPr>
            <w:tcW w:w="4753" w:type="dxa"/>
            <w:tcBorders>
              <w:tl2br w:val="nil"/>
              <w:tr2bl w:val="nil"/>
            </w:tcBorders>
            <w:vAlign w:val="center"/>
          </w:tcPr>
          <w:p w14:paraId="4023E2BA">
            <w:pPr>
              <w:snapToGrid w:val="0"/>
              <w:spacing w:line="36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应消纳≥降雨25mm/日的雨水径流</w:t>
            </w:r>
          </w:p>
        </w:tc>
      </w:tr>
      <w:tr w14:paraId="4C601E3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blHeader/>
          <w:jc w:val="center"/>
        </w:trPr>
        <w:tc>
          <w:tcPr>
            <w:tcW w:w="1284" w:type="dxa"/>
            <w:vMerge w:val="continue"/>
            <w:tcBorders>
              <w:tl2br w:val="nil"/>
              <w:tr2bl w:val="nil"/>
            </w:tcBorders>
            <w:vAlign w:val="center"/>
          </w:tcPr>
          <w:p w14:paraId="7B1C838E">
            <w:pPr>
              <w:snapToGrid w:val="0"/>
              <w:spacing w:line="360" w:lineRule="exact"/>
              <w:jc w:val="center"/>
              <w:rPr>
                <w:rFonts w:asciiTheme="minorEastAsia" w:hAnsiTheme="minorEastAsia" w:eastAsiaTheme="minorEastAsia" w:cstheme="minorEastAsia"/>
                <w:szCs w:val="21"/>
              </w:rPr>
            </w:pPr>
          </w:p>
        </w:tc>
        <w:tc>
          <w:tcPr>
            <w:tcW w:w="2468" w:type="dxa"/>
            <w:tcBorders>
              <w:tl2br w:val="nil"/>
              <w:tr2bl w:val="nil"/>
            </w:tcBorders>
            <w:vAlign w:val="center"/>
          </w:tcPr>
          <w:p w14:paraId="0FEFE7C8">
            <w:pPr>
              <w:snapToGrid w:val="0"/>
              <w:spacing w:line="36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社区公园</w:t>
            </w:r>
          </w:p>
        </w:tc>
        <w:tc>
          <w:tcPr>
            <w:tcW w:w="4753" w:type="dxa"/>
            <w:tcBorders>
              <w:tl2br w:val="nil"/>
              <w:tr2bl w:val="nil"/>
            </w:tcBorders>
            <w:vAlign w:val="center"/>
          </w:tcPr>
          <w:p w14:paraId="019BAD9D">
            <w:pPr>
              <w:snapToGrid w:val="0"/>
              <w:spacing w:line="36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应对降雨（10</w:t>
            </w:r>
            <w:r>
              <w:rPr>
                <w:rFonts w:ascii="Times New Roman" w:hAnsi="Times New Roman" w:eastAsia="微软雅黑"/>
                <w:szCs w:val="21"/>
              </w:rPr>
              <w:t>~</w:t>
            </w:r>
            <w:r>
              <w:rPr>
                <w:rFonts w:hint="eastAsia" w:asciiTheme="minorEastAsia" w:hAnsiTheme="minorEastAsia" w:eastAsiaTheme="minorEastAsia" w:cstheme="minorEastAsia"/>
                <w:szCs w:val="21"/>
              </w:rPr>
              <w:t>25）mm/日的雨水径流</w:t>
            </w:r>
          </w:p>
        </w:tc>
      </w:tr>
      <w:tr w14:paraId="386B88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blHeader/>
          <w:jc w:val="center"/>
        </w:trPr>
        <w:tc>
          <w:tcPr>
            <w:tcW w:w="1284" w:type="dxa"/>
            <w:vMerge w:val="continue"/>
            <w:tcBorders>
              <w:tl2br w:val="nil"/>
              <w:tr2bl w:val="nil"/>
            </w:tcBorders>
            <w:vAlign w:val="center"/>
          </w:tcPr>
          <w:p w14:paraId="1E7467C6">
            <w:pPr>
              <w:snapToGrid w:val="0"/>
              <w:spacing w:line="360" w:lineRule="exact"/>
              <w:jc w:val="center"/>
              <w:rPr>
                <w:rFonts w:asciiTheme="minorEastAsia" w:hAnsiTheme="minorEastAsia" w:eastAsiaTheme="minorEastAsia" w:cstheme="minorEastAsia"/>
                <w:szCs w:val="21"/>
              </w:rPr>
            </w:pPr>
          </w:p>
        </w:tc>
        <w:tc>
          <w:tcPr>
            <w:tcW w:w="2468" w:type="dxa"/>
            <w:tcBorders>
              <w:tl2br w:val="nil"/>
              <w:tr2bl w:val="nil"/>
            </w:tcBorders>
            <w:vAlign w:val="center"/>
          </w:tcPr>
          <w:p w14:paraId="72BDC78E">
            <w:pPr>
              <w:snapToGrid w:val="0"/>
              <w:spacing w:line="36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专类公园</w:t>
            </w:r>
          </w:p>
        </w:tc>
        <w:tc>
          <w:tcPr>
            <w:tcW w:w="4753" w:type="dxa"/>
            <w:tcBorders>
              <w:tl2br w:val="nil"/>
              <w:tr2bl w:val="nil"/>
            </w:tcBorders>
            <w:vAlign w:val="center"/>
          </w:tcPr>
          <w:p w14:paraId="759D8E5D">
            <w:pPr>
              <w:snapToGrid w:val="0"/>
              <w:spacing w:line="36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应对≥降雨10mm/日的雨水径流</w:t>
            </w:r>
          </w:p>
        </w:tc>
      </w:tr>
      <w:tr w14:paraId="5B1016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blHeader/>
          <w:jc w:val="center"/>
        </w:trPr>
        <w:tc>
          <w:tcPr>
            <w:tcW w:w="1284" w:type="dxa"/>
            <w:vMerge w:val="continue"/>
            <w:tcBorders>
              <w:tl2br w:val="nil"/>
              <w:tr2bl w:val="nil"/>
            </w:tcBorders>
            <w:vAlign w:val="center"/>
          </w:tcPr>
          <w:p w14:paraId="10678801">
            <w:pPr>
              <w:snapToGrid w:val="0"/>
              <w:spacing w:line="360" w:lineRule="exact"/>
              <w:jc w:val="center"/>
              <w:rPr>
                <w:rFonts w:asciiTheme="minorEastAsia" w:hAnsiTheme="minorEastAsia" w:eastAsiaTheme="minorEastAsia" w:cstheme="minorEastAsia"/>
                <w:szCs w:val="21"/>
              </w:rPr>
            </w:pPr>
          </w:p>
        </w:tc>
        <w:tc>
          <w:tcPr>
            <w:tcW w:w="2468" w:type="dxa"/>
            <w:tcBorders>
              <w:tl2br w:val="nil"/>
              <w:tr2bl w:val="nil"/>
            </w:tcBorders>
            <w:vAlign w:val="center"/>
          </w:tcPr>
          <w:p w14:paraId="6ED94D73">
            <w:pPr>
              <w:snapToGrid w:val="0"/>
              <w:spacing w:line="36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游园</w:t>
            </w:r>
          </w:p>
        </w:tc>
        <w:tc>
          <w:tcPr>
            <w:tcW w:w="4753" w:type="dxa"/>
            <w:tcBorders>
              <w:tl2br w:val="nil"/>
              <w:tr2bl w:val="nil"/>
            </w:tcBorders>
            <w:vAlign w:val="center"/>
          </w:tcPr>
          <w:p w14:paraId="217D32BC">
            <w:pPr>
              <w:snapToGrid w:val="0"/>
              <w:spacing w:line="36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应对降雨（10</w:t>
            </w:r>
            <w:r>
              <w:rPr>
                <w:rFonts w:ascii="Times New Roman" w:hAnsi="Times New Roman" w:eastAsia="微软雅黑"/>
                <w:szCs w:val="21"/>
              </w:rPr>
              <w:t>~</w:t>
            </w:r>
            <w:r>
              <w:rPr>
                <w:rFonts w:hint="eastAsia" w:asciiTheme="minorEastAsia" w:hAnsiTheme="minorEastAsia" w:eastAsiaTheme="minorEastAsia" w:cstheme="minorEastAsia"/>
                <w:szCs w:val="21"/>
              </w:rPr>
              <w:t>25）mm/日的雨水径流</w:t>
            </w:r>
          </w:p>
        </w:tc>
      </w:tr>
      <w:tr w14:paraId="7C368F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blHeader/>
          <w:jc w:val="center"/>
        </w:trPr>
        <w:tc>
          <w:tcPr>
            <w:tcW w:w="1284" w:type="dxa"/>
            <w:vMerge w:val="restart"/>
            <w:tcBorders>
              <w:tl2br w:val="nil"/>
              <w:tr2bl w:val="nil"/>
            </w:tcBorders>
            <w:vAlign w:val="center"/>
          </w:tcPr>
          <w:p w14:paraId="0BBA1D99">
            <w:pPr>
              <w:snapToGrid w:val="0"/>
              <w:spacing w:line="36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防护绿地</w:t>
            </w:r>
          </w:p>
        </w:tc>
        <w:tc>
          <w:tcPr>
            <w:tcW w:w="2468" w:type="dxa"/>
            <w:tcBorders>
              <w:tl2br w:val="nil"/>
              <w:tr2bl w:val="nil"/>
            </w:tcBorders>
            <w:vAlign w:val="center"/>
          </w:tcPr>
          <w:p w14:paraId="7E0E21E3">
            <w:pPr>
              <w:snapToGrid w:val="0"/>
              <w:spacing w:line="36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卫生隔离</w:t>
            </w:r>
          </w:p>
        </w:tc>
        <w:tc>
          <w:tcPr>
            <w:tcW w:w="4753" w:type="dxa"/>
            <w:tcBorders>
              <w:tl2br w:val="nil"/>
              <w:tr2bl w:val="nil"/>
            </w:tcBorders>
            <w:vAlign w:val="center"/>
          </w:tcPr>
          <w:p w14:paraId="7F370137">
            <w:pPr>
              <w:snapToGrid w:val="0"/>
              <w:spacing w:line="36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应对≥降雨25mm/日的雨水径流</w:t>
            </w:r>
          </w:p>
        </w:tc>
      </w:tr>
      <w:tr w14:paraId="377DEF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blHeader/>
          <w:jc w:val="center"/>
        </w:trPr>
        <w:tc>
          <w:tcPr>
            <w:tcW w:w="1284" w:type="dxa"/>
            <w:vMerge w:val="continue"/>
            <w:tcBorders>
              <w:tl2br w:val="nil"/>
              <w:tr2bl w:val="nil"/>
            </w:tcBorders>
            <w:vAlign w:val="center"/>
          </w:tcPr>
          <w:p w14:paraId="564D8968">
            <w:pPr>
              <w:snapToGrid w:val="0"/>
              <w:spacing w:line="360" w:lineRule="exact"/>
              <w:jc w:val="center"/>
              <w:rPr>
                <w:rFonts w:asciiTheme="minorEastAsia" w:hAnsiTheme="minorEastAsia" w:eastAsiaTheme="minorEastAsia" w:cstheme="minorEastAsia"/>
                <w:szCs w:val="21"/>
              </w:rPr>
            </w:pPr>
          </w:p>
        </w:tc>
        <w:tc>
          <w:tcPr>
            <w:tcW w:w="2468" w:type="dxa"/>
            <w:tcBorders>
              <w:tl2br w:val="nil"/>
              <w:tr2bl w:val="nil"/>
            </w:tcBorders>
            <w:vAlign w:val="center"/>
          </w:tcPr>
          <w:p w14:paraId="779D385D">
            <w:pPr>
              <w:snapToGrid w:val="0"/>
              <w:spacing w:line="36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道路及铁路</w:t>
            </w:r>
          </w:p>
        </w:tc>
        <w:tc>
          <w:tcPr>
            <w:tcW w:w="4753" w:type="dxa"/>
            <w:tcBorders>
              <w:tl2br w:val="nil"/>
              <w:tr2bl w:val="nil"/>
            </w:tcBorders>
            <w:vAlign w:val="center"/>
          </w:tcPr>
          <w:p w14:paraId="658842F7">
            <w:pPr>
              <w:snapToGrid w:val="0"/>
              <w:spacing w:line="36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应对降雨25</w:t>
            </w:r>
            <w:r>
              <w:rPr>
                <w:rFonts w:ascii="Times New Roman" w:hAnsi="Times New Roman" w:eastAsia="微软雅黑"/>
                <w:szCs w:val="21"/>
              </w:rPr>
              <w:t>~</w:t>
            </w:r>
            <w:r>
              <w:rPr>
                <w:rFonts w:hint="eastAsia" w:asciiTheme="minorEastAsia" w:hAnsiTheme="minorEastAsia" w:eastAsiaTheme="minorEastAsia" w:cstheme="minorEastAsia"/>
                <w:szCs w:val="21"/>
              </w:rPr>
              <w:t>50mm/日的雨水径流</w:t>
            </w:r>
          </w:p>
        </w:tc>
      </w:tr>
      <w:tr w14:paraId="621FB3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blHeader/>
          <w:jc w:val="center"/>
        </w:trPr>
        <w:tc>
          <w:tcPr>
            <w:tcW w:w="1284" w:type="dxa"/>
            <w:vMerge w:val="continue"/>
            <w:tcBorders>
              <w:tl2br w:val="nil"/>
              <w:tr2bl w:val="nil"/>
            </w:tcBorders>
            <w:vAlign w:val="center"/>
          </w:tcPr>
          <w:p w14:paraId="72F5F923">
            <w:pPr>
              <w:snapToGrid w:val="0"/>
              <w:spacing w:line="360" w:lineRule="exact"/>
              <w:jc w:val="center"/>
              <w:rPr>
                <w:rFonts w:asciiTheme="minorEastAsia" w:hAnsiTheme="minorEastAsia" w:eastAsiaTheme="minorEastAsia" w:cstheme="minorEastAsia"/>
                <w:szCs w:val="21"/>
              </w:rPr>
            </w:pPr>
          </w:p>
        </w:tc>
        <w:tc>
          <w:tcPr>
            <w:tcW w:w="2468" w:type="dxa"/>
            <w:tcBorders>
              <w:tl2br w:val="nil"/>
              <w:tr2bl w:val="nil"/>
            </w:tcBorders>
            <w:vAlign w:val="center"/>
          </w:tcPr>
          <w:p w14:paraId="6163A2FB">
            <w:pPr>
              <w:snapToGrid w:val="0"/>
              <w:spacing w:line="36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高压走廊</w:t>
            </w:r>
          </w:p>
        </w:tc>
        <w:tc>
          <w:tcPr>
            <w:tcW w:w="4753" w:type="dxa"/>
            <w:tcBorders>
              <w:tl2br w:val="nil"/>
              <w:tr2bl w:val="nil"/>
            </w:tcBorders>
            <w:vAlign w:val="center"/>
          </w:tcPr>
          <w:p w14:paraId="46706D58">
            <w:pPr>
              <w:snapToGrid w:val="0"/>
              <w:spacing w:line="36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应对≥降雨50mm/日的雨水径流</w:t>
            </w:r>
          </w:p>
        </w:tc>
      </w:tr>
      <w:tr w14:paraId="5C51AE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blHeader/>
          <w:jc w:val="center"/>
        </w:trPr>
        <w:tc>
          <w:tcPr>
            <w:tcW w:w="1284" w:type="dxa"/>
            <w:vMerge w:val="continue"/>
            <w:tcBorders>
              <w:tl2br w:val="nil"/>
              <w:tr2bl w:val="nil"/>
            </w:tcBorders>
            <w:vAlign w:val="center"/>
          </w:tcPr>
          <w:p w14:paraId="4794D761">
            <w:pPr>
              <w:snapToGrid w:val="0"/>
              <w:spacing w:line="360" w:lineRule="exact"/>
              <w:jc w:val="center"/>
              <w:rPr>
                <w:rFonts w:asciiTheme="minorEastAsia" w:hAnsiTheme="minorEastAsia" w:eastAsiaTheme="minorEastAsia" w:cstheme="minorEastAsia"/>
                <w:szCs w:val="21"/>
              </w:rPr>
            </w:pPr>
          </w:p>
        </w:tc>
        <w:tc>
          <w:tcPr>
            <w:tcW w:w="2468" w:type="dxa"/>
            <w:tcBorders>
              <w:tl2br w:val="nil"/>
              <w:tr2bl w:val="nil"/>
            </w:tcBorders>
            <w:vAlign w:val="center"/>
          </w:tcPr>
          <w:p w14:paraId="341770BE">
            <w:pPr>
              <w:snapToGrid w:val="0"/>
              <w:spacing w:line="36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公用设施</w:t>
            </w:r>
          </w:p>
        </w:tc>
        <w:tc>
          <w:tcPr>
            <w:tcW w:w="4753" w:type="dxa"/>
            <w:tcBorders>
              <w:tl2br w:val="nil"/>
              <w:tr2bl w:val="nil"/>
            </w:tcBorders>
            <w:vAlign w:val="center"/>
          </w:tcPr>
          <w:p w14:paraId="024CEDF6">
            <w:pPr>
              <w:snapToGrid w:val="0"/>
              <w:spacing w:line="36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应对（25</w:t>
            </w:r>
            <w:r>
              <w:rPr>
                <w:rFonts w:ascii="Times New Roman" w:hAnsi="Times New Roman" w:eastAsia="微软雅黑"/>
                <w:szCs w:val="21"/>
              </w:rPr>
              <w:t>~</w:t>
            </w:r>
            <w:r>
              <w:rPr>
                <w:rFonts w:hint="eastAsia" w:asciiTheme="minorEastAsia" w:hAnsiTheme="minorEastAsia" w:eastAsiaTheme="minorEastAsia" w:cstheme="minorEastAsia"/>
                <w:szCs w:val="21"/>
              </w:rPr>
              <w:t>50）mm/日的雨水径流</w:t>
            </w:r>
          </w:p>
        </w:tc>
      </w:tr>
      <w:tr w14:paraId="552210D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blHeader/>
          <w:jc w:val="center"/>
        </w:trPr>
        <w:tc>
          <w:tcPr>
            <w:tcW w:w="1284" w:type="dxa"/>
            <w:vMerge w:val="restart"/>
            <w:tcBorders>
              <w:tl2br w:val="nil"/>
              <w:tr2bl w:val="nil"/>
            </w:tcBorders>
            <w:vAlign w:val="center"/>
          </w:tcPr>
          <w:p w14:paraId="366E7103">
            <w:pPr>
              <w:snapToGrid w:val="0"/>
              <w:spacing w:line="36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附属绿地</w:t>
            </w:r>
          </w:p>
        </w:tc>
        <w:tc>
          <w:tcPr>
            <w:tcW w:w="2468" w:type="dxa"/>
            <w:tcBorders>
              <w:tl2br w:val="nil"/>
              <w:tr2bl w:val="nil"/>
            </w:tcBorders>
            <w:vAlign w:val="center"/>
          </w:tcPr>
          <w:p w14:paraId="45F23E6E">
            <w:pPr>
              <w:snapToGrid w:val="0"/>
              <w:spacing w:line="36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居住</w:t>
            </w:r>
          </w:p>
        </w:tc>
        <w:tc>
          <w:tcPr>
            <w:tcW w:w="4753" w:type="dxa"/>
            <w:tcBorders>
              <w:tl2br w:val="nil"/>
              <w:tr2bl w:val="nil"/>
            </w:tcBorders>
            <w:vAlign w:val="center"/>
          </w:tcPr>
          <w:p w14:paraId="7951E098">
            <w:pPr>
              <w:snapToGrid w:val="0"/>
              <w:spacing w:line="36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消纳≥降雨10mm/日的雨水径流。</w:t>
            </w:r>
          </w:p>
        </w:tc>
      </w:tr>
      <w:tr w14:paraId="5E0E58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blHeader/>
          <w:jc w:val="center"/>
        </w:trPr>
        <w:tc>
          <w:tcPr>
            <w:tcW w:w="1284" w:type="dxa"/>
            <w:vMerge w:val="continue"/>
            <w:tcBorders>
              <w:tl2br w:val="nil"/>
              <w:tr2bl w:val="nil"/>
            </w:tcBorders>
            <w:vAlign w:val="center"/>
          </w:tcPr>
          <w:p w14:paraId="16EDF2FC">
            <w:pPr>
              <w:snapToGrid w:val="0"/>
              <w:spacing w:line="360" w:lineRule="exact"/>
              <w:jc w:val="center"/>
              <w:rPr>
                <w:rFonts w:asciiTheme="minorEastAsia" w:hAnsiTheme="minorEastAsia" w:eastAsiaTheme="minorEastAsia" w:cstheme="minorEastAsia"/>
                <w:szCs w:val="21"/>
              </w:rPr>
            </w:pPr>
          </w:p>
        </w:tc>
        <w:tc>
          <w:tcPr>
            <w:tcW w:w="2468" w:type="dxa"/>
            <w:tcBorders>
              <w:tl2br w:val="nil"/>
              <w:tr2bl w:val="nil"/>
            </w:tcBorders>
            <w:vAlign w:val="center"/>
          </w:tcPr>
          <w:p w14:paraId="418F7B53">
            <w:pPr>
              <w:snapToGrid w:val="0"/>
              <w:spacing w:line="36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公共管理与公服</w:t>
            </w:r>
          </w:p>
        </w:tc>
        <w:tc>
          <w:tcPr>
            <w:tcW w:w="4753" w:type="dxa"/>
            <w:tcBorders>
              <w:tl2br w:val="nil"/>
              <w:tr2bl w:val="nil"/>
            </w:tcBorders>
            <w:vAlign w:val="center"/>
          </w:tcPr>
          <w:p w14:paraId="387AE775">
            <w:pPr>
              <w:snapToGrid w:val="0"/>
              <w:spacing w:line="36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消纳≥降雨25mm/日的雨水径流</w:t>
            </w:r>
          </w:p>
        </w:tc>
      </w:tr>
      <w:tr w14:paraId="0339D8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blHeader/>
          <w:jc w:val="center"/>
        </w:trPr>
        <w:tc>
          <w:tcPr>
            <w:tcW w:w="1284" w:type="dxa"/>
            <w:vMerge w:val="continue"/>
            <w:tcBorders>
              <w:tl2br w:val="nil"/>
              <w:tr2bl w:val="nil"/>
            </w:tcBorders>
            <w:vAlign w:val="center"/>
          </w:tcPr>
          <w:p w14:paraId="675AC7E3">
            <w:pPr>
              <w:snapToGrid w:val="0"/>
              <w:spacing w:line="360" w:lineRule="exact"/>
              <w:jc w:val="center"/>
              <w:rPr>
                <w:rFonts w:asciiTheme="minorEastAsia" w:hAnsiTheme="minorEastAsia" w:eastAsiaTheme="minorEastAsia" w:cstheme="minorEastAsia"/>
                <w:szCs w:val="21"/>
              </w:rPr>
            </w:pPr>
          </w:p>
        </w:tc>
        <w:tc>
          <w:tcPr>
            <w:tcW w:w="2468" w:type="dxa"/>
            <w:tcBorders>
              <w:tl2br w:val="nil"/>
              <w:tr2bl w:val="nil"/>
            </w:tcBorders>
            <w:vAlign w:val="center"/>
          </w:tcPr>
          <w:p w14:paraId="20B3391E">
            <w:pPr>
              <w:snapToGrid w:val="0"/>
              <w:spacing w:line="36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商业服务</w:t>
            </w:r>
          </w:p>
        </w:tc>
        <w:tc>
          <w:tcPr>
            <w:tcW w:w="4753" w:type="dxa"/>
            <w:tcBorders>
              <w:tl2br w:val="nil"/>
              <w:tr2bl w:val="nil"/>
            </w:tcBorders>
            <w:vAlign w:val="center"/>
          </w:tcPr>
          <w:p w14:paraId="16A2EBB9">
            <w:pPr>
              <w:snapToGrid w:val="0"/>
              <w:spacing w:line="36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消纳降雨（10</w:t>
            </w:r>
            <w:r>
              <w:rPr>
                <w:rFonts w:ascii="Times New Roman" w:hAnsi="Times New Roman" w:eastAsia="微软雅黑"/>
                <w:szCs w:val="21"/>
              </w:rPr>
              <w:t>~</w:t>
            </w:r>
            <w:r>
              <w:rPr>
                <w:rFonts w:hint="eastAsia" w:asciiTheme="minorEastAsia" w:hAnsiTheme="minorEastAsia" w:eastAsiaTheme="minorEastAsia" w:cstheme="minorEastAsia"/>
                <w:szCs w:val="21"/>
              </w:rPr>
              <w:t>25）mm/日的雨水径流</w:t>
            </w:r>
          </w:p>
        </w:tc>
      </w:tr>
      <w:tr w14:paraId="01F449C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blHeader/>
          <w:jc w:val="center"/>
        </w:trPr>
        <w:tc>
          <w:tcPr>
            <w:tcW w:w="1284" w:type="dxa"/>
            <w:vMerge w:val="continue"/>
            <w:tcBorders>
              <w:tl2br w:val="nil"/>
              <w:tr2bl w:val="nil"/>
            </w:tcBorders>
            <w:vAlign w:val="center"/>
          </w:tcPr>
          <w:p w14:paraId="5D2214E8">
            <w:pPr>
              <w:snapToGrid w:val="0"/>
              <w:spacing w:line="360" w:lineRule="exact"/>
              <w:jc w:val="center"/>
              <w:rPr>
                <w:rFonts w:asciiTheme="minorEastAsia" w:hAnsiTheme="minorEastAsia" w:eastAsiaTheme="minorEastAsia" w:cstheme="minorEastAsia"/>
                <w:szCs w:val="21"/>
              </w:rPr>
            </w:pPr>
          </w:p>
        </w:tc>
        <w:tc>
          <w:tcPr>
            <w:tcW w:w="2468" w:type="dxa"/>
            <w:tcBorders>
              <w:tl2br w:val="nil"/>
              <w:tr2bl w:val="nil"/>
            </w:tcBorders>
            <w:vAlign w:val="center"/>
          </w:tcPr>
          <w:p w14:paraId="7F88EC3C">
            <w:pPr>
              <w:snapToGrid w:val="0"/>
              <w:spacing w:line="36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工业</w:t>
            </w:r>
          </w:p>
        </w:tc>
        <w:tc>
          <w:tcPr>
            <w:tcW w:w="4753" w:type="dxa"/>
            <w:tcBorders>
              <w:tl2br w:val="nil"/>
              <w:tr2bl w:val="nil"/>
            </w:tcBorders>
            <w:vAlign w:val="center"/>
          </w:tcPr>
          <w:p w14:paraId="42DBB67A">
            <w:pPr>
              <w:snapToGrid w:val="0"/>
              <w:spacing w:line="36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消纳≥降雨8mm/日的雨水径流</w:t>
            </w:r>
          </w:p>
        </w:tc>
      </w:tr>
      <w:tr w14:paraId="440B56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blHeader/>
          <w:jc w:val="center"/>
        </w:trPr>
        <w:tc>
          <w:tcPr>
            <w:tcW w:w="1284" w:type="dxa"/>
            <w:vMerge w:val="continue"/>
            <w:tcBorders>
              <w:tl2br w:val="nil"/>
              <w:tr2bl w:val="nil"/>
            </w:tcBorders>
            <w:vAlign w:val="center"/>
          </w:tcPr>
          <w:p w14:paraId="13BE2604">
            <w:pPr>
              <w:snapToGrid w:val="0"/>
              <w:spacing w:line="360" w:lineRule="exact"/>
              <w:jc w:val="center"/>
              <w:rPr>
                <w:rFonts w:asciiTheme="minorEastAsia" w:hAnsiTheme="minorEastAsia" w:eastAsiaTheme="minorEastAsia" w:cstheme="minorEastAsia"/>
                <w:szCs w:val="21"/>
              </w:rPr>
            </w:pPr>
          </w:p>
        </w:tc>
        <w:tc>
          <w:tcPr>
            <w:tcW w:w="2468" w:type="dxa"/>
            <w:tcBorders>
              <w:tl2br w:val="nil"/>
              <w:tr2bl w:val="nil"/>
            </w:tcBorders>
            <w:vAlign w:val="center"/>
          </w:tcPr>
          <w:p w14:paraId="00C52414">
            <w:pPr>
              <w:snapToGrid w:val="0"/>
              <w:spacing w:line="36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仓储</w:t>
            </w:r>
          </w:p>
        </w:tc>
        <w:tc>
          <w:tcPr>
            <w:tcW w:w="4753" w:type="dxa"/>
            <w:tcBorders>
              <w:tl2br w:val="nil"/>
              <w:tr2bl w:val="nil"/>
            </w:tcBorders>
            <w:vAlign w:val="center"/>
          </w:tcPr>
          <w:p w14:paraId="2605B55C">
            <w:pPr>
              <w:snapToGrid w:val="0"/>
              <w:spacing w:line="36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消纳≥降雨8mm/日的雨水径流</w:t>
            </w:r>
          </w:p>
        </w:tc>
      </w:tr>
      <w:tr w14:paraId="76853B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blHeader/>
          <w:jc w:val="center"/>
        </w:trPr>
        <w:tc>
          <w:tcPr>
            <w:tcW w:w="1284" w:type="dxa"/>
            <w:vMerge w:val="continue"/>
            <w:tcBorders>
              <w:tl2br w:val="nil"/>
              <w:tr2bl w:val="nil"/>
            </w:tcBorders>
            <w:vAlign w:val="center"/>
          </w:tcPr>
          <w:p w14:paraId="0209F2ED">
            <w:pPr>
              <w:snapToGrid w:val="0"/>
              <w:spacing w:line="360" w:lineRule="exact"/>
              <w:jc w:val="center"/>
              <w:rPr>
                <w:rFonts w:asciiTheme="minorEastAsia" w:hAnsiTheme="minorEastAsia" w:eastAsiaTheme="minorEastAsia" w:cstheme="minorEastAsia"/>
                <w:szCs w:val="21"/>
              </w:rPr>
            </w:pPr>
          </w:p>
        </w:tc>
        <w:tc>
          <w:tcPr>
            <w:tcW w:w="2468" w:type="dxa"/>
            <w:tcBorders>
              <w:tl2br w:val="nil"/>
              <w:tr2bl w:val="nil"/>
            </w:tcBorders>
            <w:vAlign w:val="center"/>
          </w:tcPr>
          <w:p w14:paraId="52B91A74">
            <w:pPr>
              <w:snapToGrid w:val="0"/>
              <w:spacing w:line="36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道路交通</w:t>
            </w:r>
          </w:p>
        </w:tc>
        <w:tc>
          <w:tcPr>
            <w:tcW w:w="4753" w:type="dxa"/>
            <w:tcBorders>
              <w:tl2br w:val="nil"/>
              <w:tr2bl w:val="nil"/>
            </w:tcBorders>
            <w:vAlign w:val="center"/>
          </w:tcPr>
          <w:p w14:paraId="2238C25D">
            <w:pPr>
              <w:snapToGrid w:val="0"/>
              <w:spacing w:line="36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消纳≥降雨8mm/日的雨水径流</w:t>
            </w:r>
          </w:p>
        </w:tc>
      </w:tr>
      <w:tr w14:paraId="06BF97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blHeader/>
          <w:jc w:val="center"/>
        </w:trPr>
        <w:tc>
          <w:tcPr>
            <w:tcW w:w="1284" w:type="dxa"/>
            <w:vMerge w:val="continue"/>
            <w:tcBorders>
              <w:tl2br w:val="nil"/>
              <w:tr2bl w:val="nil"/>
            </w:tcBorders>
            <w:vAlign w:val="center"/>
          </w:tcPr>
          <w:p w14:paraId="704F7081">
            <w:pPr>
              <w:snapToGrid w:val="0"/>
              <w:spacing w:line="360" w:lineRule="exact"/>
              <w:jc w:val="center"/>
              <w:rPr>
                <w:rFonts w:asciiTheme="minorEastAsia" w:hAnsiTheme="minorEastAsia" w:eastAsiaTheme="minorEastAsia" w:cstheme="minorEastAsia"/>
                <w:szCs w:val="21"/>
              </w:rPr>
            </w:pPr>
          </w:p>
        </w:tc>
        <w:tc>
          <w:tcPr>
            <w:tcW w:w="2468" w:type="dxa"/>
            <w:tcBorders>
              <w:tl2br w:val="nil"/>
              <w:tr2bl w:val="nil"/>
            </w:tcBorders>
            <w:vAlign w:val="center"/>
          </w:tcPr>
          <w:p w14:paraId="329BED17">
            <w:pPr>
              <w:snapToGrid w:val="0"/>
              <w:spacing w:line="36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公共设施</w:t>
            </w:r>
          </w:p>
        </w:tc>
        <w:tc>
          <w:tcPr>
            <w:tcW w:w="4753" w:type="dxa"/>
            <w:tcBorders>
              <w:tl2br w:val="nil"/>
              <w:tr2bl w:val="nil"/>
            </w:tcBorders>
            <w:vAlign w:val="center"/>
          </w:tcPr>
          <w:p w14:paraId="22E3584F">
            <w:pPr>
              <w:snapToGrid w:val="0"/>
              <w:spacing w:line="36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消纳≥降雨10mm/日的雨水径流</w:t>
            </w:r>
          </w:p>
        </w:tc>
      </w:tr>
      <w:tr w14:paraId="14E0570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blHeader/>
          <w:jc w:val="center"/>
        </w:trPr>
        <w:tc>
          <w:tcPr>
            <w:tcW w:w="3752" w:type="dxa"/>
            <w:gridSpan w:val="2"/>
            <w:tcBorders>
              <w:tl2br w:val="nil"/>
              <w:tr2bl w:val="nil"/>
            </w:tcBorders>
            <w:vAlign w:val="center"/>
          </w:tcPr>
          <w:p w14:paraId="7F13C5EF">
            <w:pPr>
              <w:snapToGrid w:val="0"/>
              <w:spacing w:line="36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广场用地</w:t>
            </w:r>
          </w:p>
        </w:tc>
        <w:tc>
          <w:tcPr>
            <w:tcW w:w="4753" w:type="dxa"/>
            <w:tcBorders>
              <w:tl2br w:val="nil"/>
              <w:tr2bl w:val="nil"/>
            </w:tcBorders>
            <w:vAlign w:val="center"/>
          </w:tcPr>
          <w:p w14:paraId="349D62B4">
            <w:pPr>
              <w:snapToGrid w:val="0"/>
              <w:spacing w:line="36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消纳≥降雨15mm/日的雨水径流</w:t>
            </w:r>
          </w:p>
        </w:tc>
      </w:tr>
      <w:tr w14:paraId="1A6A13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blHeader/>
          <w:jc w:val="center"/>
        </w:trPr>
        <w:tc>
          <w:tcPr>
            <w:tcW w:w="1284" w:type="dxa"/>
            <w:vMerge w:val="restart"/>
            <w:tcBorders>
              <w:tl2br w:val="nil"/>
              <w:tr2bl w:val="nil"/>
            </w:tcBorders>
            <w:vAlign w:val="center"/>
          </w:tcPr>
          <w:p w14:paraId="7D786862">
            <w:pPr>
              <w:snapToGrid w:val="0"/>
              <w:spacing w:line="36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区域绿地</w:t>
            </w:r>
          </w:p>
        </w:tc>
        <w:tc>
          <w:tcPr>
            <w:tcW w:w="2468" w:type="dxa"/>
            <w:tcBorders>
              <w:tl2br w:val="nil"/>
              <w:tr2bl w:val="nil"/>
            </w:tcBorders>
            <w:vAlign w:val="center"/>
          </w:tcPr>
          <w:p w14:paraId="0F496F91">
            <w:pPr>
              <w:snapToGrid w:val="0"/>
              <w:spacing w:line="36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风景游憩</w:t>
            </w:r>
          </w:p>
        </w:tc>
        <w:tc>
          <w:tcPr>
            <w:tcW w:w="4753" w:type="dxa"/>
            <w:tcBorders>
              <w:tl2br w:val="nil"/>
              <w:tr2bl w:val="nil"/>
            </w:tcBorders>
            <w:vAlign w:val="center"/>
          </w:tcPr>
          <w:p w14:paraId="0F49B9D0">
            <w:pPr>
              <w:snapToGrid w:val="0"/>
              <w:spacing w:line="36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应对≥降雨50mm/日的雨水径流</w:t>
            </w:r>
          </w:p>
        </w:tc>
      </w:tr>
      <w:tr w14:paraId="26DE8D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blHeader/>
          <w:jc w:val="center"/>
        </w:trPr>
        <w:tc>
          <w:tcPr>
            <w:tcW w:w="1284" w:type="dxa"/>
            <w:vMerge w:val="continue"/>
            <w:tcBorders>
              <w:tl2br w:val="nil"/>
              <w:tr2bl w:val="nil"/>
            </w:tcBorders>
            <w:vAlign w:val="center"/>
          </w:tcPr>
          <w:p w14:paraId="727B7635">
            <w:pPr>
              <w:snapToGrid w:val="0"/>
              <w:spacing w:line="360" w:lineRule="exact"/>
              <w:jc w:val="center"/>
              <w:rPr>
                <w:rFonts w:asciiTheme="minorEastAsia" w:hAnsiTheme="minorEastAsia" w:eastAsiaTheme="minorEastAsia" w:cstheme="minorEastAsia"/>
                <w:szCs w:val="21"/>
              </w:rPr>
            </w:pPr>
          </w:p>
        </w:tc>
        <w:tc>
          <w:tcPr>
            <w:tcW w:w="2468" w:type="dxa"/>
            <w:tcBorders>
              <w:tl2br w:val="nil"/>
              <w:tr2bl w:val="nil"/>
            </w:tcBorders>
            <w:vAlign w:val="center"/>
          </w:tcPr>
          <w:p w14:paraId="0572C57F">
            <w:pPr>
              <w:snapToGrid w:val="0"/>
              <w:spacing w:line="36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生态保育</w:t>
            </w:r>
          </w:p>
        </w:tc>
        <w:tc>
          <w:tcPr>
            <w:tcW w:w="4753" w:type="dxa"/>
            <w:tcBorders>
              <w:tl2br w:val="nil"/>
              <w:tr2bl w:val="nil"/>
            </w:tcBorders>
            <w:vAlign w:val="center"/>
          </w:tcPr>
          <w:p w14:paraId="1F0F3E87">
            <w:pPr>
              <w:snapToGrid w:val="0"/>
              <w:spacing w:line="36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应对≥降雨50mm/日的雨水径流</w:t>
            </w:r>
          </w:p>
        </w:tc>
      </w:tr>
      <w:tr w14:paraId="1F660C0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blHeader/>
          <w:jc w:val="center"/>
        </w:trPr>
        <w:tc>
          <w:tcPr>
            <w:tcW w:w="1284" w:type="dxa"/>
            <w:vMerge w:val="continue"/>
            <w:tcBorders>
              <w:tl2br w:val="nil"/>
              <w:tr2bl w:val="nil"/>
            </w:tcBorders>
            <w:vAlign w:val="center"/>
          </w:tcPr>
          <w:p w14:paraId="42D4D9B3">
            <w:pPr>
              <w:snapToGrid w:val="0"/>
              <w:spacing w:line="360" w:lineRule="exact"/>
              <w:jc w:val="center"/>
              <w:rPr>
                <w:rFonts w:asciiTheme="minorEastAsia" w:hAnsiTheme="minorEastAsia" w:eastAsiaTheme="minorEastAsia" w:cstheme="minorEastAsia"/>
                <w:szCs w:val="21"/>
              </w:rPr>
            </w:pPr>
          </w:p>
        </w:tc>
        <w:tc>
          <w:tcPr>
            <w:tcW w:w="2468" w:type="dxa"/>
            <w:tcBorders>
              <w:tl2br w:val="nil"/>
              <w:tr2bl w:val="nil"/>
            </w:tcBorders>
            <w:vAlign w:val="center"/>
          </w:tcPr>
          <w:p w14:paraId="7AB07C8B">
            <w:pPr>
              <w:snapToGrid w:val="0"/>
              <w:spacing w:line="36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区域设施防护</w:t>
            </w:r>
          </w:p>
        </w:tc>
        <w:tc>
          <w:tcPr>
            <w:tcW w:w="4753" w:type="dxa"/>
            <w:tcBorders>
              <w:tl2br w:val="nil"/>
              <w:tr2bl w:val="nil"/>
            </w:tcBorders>
            <w:vAlign w:val="center"/>
          </w:tcPr>
          <w:p w14:paraId="5FA6DC80">
            <w:pPr>
              <w:snapToGrid w:val="0"/>
              <w:spacing w:line="36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应对（25</w:t>
            </w:r>
            <w:r>
              <w:rPr>
                <w:rFonts w:ascii="Times New Roman" w:hAnsi="Times New Roman" w:eastAsia="微软雅黑"/>
                <w:szCs w:val="21"/>
              </w:rPr>
              <w:t>~</w:t>
            </w:r>
            <w:r>
              <w:rPr>
                <w:rFonts w:hint="eastAsia" w:asciiTheme="minorEastAsia" w:hAnsiTheme="minorEastAsia" w:eastAsiaTheme="minorEastAsia" w:cstheme="minorEastAsia"/>
                <w:szCs w:val="21"/>
              </w:rPr>
              <w:t>50）mm/日的雨水径流</w:t>
            </w:r>
          </w:p>
        </w:tc>
      </w:tr>
      <w:tr w14:paraId="54C9A3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blHeader/>
          <w:jc w:val="center"/>
        </w:trPr>
        <w:tc>
          <w:tcPr>
            <w:tcW w:w="1284" w:type="dxa"/>
            <w:vMerge w:val="continue"/>
            <w:tcBorders>
              <w:tl2br w:val="nil"/>
              <w:tr2bl w:val="nil"/>
            </w:tcBorders>
            <w:vAlign w:val="center"/>
          </w:tcPr>
          <w:p w14:paraId="28E7D669">
            <w:pPr>
              <w:snapToGrid w:val="0"/>
              <w:spacing w:line="360" w:lineRule="exact"/>
              <w:jc w:val="center"/>
              <w:rPr>
                <w:rFonts w:asciiTheme="minorEastAsia" w:hAnsiTheme="minorEastAsia" w:eastAsiaTheme="minorEastAsia" w:cstheme="minorEastAsia"/>
                <w:szCs w:val="21"/>
              </w:rPr>
            </w:pPr>
          </w:p>
        </w:tc>
        <w:tc>
          <w:tcPr>
            <w:tcW w:w="2468" w:type="dxa"/>
            <w:tcBorders>
              <w:tl2br w:val="nil"/>
              <w:tr2bl w:val="nil"/>
            </w:tcBorders>
            <w:vAlign w:val="center"/>
          </w:tcPr>
          <w:p w14:paraId="611955A1">
            <w:pPr>
              <w:snapToGrid w:val="0"/>
              <w:spacing w:line="36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生产</w:t>
            </w:r>
          </w:p>
        </w:tc>
        <w:tc>
          <w:tcPr>
            <w:tcW w:w="4753" w:type="dxa"/>
            <w:tcBorders>
              <w:tl2br w:val="nil"/>
              <w:tr2bl w:val="nil"/>
            </w:tcBorders>
            <w:vAlign w:val="center"/>
          </w:tcPr>
          <w:p w14:paraId="23F6F960">
            <w:pPr>
              <w:snapToGrid w:val="0"/>
              <w:spacing w:line="36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应对≥降雨50mm/日的雨水径流</w:t>
            </w:r>
          </w:p>
        </w:tc>
      </w:tr>
    </w:tbl>
    <w:p w14:paraId="568BA3FB">
      <w:pPr>
        <w:widowControl/>
        <w:jc w:val="left"/>
        <w:rPr>
          <w:rFonts w:asciiTheme="minorEastAsia" w:hAnsiTheme="minorEastAsia" w:eastAsiaTheme="minorEastAsia" w:cstheme="minorEastAsia"/>
          <w:sz w:val="24"/>
          <w:szCs w:val="24"/>
        </w:rPr>
      </w:pPr>
    </w:p>
    <w:p w14:paraId="461EC58D">
      <w:pPr>
        <w:pStyle w:val="44"/>
        <w:widowControl/>
        <w:adjustRightInd w:val="0"/>
        <w:snapToGrid w:val="0"/>
        <w:spacing w:line="360" w:lineRule="auto"/>
        <w:ind w:firstLine="0" w:firstLineChars="0"/>
        <w:jc w:val="left"/>
        <w:rPr>
          <w:rFonts w:asciiTheme="minorEastAsia" w:hAnsiTheme="minorEastAsia" w:eastAsiaTheme="minorEastAsia" w:cstheme="minorEastAsia"/>
          <w:sz w:val="24"/>
          <w:szCs w:val="24"/>
        </w:rPr>
      </w:pPr>
      <w:r>
        <w:rPr>
          <w:rFonts w:asciiTheme="minorEastAsia" w:hAnsiTheme="minorEastAsia" w:eastAsiaTheme="minorEastAsia" w:cstheme="minorEastAsia"/>
          <w:b/>
          <w:sz w:val="24"/>
          <w:szCs w:val="24"/>
        </w:rPr>
        <w:t>9.2.4</w:t>
      </w:r>
      <w:r>
        <w:rPr>
          <w:rFonts w:hint="eastAsia" w:asciiTheme="minorEastAsia" w:hAnsiTheme="minorEastAsia" w:eastAsiaTheme="minorEastAsia" w:cstheme="minorEastAsia"/>
          <w:sz w:val="24"/>
          <w:szCs w:val="24"/>
        </w:rPr>
        <w:t>　城市绿地海绵功能设计方案宜对选取指标量值进行模拟校核，并应符合下列规定：</w:t>
      </w:r>
    </w:p>
    <w:p w14:paraId="258D853F">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w:t>
      </w:r>
      <w:r>
        <w:rPr>
          <w:rFonts w:hint="eastAsia" w:asciiTheme="minorEastAsia" w:hAnsiTheme="minorEastAsia" w:eastAsiaTheme="minorEastAsia" w:cstheme="minorEastAsia"/>
          <w:sz w:val="24"/>
          <w:szCs w:val="24"/>
        </w:rPr>
        <w:t>　应梳理绿地边界范围与周边排水分区、市政管网和河湖水系的关系，结合竖向设计组织绿地地表排水，合理安排"渗，滞，蓄，净，用，排"措施，可结合雨水设施实现雨水控制利用目标；</w:t>
      </w:r>
    </w:p>
    <w:p w14:paraId="413D7F41">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2</w:t>
      </w:r>
      <w:r>
        <w:rPr>
          <w:rFonts w:hint="eastAsia" w:asciiTheme="minorEastAsia" w:hAnsiTheme="minorEastAsia" w:eastAsiaTheme="minorEastAsia" w:cstheme="minorEastAsia"/>
          <w:sz w:val="24"/>
          <w:szCs w:val="24"/>
        </w:rPr>
        <w:t>　应通过水文水力计算或模型评估，就各项控制指标的落实程度对设计方案进行校核和完善。</w:t>
      </w:r>
    </w:p>
    <w:p w14:paraId="6F47B162">
      <w:pPr>
        <w:widowControl/>
        <w:spacing w:line="360" w:lineRule="auto"/>
        <w:jc w:val="left"/>
        <w:rPr>
          <w:rFonts w:asciiTheme="minorEastAsia" w:hAnsiTheme="minorEastAsia" w:eastAsiaTheme="minorEastAsia" w:cstheme="minorEastAsia"/>
          <w:sz w:val="24"/>
          <w:szCs w:val="24"/>
        </w:rPr>
      </w:pPr>
      <w:r>
        <w:rPr>
          <w:rFonts w:asciiTheme="minorEastAsia" w:hAnsiTheme="minorEastAsia" w:eastAsiaTheme="minorEastAsia" w:cstheme="minorEastAsia"/>
          <w:b/>
          <w:sz w:val="24"/>
          <w:szCs w:val="24"/>
        </w:rPr>
        <w:t>9.2.5</w:t>
      </w:r>
      <w:r>
        <w:rPr>
          <w:rFonts w:hint="eastAsia" w:asciiTheme="minorEastAsia" w:hAnsiTheme="minorEastAsia" w:eastAsiaTheme="minorEastAsia" w:cstheme="minorEastAsia"/>
          <w:sz w:val="24"/>
          <w:szCs w:val="24"/>
        </w:rPr>
        <w:t>　接纳周边汇水区雨水径流的绿地，宜通过竖向设计实现绿地内外雨水设施的有机衔接，为周边雨水径流汇入绿地预留设计空间和通道。</w:t>
      </w:r>
    </w:p>
    <w:p w14:paraId="2C6CF576">
      <w:pPr>
        <w:widowControl/>
        <w:spacing w:line="360" w:lineRule="auto"/>
        <w:jc w:val="left"/>
        <w:rPr>
          <w:rFonts w:asciiTheme="minorEastAsia" w:hAnsiTheme="minorEastAsia" w:eastAsiaTheme="minorEastAsia" w:cstheme="minorEastAsia"/>
          <w:sz w:val="24"/>
          <w:szCs w:val="24"/>
        </w:rPr>
      </w:pPr>
      <w:r>
        <w:rPr>
          <w:rFonts w:asciiTheme="minorEastAsia" w:hAnsiTheme="minorEastAsia" w:eastAsiaTheme="minorEastAsia" w:cstheme="minorEastAsia"/>
          <w:b/>
          <w:sz w:val="24"/>
          <w:szCs w:val="24"/>
        </w:rPr>
        <w:t>9.2.6</w:t>
      </w:r>
      <w:r>
        <w:rPr>
          <w:rFonts w:hint="eastAsia" w:asciiTheme="minorEastAsia" w:hAnsiTheme="minorEastAsia" w:eastAsiaTheme="minorEastAsia" w:cstheme="minorEastAsia"/>
          <w:sz w:val="24"/>
          <w:szCs w:val="24"/>
        </w:rPr>
        <w:t>　雨水径流汇入绿地前，应进行预处理，并应符合下列规定：</w:t>
      </w:r>
    </w:p>
    <w:p w14:paraId="6B118941">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w:t>
      </w:r>
      <w:r>
        <w:rPr>
          <w:rFonts w:hint="eastAsia" w:asciiTheme="minorEastAsia" w:hAnsiTheme="minorEastAsia" w:eastAsiaTheme="minorEastAsia" w:cstheme="minorEastAsia"/>
          <w:sz w:val="24"/>
          <w:szCs w:val="24"/>
        </w:rPr>
        <w:t>　初期雨水径流不得直接排入绿地内的水体，可利用沉淀池，前置塘，雨水滞留区等截污消能设施对雨水径流污染进行预处理；</w:t>
      </w:r>
    </w:p>
    <w:p w14:paraId="1ACB7734">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asciiTheme="minorEastAsia" w:hAnsiTheme="minorEastAsia" w:eastAsiaTheme="minorEastAsia" w:cstheme="minorEastAsia"/>
          <w:b/>
          <w:sz w:val="24"/>
          <w:szCs w:val="24"/>
        </w:rPr>
        <w:t>2</w:t>
      </w:r>
      <w:r>
        <w:rPr>
          <w:rFonts w:hint="eastAsia" w:asciiTheme="minorEastAsia" w:hAnsiTheme="minorEastAsia" w:eastAsiaTheme="minorEastAsia" w:cstheme="minorEastAsia"/>
          <w:sz w:val="24"/>
          <w:szCs w:val="24"/>
        </w:rPr>
        <w:t>　含有融雪剂的融雪水应弃流至市政污水管网，不得排入绿地。</w:t>
      </w:r>
    </w:p>
    <w:p w14:paraId="0AA8D1A6">
      <w:pPr>
        <w:widowControl/>
        <w:numPr>
          <w:ilvl w:val="255"/>
          <w:numId w:val="0"/>
        </w:numPr>
        <w:spacing w:line="360" w:lineRule="auto"/>
        <w:jc w:val="left"/>
        <w:rPr>
          <w:rFonts w:asciiTheme="minorEastAsia" w:hAnsiTheme="minorEastAsia" w:eastAsiaTheme="minorEastAsia" w:cstheme="minorEastAsia"/>
          <w:sz w:val="24"/>
          <w:szCs w:val="24"/>
        </w:rPr>
      </w:pPr>
      <w:r>
        <w:rPr>
          <w:rFonts w:asciiTheme="minorEastAsia" w:hAnsiTheme="minorEastAsia" w:eastAsiaTheme="minorEastAsia" w:cstheme="minorEastAsia"/>
          <w:b/>
          <w:sz w:val="24"/>
          <w:szCs w:val="24"/>
        </w:rPr>
        <w:t>9.2.7</w:t>
      </w:r>
      <w:r>
        <w:rPr>
          <w:rFonts w:hint="eastAsia" w:asciiTheme="minorEastAsia" w:hAnsiTheme="minorEastAsia" w:eastAsiaTheme="minorEastAsia" w:cstheme="minorEastAsia"/>
          <w:sz w:val="24"/>
          <w:szCs w:val="24"/>
        </w:rPr>
        <w:t>　用于雨洪调蓄的绿地和广场，应设置疏散通道，并应符合下列规定：</w:t>
      </w:r>
    </w:p>
    <w:p w14:paraId="097F72EC">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w:t>
      </w:r>
      <w:r>
        <w:rPr>
          <w:rFonts w:hint="eastAsia" w:asciiTheme="minorEastAsia" w:hAnsiTheme="minorEastAsia" w:eastAsiaTheme="minorEastAsia" w:cstheme="minorEastAsia"/>
          <w:sz w:val="24"/>
          <w:szCs w:val="24"/>
        </w:rPr>
        <w:t>　应设置安全警示牌，安全警示牌应标明调蓄功能启动条件，淹没范围和淹没水位；</w:t>
      </w:r>
    </w:p>
    <w:p w14:paraId="79688240">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2</w:t>
      </w:r>
      <w:r>
        <w:rPr>
          <w:rFonts w:hint="eastAsia" w:asciiTheme="minorEastAsia" w:hAnsiTheme="minorEastAsia" w:eastAsiaTheme="minorEastAsia" w:cstheme="minorEastAsia"/>
          <w:sz w:val="24"/>
          <w:szCs w:val="24"/>
        </w:rPr>
        <w:t>　通道应保障人员在启动调蓄功能时安全撤离。</w:t>
      </w:r>
    </w:p>
    <w:p w14:paraId="3959CC22">
      <w:pPr>
        <w:widowControl/>
        <w:spacing w:line="360" w:lineRule="auto"/>
        <w:jc w:val="left"/>
        <w:rPr>
          <w:rFonts w:asciiTheme="minorEastAsia" w:hAnsiTheme="minorEastAsia" w:eastAsiaTheme="minorEastAsia" w:cstheme="minorEastAsia"/>
          <w:sz w:val="24"/>
          <w:szCs w:val="24"/>
        </w:rPr>
      </w:pPr>
      <w:r>
        <w:rPr>
          <w:rFonts w:asciiTheme="minorEastAsia" w:hAnsiTheme="minorEastAsia" w:eastAsiaTheme="minorEastAsia" w:cstheme="minorEastAsia"/>
          <w:b/>
          <w:sz w:val="24"/>
          <w:szCs w:val="24"/>
        </w:rPr>
        <w:t>9.2.8</w:t>
      </w:r>
      <w:r>
        <w:rPr>
          <w:rFonts w:hint="eastAsia" w:asciiTheme="minorEastAsia" w:hAnsiTheme="minorEastAsia" w:eastAsiaTheme="minorEastAsia" w:cstheme="minorEastAsia"/>
          <w:sz w:val="24"/>
          <w:szCs w:val="24"/>
        </w:rPr>
        <w:t>　与山体相邻绿地的坡度超过25°时，应根据山体汇流路径，结合地形起伏设置截洪沟、拦洪沟等雨水拦蓄设施并采取山体水土保持措施。</w:t>
      </w:r>
    </w:p>
    <w:p w14:paraId="44F909FF">
      <w:pPr>
        <w:widowControl/>
        <w:spacing w:line="360" w:lineRule="auto"/>
        <w:jc w:val="left"/>
        <w:rPr>
          <w:rFonts w:asciiTheme="minorEastAsia" w:hAnsiTheme="minorEastAsia" w:eastAsiaTheme="minorEastAsia" w:cstheme="minorEastAsia"/>
          <w:sz w:val="24"/>
          <w:szCs w:val="24"/>
        </w:rPr>
      </w:pPr>
      <w:r>
        <w:rPr>
          <w:rFonts w:asciiTheme="minorEastAsia" w:hAnsiTheme="minorEastAsia" w:eastAsiaTheme="minorEastAsia" w:cstheme="minorEastAsia"/>
          <w:b/>
          <w:sz w:val="24"/>
          <w:szCs w:val="24"/>
        </w:rPr>
        <w:t>9.2.9</w:t>
      </w:r>
      <w:r>
        <w:rPr>
          <w:rFonts w:hint="eastAsia" w:asciiTheme="minorEastAsia" w:hAnsiTheme="minorEastAsia" w:eastAsiaTheme="minorEastAsia" w:cstheme="minorEastAsia"/>
          <w:sz w:val="24"/>
          <w:szCs w:val="24"/>
        </w:rPr>
        <w:t>　绿地内雨水设施设置不得引起地质灾害或损害建(构)筑物，当场地存在可能造成坍塌，滑坡灾害的场所；可能对居住环境以及自然环境造成危害的场所及自重湿陷性黄土、膨胀土和高含盐土等特殊土场所时，不得采用雨水入渗措施。</w:t>
      </w:r>
    </w:p>
    <w:p w14:paraId="210146B8">
      <w:pPr>
        <w:widowControl/>
        <w:spacing w:line="360" w:lineRule="auto"/>
        <w:jc w:val="center"/>
        <w:outlineLvl w:val="2"/>
        <w:rPr>
          <w:rFonts w:ascii="仿宋" w:hAnsi="仿宋" w:eastAsia="仿宋" w:cs="仿宋"/>
          <w:b/>
          <w:bCs/>
          <w:sz w:val="28"/>
          <w:szCs w:val="28"/>
        </w:rPr>
      </w:pPr>
      <w:r>
        <w:rPr>
          <w:rFonts w:hint="eastAsia" w:ascii="仿宋" w:hAnsi="仿宋" w:eastAsia="仿宋" w:cs="仿宋"/>
          <w:b/>
          <w:bCs/>
          <w:sz w:val="28"/>
          <w:szCs w:val="28"/>
        </w:rPr>
        <w:t>III　空气净化功能</w:t>
      </w:r>
    </w:p>
    <w:p w14:paraId="4902B478">
      <w:pPr>
        <w:widowControl/>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9.2.</w:t>
      </w:r>
      <w:r>
        <w:rPr>
          <w:rFonts w:asciiTheme="minorEastAsia" w:hAnsiTheme="minorEastAsia" w:eastAsiaTheme="minorEastAsia" w:cstheme="minorEastAsia"/>
          <w:b/>
          <w:sz w:val="24"/>
          <w:szCs w:val="24"/>
        </w:rPr>
        <w:t>10</w:t>
      </w:r>
      <w:r>
        <w:rPr>
          <w:rFonts w:hint="eastAsia" w:asciiTheme="minorEastAsia" w:hAnsiTheme="minorEastAsia" w:eastAsiaTheme="minorEastAsia" w:cstheme="minorEastAsia"/>
          <w:sz w:val="24"/>
          <w:szCs w:val="24"/>
        </w:rPr>
        <w:t>　城市绿地应对空气污染物PM10、PM2.5及气态污染物进行消减设计，消减设计可采用下列方式：</w:t>
      </w:r>
    </w:p>
    <w:p w14:paraId="07D23F35">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w:t>
      </w:r>
      <w:r>
        <w:rPr>
          <w:rFonts w:hint="eastAsia" w:asciiTheme="minorEastAsia" w:hAnsiTheme="minorEastAsia" w:eastAsiaTheme="minorEastAsia" w:cstheme="minorEastAsia"/>
          <w:sz w:val="24"/>
          <w:szCs w:val="24"/>
        </w:rPr>
        <w:t>　可构建高吸附性乔灌草复合群落，优先选用叶片表面多绒毛、褶皱、分泌物丰富的乡土树种，实现对PM10、PM2.5及二氧化硫、氮氧化物等气态污染物的消减；</w:t>
      </w:r>
    </w:p>
    <w:p w14:paraId="27CF7F0A">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asciiTheme="minorEastAsia" w:hAnsiTheme="minorEastAsia" w:eastAsiaTheme="minorEastAsia" w:cstheme="minorEastAsia"/>
          <w:b/>
          <w:sz w:val="24"/>
          <w:szCs w:val="24"/>
        </w:rPr>
        <w:t>2</w:t>
      </w:r>
      <w:r>
        <w:rPr>
          <w:rFonts w:hint="eastAsia" w:asciiTheme="minorEastAsia" w:hAnsiTheme="minorEastAsia" w:eastAsiaTheme="minorEastAsia" w:cstheme="minorEastAsia"/>
          <w:sz w:val="24"/>
          <w:szCs w:val="24"/>
        </w:rPr>
        <w:t>　可优化群落空间结构，采用密植灌木带+中高层乔木的组合模式，在城市道路、工业区等污染高负荷区域设置宽度不小于5m的防护林带；</w:t>
      </w:r>
    </w:p>
    <w:p w14:paraId="5E49719B">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asciiTheme="minorEastAsia" w:hAnsiTheme="minorEastAsia" w:eastAsiaTheme="minorEastAsia" w:cstheme="minorEastAsia"/>
          <w:b/>
          <w:sz w:val="24"/>
          <w:szCs w:val="24"/>
        </w:rPr>
        <w:t>3</w:t>
      </w:r>
      <w:r>
        <w:rPr>
          <w:rFonts w:hint="eastAsia" w:asciiTheme="minorEastAsia" w:hAnsiTheme="minorEastAsia" w:eastAsiaTheme="minorEastAsia" w:cstheme="minorEastAsia"/>
          <w:sz w:val="24"/>
          <w:szCs w:val="24"/>
        </w:rPr>
        <w:t>　可施行地被植物全覆盖，通过地表植被层吸附沉降的颗粒物，减少二次扬尘。</w:t>
      </w:r>
    </w:p>
    <w:p w14:paraId="42983262">
      <w:pPr>
        <w:widowControl/>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9.2.</w:t>
      </w:r>
      <w:r>
        <w:rPr>
          <w:rFonts w:asciiTheme="minorEastAsia" w:hAnsiTheme="minorEastAsia" w:eastAsiaTheme="minorEastAsia" w:cstheme="minorEastAsia"/>
          <w:b/>
          <w:sz w:val="24"/>
          <w:szCs w:val="24"/>
        </w:rPr>
        <w:t>11</w:t>
      </w:r>
      <w:r>
        <w:rPr>
          <w:rFonts w:hint="eastAsia" w:asciiTheme="minorEastAsia" w:hAnsiTheme="minorEastAsia" w:eastAsiaTheme="minorEastAsia" w:cstheme="minorEastAsia"/>
          <w:sz w:val="24"/>
          <w:szCs w:val="24"/>
        </w:rPr>
        <w:t>　城市绿地应对雨水径流悬浮颗粒（SS）及污染物进行净化设计，净化设计宜采用下列方式：</w:t>
      </w:r>
    </w:p>
    <w:p w14:paraId="63D1A2BB">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w:t>
      </w:r>
      <w:r>
        <w:rPr>
          <w:rFonts w:hint="eastAsia" w:asciiTheme="minorEastAsia" w:hAnsiTheme="minorEastAsia" w:eastAsiaTheme="minorEastAsia" w:cstheme="minorEastAsia"/>
          <w:sz w:val="24"/>
          <w:szCs w:val="24"/>
        </w:rPr>
        <w:t>　可布设植被缓冲带，在绿地与道路、建筑边界及水体岸线区域，设置宽度2m～5m的植被缓冲带，消减雨水径流中的悬浮颗粒（SS）、氮磷等污染物；</w:t>
      </w:r>
    </w:p>
    <w:p w14:paraId="7C5CC48F">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asciiTheme="minorEastAsia" w:hAnsiTheme="minorEastAsia" w:eastAsiaTheme="minorEastAsia" w:cstheme="minorEastAsia"/>
          <w:b/>
          <w:sz w:val="24"/>
          <w:szCs w:val="24"/>
        </w:rPr>
        <w:t>2</w:t>
      </w:r>
      <w:r>
        <w:rPr>
          <w:rFonts w:hint="eastAsia" w:asciiTheme="minorEastAsia" w:hAnsiTheme="minorEastAsia" w:eastAsiaTheme="minorEastAsia" w:cstheme="minorEastAsia"/>
          <w:sz w:val="24"/>
          <w:szCs w:val="24"/>
        </w:rPr>
        <w:t>　可结合下沉式绿地与雨水花园设计，在汇水区域设置下沉式绿地，深度净化雨水径流中的悬浮颗粒与溶解性污染物；下沉深度宜控制在10 cm ～30cm，确保雨水充分渗透与滞留；</w:t>
      </w:r>
    </w:p>
    <w:p w14:paraId="0DED9FFB">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asciiTheme="minorEastAsia" w:hAnsiTheme="minorEastAsia" w:eastAsiaTheme="minorEastAsia" w:cstheme="minorEastAsia"/>
          <w:b/>
          <w:sz w:val="24"/>
          <w:szCs w:val="24"/>
        </w:rPr>
        <w:t>3</w:t>
      </w:r>
      <w:r>
        <w:rPr>
          <w:rFonts w:hint="eastAsia" w:asciiTheme="minorEastAsia" w:hAnsiTheme="minorEastAsia" w:eastAsiaTheme="minorEastAsia" w:cstheme="minorEastAsia"/>
          <w:sz w:val="24"/>
          <w:szCs w:val="24"/>
        </w:rPr>
        <w:t>　可设计植草沟与生态驳岸，通过沟内植被与土壤实现污染物拦截；水体岸线可采用生态驳岸，搭配湿生植物群落，防止污染物直接进入水体。</w:t>
      </w:r>
    </w:p>
    <w:p w14:paraId="701F27BD">
      <w:pPr>
        <w:widowControl/>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9.2.</w:t>
      </w:r>
      <w:r>
        <w:rPr>
          <w:rFonts w:asciiTheme="minorEastAsia" w:hAnsiTheme="minorEastAsia" w:eastAsiaTheme="minorEastAsia" w:cstheme="minorEastAsia"/>
          <w:b/>
          <w:sz w:val="24"/>
          <w:szCs w:val="24"/>
        </w:rPr>
        <w:t>12</w:t>
      </w:r>
      <w:r>
        <w:rPr>
          <w:rFonts w:hint="eastAsia" w:asciiTheme="minorEastAsia" w:hAnsiTheme="minorEastAsia" w:eastAsiaTheme="minorEastAsia" w:cstheme="minorEastAsia"/>
          <w:sz w:val="24"/>
          <w:szCs w:val="24"/>
        </w:rPr>
        <w:t>城市绿地应对噪声进行消减设计，消减设计宜采取下列方式：</w:t>
      </w:r>
    </w:p>
    <w:p w14:paraId="76446967">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w:t>
      </w:r>
      <w:r>
        <w:rPr>
          <w:rFonts w:hint="eastAsia" w:asciiTheme="minorEastAsia" w:hAnsiTheme="minorEastAsia" w:eastAsiaTheme="minorEastAsia" w:cstheme="minorEastAsia"/>
          <w:sz w:val="24"/>
          <w:szCs w:val="24"/>
        </w:rPr>
        <w:t>　可构建多层级隔声植物群落，采用“乔木+灌木+地被”的复层密植结构，选择树干粗壮、枝叶茂密的树种；可在噪声源与受保护区域之间设置隔声林带，林带宽度不宜小于10m，高度不宜低于10m；</w:t>
      </w:r>
    </w:p>
    <w:p w14:paraId="398C9C6A">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asciiTheme="minorEastAsia" w:hAnsiTheme="minorEastAsia" w:eastAsiaTheme="minorEastAsia" w:cstheme="minorEastAsia"/>
          <w:b/>
          <w:sz w:val="24"/>
          <w:szCs w:val="24"/>
        </w:rPr>
        <w:t>2</w:t>
      </w:r>
      <w:r>
        <w:rPr>
          <w:rFonts w:hint="eastAsia" w:asciiTheme="minorEastAsia" w:hAnsiTheme="minorEastAsia" w:eastAsiaTheme="minorEastAsia" w:cstheme="minorEastAsia"/>
          <w:sz w:val="24"/>
          <w:szCs w:val="24"/>
        </w:rPr>
        <w:t>　可结合地形与植被组合设计，通过地形阻挡与植被阻隔、吸附的协同作用提升噪声消减效果。</w:t>
      </w:r>
    </w:p>
    <w:p w14:paraId="62595C0F">
      <w:pPr>
        <w:widowControl/>
        <w:spacing w:line="360" w:lineRule="auto"/>
        <w:jc w:val="center"/>
        <w:outlineLvl w:val="2"/>
        <w:rPr>
          <w:rFonts w:ascii="仿宋" w:hAnsi="仿宋" w:eastAsia="仿宋" w:cs="仿宋"/>
          <w:b/>
          <w:bCs/>
          <w:sz w:val="28"/>
          <w:szCs w:val="28"/>
        </w:rPr>
      </w:pPr>
      <w:r>
        <w:rPr>
          <w:rFonts w:hint="eastAsia" w:ascii="仿宋" w:hAnsi="仿宋" w:eastAsia="仿宋" w:cs="仿宋"/>
          <w:b/>
          <w:bCs/>
          <w:sz w:val="28"/>
          <w:szCs w:val="28"/>
        </w:rPr>
        <w:t>IV　微气候改善功能</w:t>
      </w:r>
    </w:p>
    <w:p w14:paraId="192D8537">
      <w:pPr>
        <w:widowControl/>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9.2.</w:t>
      </w:r>
      <w:r>
        <w:rPr>
          <w:rFonts w:asciiTheme="minorEastAsia" w:hAnsiTheme="minorEastAsia" w:eastAsiaTheme="minorEastAsia" w:cstheme="minorEastAsia"/>
          <w:b/>
          <w:sz w:val="24"/>
          <w:szCs w:val="24"/>
        </w:rPr>
        <w:t>13</w:t>
      </w:r>
      <w:r>
        <w:rPr>
          <w:rFonts w:hint="eastAsia" w:asciiTheme="minorEastAsia" w:hAnsiTheme="minorEastAsia" w:eastAsiaTheme="minorEastAsia" w:cstheme="minorEastAsia"/>
          <w:sz w:val="24"/>
          <w:szCs w:val="24"/>
        </w:rPr>
        <w:t>　绿地设计中应采用乔-灌-草-藤本相结合的复层种植结构，实现降温增湿、降低太阳辐射的微气候调节目标。</w:t>
      </w:r>
    </w:p>
    <w:p w14:paraId="025C59B0">
      <w:pPr>
        <w:widowControl/>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9.2.</w:t>
      </w:r>
      <w:r>
        <w:rPr>
          <w:rFonts w:asciiTheme="minorEastAsia" w:hAnsiTheme="minorEastAsia" w:eastAsiaTheme="minorEastAsia" w:cstheme="minorEastAsia"/>
          <w:b/>
          <w:sz w:val="24"/>
          <w:szCs w:val="24"/>
        </w:rPr>
        <w:t>14</w:t>
      </w:r>
      <w:r>
        <w:rPr>
          <w:rFonts w:hint="eastAsia" w:asciiTheme="minorEastAsia" w:hAnsiTheme="minorEastAsia" w:eastAsiaTheme="minorEastAsia" w:cstheme="minorEastAsia"/>
          <w:sz w:val="24"/>
          <w:szCs w:val="24"/>
        </w:rPr>
        <w:t>　绿地设计中应减少硬质不透水面积占比，可采用透水铺装和结构、植草沟、下沉式绿地、雨水花园等设施。</w:t>
      </w:r>
    </w:p>
    <w:p w14:paraId="2BE96C16">
      <w:pPr>
        <w:widowControl/>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9.2.</w:t>
      </w:r>
      <w:r>
        <w:rPr>
          <w:rFonts w:asciiTheme="minorEastAsia" w:hAnsiTheme="minorEastAsia" w:eastAsiaTheme="minorEastAsia" w:cstheme="minorEastAsia"/>
          <w:b/>
          <w:sz w:val="24"/>
          <w:szCs w:val="24"/>
        </w:rPr>
        <w:t>15</w:t>
      </w:r>
      <w:r>
        <w:rPr>
          <w:rFonts w:hint="eastAsia" w:asciiTheme="minorEastAsia" w:hAnsiTheme="minorEastAsia" w:eastAsiaTheme="minorEastAsia" w:cstheme="minorEastAsia"/>
          <w:sz w:val="24"/>
          <w:szCs w:val="24"/>
        </w:rPr>
        <w:t>　绿地设计中可结合绿地布局设置浅水面、溪流、喷泉或雾喷系统，调节周边空气温湿度；应优先采用循环水系统，保障水体生态性与运行可持续性。</w:t>
      </w:r>
    </w:p>
    <w:p w14:paraId="34E455D9">
      <w:pPr>
        <w:widowControl/>
        <w:spacing w:line="360" w:lineRule="auto"/>
        <w:jc w:val="left"/>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9.2.</w:t>
      </w:r>
      <w:r>
        <w:rPr>
          <w:rFonts w:asciiTheme="minorEastAsia" w:hAnsiTheme="minorEastAsia" w:eastAsiaTheme="minorEastAsia" w:cstheme="minorEastAsia"/>
          <w:b/>
          <w:sz w:val="24"/>
          <w:szCs w:val="24"/>
        </w:rPr>
        <w:t>16</w:t>
      </w:r>
      <w:r>
        <w:rPr>
          <w:rFonts w:hint="eastAsia" w:asciiTheme="minorEastAsia" w:hAnsiTheme="minorEastAsia" w:eastAsiaTheme="minorEastAsia" w:cstheme="minorEastAsia"/>
          <w:sz w:val="24"/>
          <w:szCs w:val="24"/>
        </w:rPr>
        <w:t>　绿地设计应依托带状绿地、楔形绿地、滨水绿带等空间载体，构建连续贯通的通风廊道。</w:t>
      </w:r>
    </w:p>
    <w:p w14:paraId="36BE25BF">
      <w:pPr>
        <w:widowControl/>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9.2.</w:t>
      </w:r>
      <w:r>
        <w:rPr>
          <w:rFonts w:asciiTheme="minorEastAsia" w:hAnsiTheme="minorEastAsia" w:eastAsiaTheme="minorEastAsia" w:cstheme="minorEastAsia"/>
          <w:b/>
          <w:sz w:val="24"/>
          <w:szCs w:val="24"/>
        </w:rPr>
        <w:t>17</w:t>
      </w:r>
      <w:r>
        <w:rPr>
          <w:rFonts w:hint="eastAsia" w:asciiTheme="minorEastAsia" w:hAnsiTheme="minorEastAsia" w:eastAsiaTheme="minorEastAsia" w:cstheme="minorEastAsia"/>
          <w:sz w:val="24"/>
          <w:szCs w:val="24"/>
        </w:rPr>
        <w:t>　绿地设计中应选择高反照率、低热容量的铺装材料，降低地表对太阳辐射的吸收与释放，减少地表热积累。</w:t>
      </w:r>
    </w:p>
    <w:p w14:paraId="37BAE7E7">
      <w:pPr>
        <w:widowControl/>
        <w:spacing w:line="360" w:lineRule="auto"/>
        <w:jc w:val="left"/>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9.2.</w:t>
      </w:r>
      <w:r>
        <w:rPr>
          <w:rFonts w:asciiTheme="minorEastAsia" w:hAnsiTheme="minorEastAsia" w:eastAsiaTheme="minorEastAsia" w:cstheme="minorEastAsia"/>
          <w:b/>
          <w:sz w:val="24"/>
          <w:szCs w:val="24"/>
        </w:rPr>
        <w:t>18</w:t>
      </w:r>
      <w:r>
        <w:rPr>
          <w:rFonts w:hint="eastAsia" w:asciiTheme="minorEastAsia" w:hAnsiTheme="minorEastAsia" w:eastAsiaTheme="minorEastAsia" w:cstheme="minorEastAsia"/>
          <w:sz w:val="24"/>
          <w:szCs w:val="24"/>
        </w:rPr>
        <w:t>　绿地设计中应优先配置乡土、耐旱、耐贫瘠的植物种类，构建稳定的近自然植物群落，增强微气候改善的长效性。</w:t>
      </w:r>
    </w:p>
    <w:p w14:paraId="185F68C1">
      <w:pPr>
        <w:widowControl/>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9.2.</w:t>
      </w:r>
      <w:r>
        <w:rPr>
          <w:rFonts w:asciiTheme="minorEastAsia" w:hAnsiTheme="minorEastAsia" w:eastAsiaTheme="minorEastAsia" w:cstheme="minorEastAsia"/>
          <w:b/>
          <w:sz w:val="24"/>
          <w:szCs w:val="24"/>
        </w:rPr>
        <w:t>19</w:t>
      </w:r>
      <w:r>
        <w:rPr>
          <w:rFonts w:hint="eastAsia" w:asciiTheme="minorEastAsia" w:hAnsiTheme="minorEastAsia" w:eastAsiaTheme="minorEastAsia" w:cstheme="minorEastAsia"/>
          <w:sz w:val="24"/>
          <w:szCs w:val="24"/>
        </w:rPr>
        <w:t>　绿地设计中应结合周边建筑形态、布局以及建筑室内外场地与绿地的高程关系，优化绿地空间组织，实现夏季通风降温、冬季防风增温的双向调控。</w:t>
      </w:r>
    </w:p>
    <w:p w14:paraId="1F4273CE">
      <w:pPr>
        <w:widowControl/>
        <w:spacing w:line="360" w:lineRule="auto"/>
        <w:jc w:val="center"/>
        <w:outlineLvl w:val="2"/>
        <w:rPr>
          <w:rFonts w:ascii="仿宋" w:hAnsi="仿宋" w:eastAsia="仿宋" w:cs="仿宋"/>
          <w:b/>
          <w:bCs/>
          <w:sz w:val="28"/>
          <w:szCs w:val="28"/>
        </w:rPr>
      </w:pPr>
      <w:r>
        <w:rPr>
          <w:rFonts w:hint="eastAsia" w:ascii="仿宋" w:hAnsi="仿宋" w:eastAsia="仿宋" w:cs="仿宋"/>
          <w:b/>
          <w:bCs/>
          <w:sz w:val="28"/>
          <w:szCs w:val="28"/>
        </w:rPr>
        <w:t>V　生物多样性保护功能</w:t>
      </w:r>
    </w:p>
    <w:p w14:paraId="53616872">
      <w:pPr>
        <w:widowControl/>
        <w:adjustRightInd w:val="0"/>
        <w:snapToGrid w:val="0"/>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9.2.</w:t>
      </w:r>
      <w:r>
        <w:rPr>
          <w:rFonts w:asciiTheme="minorEastAsia" w:hAnsiTheme="minorEastAsia" w:eastAsiaTheme="minorEastAsia" w:cstheme="minorEastAsia"/>
          <w:b/>
          <w:sz w:val="24"/>
          <w:szCs w:val="24"/>
        </w:rPr>
        <w:t>20</w:t>
      </w:r>
      <w:r>
        <w:rPr>
          <w:rFonts w:hint="eastAsia" w:asciiTheme="minorEastAsia" w:hAnsiTheme="minorEastAsia" w:eastAsiaTheme="minorEastAsia" w:cstheme="minorEastAsia"/>
          <w:sz w:val="24"/>
          <w:szCs w:val="24"/>
        </w:rPr>
        <w:t>　应通过设计多样化的地形地貌，配置多元生境类型，增加生境斑块数量与连通性，为不同生态位的生物提供异质化的生境栖息空间。</w:t>
      </w:r>
    </w:p>
    <w:p w14:paraId="5AF0C99C">
      <w:pPr>
        <w:widowControl/>
        <w:adjustRightInd w:val="0"/>
        <w:snapToGrid w:val="0"/>
        <w:spacing w:line="360" w:lineRule="auto"/>
        <w:jc w:val="left"/>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9.2.</w:t>
      </w:r>
      <w:r>
        <w:rPr>
          <w:rFonts w:asciiTheme="minorEastAsia" w:hAnsiTheme="minorEastAsia" w:eastAsiaTheme="minorEastAsia" w:cstheme="minorEastAsia"/>
          <w:b/>
          <w:sz w:val="24"/>
          <w:szCs w:val="24"/>
        </w:rPr>
        <w:t>21</w:t>
      </w:r>
      <w:r>
        <w:rPr>
          <w:rFonts w:hint="eastAsia" w:asciiTheme="minorEastAsia" w:hAnsiTheme="minorEastAsia" w:eastAsiaTheme="minorEastAsia" w:cstheme="minorEastAsia"/>
          <w:sz w:val="24"/>
          <w:szCs w:val="24"/>
        </w:rPr>
        <w:t>　应采用乔-灌-草-藤本复层混交模式，构建物种丰富、结构稳定的近自然植物群落，为动物提供食物来源与隐蔽场所。</w:t>
      </w:r>
    </w:p>
    <w:p w14:paraId="62734A99">
      <w:pPr>
        <w:widowControl/>
        <w:adjustRightInd w:val="0"/>
        <w:snapToGrid w:val="0"/>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9.2.</w:t>
      </w:r>
      <w:r>
        <w:rPr>
          <w:rFonts w:asciiTheme="minorEastAsia" w:hAnsiTheme="minorEastAsia" w:eastAsiaTheme="minorEastAsia" w:cstheme="minorEastAsia"/>
          <w:b/>
          <w:sz w:val="24"/>
          <w:szCs w:val="24"/>
        </w:rPr>
        <w:t>22</w:t>
      </w:r>
      <w:r>
        <w:rPr>
          <w:rFonts w:hint="eastAsia" w:asciiTheme="minorEastAsia" w:hAnsiTheme="minorEastAsia" w:eastAsiaTheme="minorEastAsia" w:cstheme="minorEastAsia"/>
          <w:sz w:val="24"/>
          <w:szCs w:val="24"/>
        </w:rPr>
        <w:t>　应在绿地中营造生物友好型设施，为小型动物、昆虫提供生存与繁殖环境。</w:t>
      </w:r>
    </w:p>
    <w:p w14:paraId="7C01C31E">
      <w:pPr>
        <w:widowControl/>
        <w:adjustRightInd w:val="0"/>
        <w:snapToGrid w:val="0"/>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9.2.</w:t>
      </w:r>
      <w:r>
        <w:rPr>
          <w:rFonts w:asciiTheme="minorEastAsia" w:hAnsiTheme="minorEastAsia" w:eastAsiaTheme="minorEastAsia" w:cstheme="minorEastAsia"/>
          <w:b/>
          <w:sz w:val="24"/>
          <w:szCs w:val="24"/>
        </w:rPr>
        <w:t>23</w:t>
      </w:r>
      <w:r>
        <w:rPr>
          <w:rFonts w:hint="eastAsia" w:asciiTheme="minorEastAsia" w:hAnsiTheme="minorEastAsia" w:eastAsiaTheme="minorEastAsia" w:cstheme="minorEastAsia"/>
          <w:sz w:val="24"/>
          <w:szCs w:val="24"/>
        </w:rPr>
        <w:t>　应利用竖向设计营造不同深度的水体空间，满足植物及相关动物的生存需求。</w:t>
      </w:r>
    </w:p>
    <w:p w14:paraId="6AA7598C">
      <w:pPr>
        <w:widowControl/>
        <w:adjustRightInd w:val="0"/>
        <w:snapToGrid w:val="0"/>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9.2.</w:t>
      </w:r>
      <w:r>
        <w:rPr>
          <w:rFonts w:asciiTheme="minorEastAsia" w:hAnsiTheme="minorEastAsia" w:eastAsiaTheme="minorEastAsia" w:cstheme="minorEastAsia"/>
          <w:b/>
          <w:sz w:val="24"/>
          <w:szCs w:val="24"/>
        </w:rPr>
        <w:t>24</w:t>
      </w:r>
      <w:r>
        <w:rPr>
          <w:rFonts w:hint="eastAsia" w:asciiTheme="minorEastAsia" w:hAnsiTheme="minorEastAsia" w:eastAsiaTheme="minorEastAsia" w:cstheme="minorEastAsia"/>
          <w:sz w:val="24"/>
          <w:szCs w:val="24"/>
        </w:rPr>
        <w:t>　边坡防护应优先选用生态固坡方式；绿地边界应优先采用自然式种植过渡；土壤改良应优先采用有机肥、腐殖质添加等方式。</w:t>
      </w:r>
    </w:p>
    <w:p w14:paraId="31232F3F">
      <w:pPr>
        <w:widowControl/>
        <w:spacing w:line="360" w:lineRule="auto"/>
        <w:jc w:val="center"/>
        <w:outlineLvl w:val="2"/>
        <w:rPr>
          <w:rFonts w:ascii="仿宋" w:hAnsi="仿宋" w:eastAsia="仿宋" w:cs="仿宋"/>
          <w:b/>
          <w:bCs/>
          <w:sz w:val="28"/>
          <w:szCs w:val="28"/>
        </w:rPr>
      </w:pPr>
      <w:r>
        <w:rPr>
          <w:rFonts w:hint="eastAsia" w:ascii="仿宋" w:hAnsi="仿宋" w:eastAsia="仿宋" w:cs="仿宋"/>
          <w:b/>
          <w:bCs/>
          <w:sz w:val="28"/>
          <w:szCs w:val="28"/>
        </w:rPr>
        <w:t>VI　减碳增汇功能</w:t>
      </w:r>
    </w:p>
    <w:p w14:paraId="2DD84021">
      <w:pPr>
        <w:widowControl/>
        <w:adjustRightInd w:val="0"/>
        <w:snapToGrid w:val="0"/>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9.2.</w:t>
      </w:r>
      <w:r>
        <w:rPr>
          <w:rFonts w:asciiTheme="minorEastAsia" w:hAnsiTheme="minorEastAsia" w:eastAsiaTheme="minorEastAsia" w:cstheme="minorEastAsia"/>
          <w:b/>
          <w:sz w:val="24"/>
          <w:szCs w:val="24"/>
        </w:rPr>
        <w:t>25</w:t>
      </w:r>
      <w:r>
        <w:rPr>
          <w:rFonts w:hint="eastAsia" w:asciiTheme="minorEastAsia" w:hAnsiTheme="minorEastAsia" w:eastAsiaTheme="minorEastAsia" w:cstheme="minorEastAsia"/>
          <w:sz w:val="24"/>
          <w:szCs w:val="24"/>
        </w:rPr>
        <w:t>　绿地设计应构建高固碳能力的植物群落，应优先选用乡土阔叶乔木、深根性植物及固氮植物，提高单位面积绿地的碳汇量。</w:t>
      </w:r>
    </w:p>
    <w:p w14:paraId="5C210D53">
      <w:pPr>
        <w:widowControl/>
        <w:adjustRightInd w:val="0"/>
        <w:snapToGrid w:val="0"/>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9.2.</w:t>
      </w:r>
      <w:r>
        <w:rPr>
          <w:rFonts w:asciiTheme="minorEastAsia" w:hAnsiTheme="minorEastAsia" w:eastAsiaTheme="minorEastAsia" w:cstheme="minorEastAsia"/>
          <w:b/>
          <w:sz w:val="24"/>
          <w:szCs w:val="24"/>
        </w:rPr>
        <w:t>26</w:t>
      </w:r>
      <w:r>
        <w:rPr>
          <w:rFonts w:hint="eastAsia" w:asciiTheme="minorEastAsia" w:hAnsiTheme="minorEastAsia" w:eastAsiaTheme="minorEastAsia" w:cstheme="minorEastAsia"/>
          <w:sz w:val="24"/>
          <w:szCs w:val="24"/>
        </w:rPr>
        <w:t>　绿地设计应优先采用低碳节能型材料与设施，铺装材料应优先选用透水砖、再生骨料等低碳再生材料；灌溉系统宜采用滴灌、微喷灌等节水技术；照明设施宜采用太阳能LED灯，合理设置照明分区与感应控制。</w:t>
      </w:r>
    </w:p>
    <w:p w14:paraId="7B091319">
      <w:pPr>
        <w:widowControl/>
        <w:adjustRightInd w:val="0"/>
        <w:snapToGrid w:val="0"/>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9.2.</w:t>
      </w:r>
      <w:r>
        <w:rPr>
          <w:rFonts w:asciiTheme="minorEastAsia" w:hAnsiTheme="minorEastAsia" w:eastAsiaTheme="minorEastAsia" w:cstheme="minorEastAsia"/>
          <w:b/>
          <w:sz w:val="24"/>
          <w:szCs w:val="24"/>
        </w:rPr>
        <w:t>27</w:t>
      </w:r>
      <w:r>
        <w:rPr>
          <w:rFonts w:hint="eastAsia" w:asciiTheme="minorEastAsia" w:hAnsiTheme="minorEastAsia" w:eastAsiaTheme="minorEastAsia" w:cstheme="minorEastAsia"/>
          <w:sz w:val="24"/>
          <w:szCs w:val="24"/>
        </w:rPr>
        <w:t>　绿地设计应减少建筑垃圾外运与新材使用，应采用场地中经分类处理后的建筑垃圾，作为微地形营造、透水铺装基层的填料。</w:t>
      </w:r>
    </w:p>
    <w:p w14:paraId="262EA024">
      <w:pPr>
        <w:widowControl/>
        <w:adjustRightInd w:val="0"/>
        <w:snapToGrid w:val="0"/>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9.2.</w:t>
      </w:r>
      <w:r>
        <w:rPr>
          <w:rFonts w:asciiTheme="minorEastAsia" w:hAnsiTheme="minorEastAsia" w:eastAsiaTheme="minorEastAsia" w:cstheme="minorEastAsia"/>
          <w:b/>
          <w:sz w:val="24"/>
          <w:szCs w:val="24"/>
        </w:rPr>
        <w:t>28</w:t>
      </w:r>
      <w:r>
        <w:rPr>
          <w:rFonts w:hint="eastAsia" w:asciiTheme="minorEastAsia" w:hAnsiTheme="minorEastAsia" w:eastAsiaTheme="minorEastAsia" w:cstheme="minorEastAsia"/>
          <w:sz w:val="24"/>
          <w:szCs w:val="24"/>
        </w:rPr>
        <w:t>　土壤改良应优先添加场地自身产出的腐殖质等生物质材料，应减少客土使用。</w:t>
      </w:r>
    </w:p>
    <w:p w14:paraId="65C25ADE">
      <w:pPr>
        <w:widowControl/>
        <w:adjustRightInd w:val="0"/>
        <w:snapToGrid w:val="0"/>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9.2.</w:t>
      </w:r>
      <w:r>
        <w:rPr>
          <w:rFonts w:asciiTheme="minorEastAsia" w:hAnsiTheme="minorEastAsia" w:eastAsiaTheme="minorEastAsia" w:cstheme="minorEastAsia"/>
          <w:b/>
          <w:sz w:val="24"/>
          <w:szCs w:val="24"/>
        </w:rPr>
        <w:t>29</w:t>
      </w:r>
      <w:r>
        <w:rPr>
          <w:rFonts w:hint="eastAsia" w:asciiTheme="minorEastAsia" w:hAnsiTheme="minorEastAsia" w:eastAsiaTheme="minorEastAsia" w:cstheme="minorEastAsia"/>
          <w:b/>
          <w:sz w:val="24"/>
          <w:szCs w:val="24"/>
        </w:rPr>
        <w:t>　</w:t>
      </w:r>
      <w:r>
        <w:rPr>
          <w:rFonts w:hint="eastAsia" w:asciiTheme="minorEastAsia" w:hAnsiTheme="minorEastAsia" w:eastAsiaTheme="minorEastAsia" w:cstheme="minorEastAsia"/>
          <w:sz w:val="24"/>
          <w:szCs w:val="24"/>
        </w:rPr>
        <w:t>景观水体应优先采用生态驳岸设计，构建水生植物净化系统。</w:t>
      </w:r>
    </w:p>
    <w:p w14:paraId="6C24F606">
      <w:pPr>
        <w:pStyle w:val="40"/>
        <w:outlineLvl w:val="1"/>
        <w:rPr>
          <w:b w:val="0"/>
        </w:rPr>
      </w:pPr>
      <w:bookmarkStart w:id="133" w:name="_Toc20017"/>
      <w:bookmarkStart w:id="134" w:name="_Toc29849"/>
      <w:r>
        <w:rPr>
          <w:rFonts w:hint="eastAsia"/>
          <w:b w:val="0"/>
        </w:rPr>
        <w:t>9.3　社会功能专项设计</w:t>
      </w:r>
      <w:bookmarkEnd w:id="133"/>
      <w:bookmarkEnd w:id="134"/>
    </w:p>
    <w:p w14:paraId="60FF3C4A">
      <w:pPr>
        <w:widowControl/>
        <w:spacing w:line="360" w:lineRule="auto"/>
        <w:jc w:val="center"/>
        <w:outlineLvl w:val="2"/>
        <w:rPr>
          <w:rFonts w:ascii="仿宋" w:hAnsi="仿宋" w:eastAsia="仿宋" w:cs="仿宋"/>
          <w:b/>
          <w:bCs/>
          <w:sz w:val="28"/>
          <w:szCs w:val="28"/>
        </w:rPr>
      </w:pPr>
      <w:bookmarkStart w:id="135" w:name="_Toc17597"/>
      <w:r>
        <w:rPr>
          <w:rFonts w:hint="eastAsia" w:ascii="仿宋" w:hAnsi="仿宋" w:eastAsia="仿宋" w:cs="仿宋"/>
          <w:b/>
          <w:bCs/>
          <w:sz w:val="28"/>
          <w:szCs w:val="28"/>
        </w:rPr>
        <w:t>I　一般规定</w:t>
      </w:r>
      <w:bookmarkEnd w:id="135"/>
    </w:p>
    <w:p w14:paraId="3AB8C351">
      <w:pPr>
        <w:widowControl/>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9.3.1</w:t>
      </w:r>
      <w:r>
        <w:rPr>
          <w:rFonts w:hint="eastAsia" w:asciiTheme="minorEastAsia" w:hAnsiTheme="minorEastAsia" w:eastAsiaTheme="minorEastAsia" w:cstheme="minorEastAsia"/>
          <w:sz w:val="24"/>
          <w:szCs w:val="24"/>
        </w:rPr>
        <w:t>　城市绿地的社会功能指标应满足全龄友好、开放共享、健康疗愈、防灾避险等要求。</w:t>
      </w:r>
    </w:p>
    <w:p w14:paraId="5D29CB7F">
      <w:pPr>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9.3.2</w:t>
      </w:r>
      <w:r>
        <w:rPr>
          <w:rFonts w:hint="eastAsia" w:asciiTheme="minorEastAsia" w:hAnsiTheme="minorEastAsia" w:eastAsiaTheme="minorEastAsia" w:cstheme="minorEastAsia"/>
          <w:sz w:val="24"/>
          <w:szCs w:val="24"/>
        </w:rPr>
        <w:t>　各类城市绿地社会功能控制要求应符合表9.3.2的规定。</w:t>
      </w:r>
    </w:p>
    <w:p w14:paraId="77CD737B">
      <w:pPr>
        <w:widowControl/>
        <w:jc w:val="left"/>
        <w:rPr>
          <w:rFonts w:asciiTheme="minorEastAsia" w:hAnsiTheme="minorEastAsia" w:eastAsiaTheme="minorEastAsia" w:cstheme="minorEastAsia"/>
          <w:b/>
          <w:bCs/>
          <w:szCs w:val="21"/>
        </w:rPr>
      </w:pPr>
      <w:r>
        <w:rPr>
          <w:rFonts w:asciiTheme="minorEastAsia" w:hAnsiTheme="minorEastAsia" w:eastAsiaTheme="minorEastAsia" w:cstheme="minorEastAsia"/>
          <w:b/>
          <w:bCs/>
          <w:szCs w:val="21"/>
        </w:rPr>
        <w:br w:type="page"/>
      </w:r>
    </w:p>
    <w:p w14:paraId="2770B582">
      <w:pPr>
        <w:spacing w:line="360" w:lineRule="auto"/>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表9.3.2</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b/>
          <w:bCs/>
          <w:szCs w:val="21"/>
        </w:rPr>
        <w:t>城市绿地社会功能控制要求</w:t>
      </w:r>
    </w:p>
    <w:tbl>
      <w:tblPr>
        <w:tblStyle w:val="23"/>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7"/>
        <w:gridCol w:w="1945"/>
        <w:gridCol w:w="1520"/>
        <w:gridCol w:w="1521"/>
        <w:gridCol w:w="1521"/>
        <w:gridCol w:w="1521"/>
      </w:tblGrid>
      <w:tr w14:paraId="7B425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3" w:type="dxa"/>
            <w:gridSpan w:val="2"/>
            <w:vAlign w:val="center"/>
          </w:tcPr>
          <w:p w14:paraId="29F0050F">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绿地类别</w:t>
            </w:r>
          </w:p>
        </w:tc>
        <w:tc>
          <w:tcPr>
            <w:tcW w:w="1421" w:type="dxa"/>
            <w:vAlign w:val="center"/>
          </w:tcPr>
          <w:p w14:paraId="77FED934">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全龄友好</w:t>
            </w:r>
          </w:p>
        </w:tc>
        <w:tc>
          <w:tcPr>
            <w:tcW w:w="1422" w:type="dxa"/>
            <w:vAlign w:val="center"/>
          </w:tcPr>
          <w:p w14:paraId="06DF880B">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开放共享</w:t>
            </w:r>
          </w:p>
        </w:tc>
        <w:tc>
          <w:tcPr>
            <w:tcW w:w="1422" w:type="dxa"/>
            <w:vAlign w:val="center"/>
          </w:tcPr>
          <w:p w14:paraId="4872D40E">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园艺疗愈</w:t>
            </w:r>
          </w:p>
        </w:tc>
        <w:tc>
          <w:tcPr>
            <w:tcW w:w="1422" w:type="dxa"/>
            <w:vAlign w:val="center"/>
          </w:tcPr>
          <w:p w14:paraId="783DF08E">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防灾避险</w:t>
            </w:r>
          </w:p>
        </w:tc>
      </w:tr>
      <w:tr w14:paraId="0F89E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 w:type="dxa"/>
            <w:vMerge w:val="restart"/>
            <w:vAlign w:val="center"/>
          </w:tcPr>
          <w:p w14:paraId="3C3A3D53">
            <w:p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公园绿地</w:t>
            </w:r>
          </w:p>
        </w:tc>
        <w:tc>
          <w:tcPr>
            <w:tcW w:w="1818" w:type="dxa"/>
            <w:vAlign w:val="center"/>
          </w:tcPr>
          <w:p w14:paraId="214F74F1">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综合公园</w:t>
            </w:r>
          </w:p>
        </w:tc>
        <w:tc>
          <w:tcPr>
            <w:tcW w:w="1421" w:type="dxa"/>
            <w:vAlign w:val="center"/>
          </w:tcPr>
          <w:p w14:paraId="00460896">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19C41D77">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13AB0FD6">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248B5007">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2D209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 w:type="dxa"/>
            <w:vMerge w:val="continue"/>
            <w:vAlign w:val="center"/>
          </w:tcPr>
          <w:p w14:paraId="3952F79F">
            <w:pPr>
              <w:rPr>
                <w:rFonts w:asciiTheme="minorEastAsia" w:hAnsiTheme="minorEastAsia" w:eastAsiaTheme="minorEastAsia" w:cstheme="minorEastAsia"/>
                <w:szCs w:val="21"/>
              </w:rPr>
            </w:pPr>
          </w:p>
        </w:tc>
        <w:tc>
          <w:tcPr>
            <w:tcW w:w="1818" w:type="dxa"/>
            <w:vAlign w:val="center"/>
          </w:tcPr>
          <w:p w14:paraId="3EF25917">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社区公园</w:t>
            </w:r>
          </w:p>
        </w:tc>
        <w:tc>
          <w:tcPr>
            <w:tcW w:w="1421" w:type="dxa"/>
            <w:vAlign w:val="center"/>
          </w:tcPr>
          <w:p w14:paraId="7250A863">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1B58C06C">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36DABCC9">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008944CA">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6D7FC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 w:type="dxa"/>
            <w:vMerge w:val="continue"/>
            <w:vAlign w:val="center"/>
          </w:tcPr>
          <w:p w14:paraId="574F9FB8">
            <w:pPr>
              <w:rPr>
                <w:rFonts w:asciiTheme="minorEastAsia" w:hAnsiTheme="minorEastAsia" w:eastAsiaTheme="minorEastAsia" w:cstheme="minorEastAsia"/>
                <w:szCs w:val="21"/>
              </w:rPr>
            </w:pPr>
          </w:p>
        </w:tc>
        <w:tc>
          <w:tcPr>
            <w:tcW w:w="1818" w:type="dxa"/>
            <w:vAlign w:val="center"/>
          </w:tcPr>
          <w:p w14:paraId="24AF2F33">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专类公园</w:t>
            </w:r>
          </w:p>
        </w:tc>
        <w:tc>
          <w:tcPr>
            <w:tcW w:w="1421" w:type="dxa"/>
            <w:vAlign w:val="center"/>
          </w:tcPr>
          <w:p w14:paraId="6FB26F1F">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2B5DEFEC">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4DCA0DB8">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5B7D35A4">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3079D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445" w:type="dxa"/>
            <w:vMerge w:val="continue"/>
            <w:vAlign w:val="center"/>
          </w:tcPr>
          <w:p w14:paraId="591070FC">
            <w:pPr>
              <w:rPr>
                <w:rFonts w:asciiTheme="minorEastAsia" w:hAnsiTheme="minorEastAsia" w:eastAsiaTheme="minorEastAsia" w:cstheme="minorEastAsia"/>
                <w:szCs w:val="21"/>
              </w:rPr>
            </w:pPr>
          </w:p>
        </w:tc>
        <w:tc>
          <w:tcPr>
            <w:tcW w:w="1818" w:type="dxa"/>
            <w:vAlign w:val="center"/>
          </w:tcPr>
          <w:p w14:paraId="66CB6B5B">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游园</w:t>
            </w:r>
          </w:p>
        </w:tc>
        <w:tc>
          <w:tcPr>
            <w:tcW w:w="1421" w:type="dxa"/>
            <w:vAlign w:val="center"/>
          </w:tcPr>
          <w:p w14:paraId="24E26CE9">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1D78DADF">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407167A4">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59A1D51E">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5DA9A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 w:type="dxa"/>
            <w:vMerge w:val="restart"/>
            <w:vAlign w:val="center"/>
          </w:tcPr>
          <w:p w14:paraId="4D6944B2">
            <w:p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防护绿地</w:t>
            </w:r>
          </w:p>
        </w:tc>
        <w:tc>
          <w:tcPr>
            <w:tcW w:w="1818" w:type="dxa"/>
            <w:vAlign w:val="center"/>
          </w:tcPr>
          <w:p w14:paraId="5A7D44C4">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卫生隔离</w:t>
            </w:r>
          </w:p>
        </w:tc>
        <w:tc>
          <w:tcPr>
            <w:tcW w:w="1421" w:type="dxa"/>
            <w:vAlign w:val="center"/>
          </w:tcPr>
          <w:p w14:paraId="12C406D2">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0546642F">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787E13E5">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17CE3A92">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220A5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 w:type="dxa"/>
            <w:vMerge w:val="continue"/>
            <w:vAlign w:val="center"/>
          </w:tcPr>
          <w:p w14:paraId="50B66401">
            <w:pPr>
              <w:rPr>
                <w:rFonts w:asciiTheme="minorEastAsia" w:hAnsiTheme="minorEastAsia" w:eastAsiaTheme="minorEastAsia" w:cstheme="minorEastAsia"/>
                <w:szCs w:val="21"/>
              </w:rPr>
            </w:pPr>
          </w:p>
        </w:tc>
        <w:tc>
          <w:tcPr>
            <w:tcW w:w="1818" w:type="dxa"/>
            <w:vAlign w:val="center"/>
          </w:tcPr>
          <w:p w14:paraId="00275375">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道路及铁路</w:t>
            </w:r>
          </w:p>
        </w:tc>
        <w:tc>
          <w:tcPr>
            <w:tcW w:w="1421" w:type="dxa"/>
            <w:vAlign w:val="center"/>
          </w:tcPr>
          <w:p w14:paraId="7FB961DA">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05EBEACD">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469B6D0D">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53B35680">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0996F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 w:type="dxa"/>
            <w:vMerge w:val="continue"/>
            <w:vAlign w:val="center"/>
          </w:tcPr>
          <w:p w14:paraId="00D176EB">
            <w:pPr>
              <w:rPr>
                <w:rFonts w:asciiTheme="minorEastAsia" w:hAnsiTheme="minorEastAsia" w:eastAsiaTheme="minorEastAsia" w:cstheme="minorEastAsia"/>
                <w:szCs w:val="21"/>
              </w:rPr>
            </w:pPr>
          </w:p>
        </w:tc>
        <w:tc>
          <w:tcPr>
            <w:tcW w:w="1818" w:type="dxa"/>
            <w:vAlign w:val="center"/>
          </w:tcPr>
          <w:p w14:paraId="7ECBBEA7">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高压走廊</w:t>
            </w:r>
          </w:p>
        </w:tc>
        <w:tc>
          <w:tcPr>
            <w:tcW w:w="1421" w:type="dxa"/>
            <w:vAlign w:val="center"/>
          </w:tcPr>
          <w:p w14:paraId="695E1017">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589C3EA9">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7D1CC058">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530BDFD6">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245F1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 w:type="dxa"/>
            <w:vMerge w:val="continue"/>
            <w:vAlign w:val="center"/>
          </w:tcPr>
          <w:p w14:paraId="7F654F20">
            <w:pPr>
              <w:rPr>
                <w:rFonts w:asciiTheme="minorEastAsia" w:hAnsiTheme="minorEastAsia" w:eastAsiaTheme="minorEastAsia" w:cstheme="minorEastAsia"/>
                <w:szCs w:val="21"/>
              </w:rPr>
            </w:pPr>
          </w:p>
        </w:tc>
        <w:tc>
          <w:tcPr>
            <w:tcW w:w="1818" w:type="dxa"/>
            <w:vAlign w:val="center"/>
          </w:tcPr>
          <w:p w14:paraId="6C996A25">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公用设施</w:t>
            </w:r>
          </w:p>
        </w:tc>
        <w:tc>
          <w:tcPr>
            <w:tcW w:w="1421" w:type="dxa"/>
            <w:vAlign w:val="center"/>
          </w:tcPr>
          <w:p w14:paraId="548A0075">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4D405B73">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3901278A">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7C56AE06">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6FE55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445" w:type="dxa"/>
            <w:vMerge w:val="restart"/>
            <w:vAlign w:val="center"/>
          </w:tcPr>
          <w:p w14:paraId="6EA89A97">
            <w:p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附属绿地</w:t>
            </w:r>
          </w:p>
        </w:tc>
        <w:tc>
          <w:tcPr>
            <w:tcW w:w="1818" w:type="dxa"/>
            <w:vAlign w:val="center"/>
          </w:tcPr>
          <w:p w14:paraId="553F9514">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居住</w:t>
            </w:r>
          </w:p>
        </w:tc>
        <w:tc>
          <w:tcPr>
            <w:tcW w:w="1421" w:type="dxa"/>
            <w:vAlign w:val="center"/>
          </w:tcPr>
          <w:p w14:paraId="034714C8">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58F50170">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4A451C27">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5855D550">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1A5D3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 w:type="dxa"/>
            <w:vMerge w:val="continue"/>
            <w:vAlign w:val="center"/>
          </w:tcPr>
          <w:p w14:paraId="4BBD5B20">
            <w:pPr>
              <w:rPr>
                <w:rFonts w:asciiTheme="minorEastAsia" w:hAnsiTheme="minorEastAsia" w:eastAsiaTheme="minorEastAsia" w:cstheme="minorEastAsia"/>
                <w:szCs w:val="21"/>
              </w:rPr>
            </w:pPr>
          </w:p>
        </w:tc>
        <w:tc>
          <w:tcPr>
            <w:tcW w:w="1818" w:type="dxa"/>
            <w:vAlign w:val="center"/>
          </w:tcPr>
          <w:p w14:paraId="3A5DCA32">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公共管理与公服</w:t>
            </w:r>
          </w:p>
        </w:tc>
        <w:tc>
          <w:tcPr>
            <w:tcW w:w="1421" w:type="dxa"/>
            <w:vAlign w:val="center"/>
          </w:tcPr>
          <w:p w14:paraId="3B22A566">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3B300D9A">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3D8694BA">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6F047DDB">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6C5C9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 w:type="dxa"/>
            <w:vMerge w:val="continue"/>
            <w:vAlign w:val="center"/>
          </w:tcPr>
          <w:p w14:paraId="04EF04AA">
            <w:pPr>
              <w:rPr>
                <w:rFonts w:asciiTheme="minorEastAsia" w:hAnsiTheme="minorEastAsia" w:eastAsiaTheme="minorEastAsia" w:cstheme="minorEastAsia"/>
                <w:szCs w:val="21"/>
              </w:rPr>
            </w:pPr>
          </w:p>
        </w:tc>
        <w:tc>
          <w:tcPr>
            <w:tcW w:w="1818" w:type="dxa"/>
            <w:vAlign w:val="center"/>
          </w:tcPr>
          <w:p w14:paraId="609297DE">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商业服务</w:t>
            </w:r>
          </w:p>
        </w:tc>
        <w:tc>
          <w:tcPr>
            <w:tcW w:w="1421" w:type="dxa"/>
            <w:vAlign w:val="center"/>
          </w:tcPr>
          <w:p w14:paraId="72D8FCA2">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0960BCA7">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5F32186D">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1FDFEB8F">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27073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 w:type="dxa"/>
            <w:vMerge w:val="continue"/>
            <w:vAlign w:val="center"/>
          </w:tcPr>
          <w:p w14:paraId="382FB3CC">
            <w:pPr>
              <w:rPr>
                <w:rFonts w:asciiTheme="minorEastAsia" w:hAnsiTheme="minorEastAsia" w:eastAsiaTheme="minorEastAsia" w:cstheme="minorEastAsia"/>
                <w:szCs w:val="21"/>
              </w:rPr>
            </w:pPr>
          </w:p>
        </w:tc>
        <w:tc>
          <w:tcPr>
            <w:tcW w:w="1818" w:type="dxa"/>
            <w:vAlign w:val="center"/>
          </w:tcPr>
          <w:p w14:paraId="19117BF1">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工业</w:t>
            </w:r>
          </w:p>
        </w:tc>
        <w:tc>
          <w:tcPr>
            <w:tcW w:w="1421" w:type="dxa"/>
            <w:vAlign w:val="center"/>
          </w:tcPr>
          <w:p w14:paraId="4ECC966E">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19B3D78D">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2360EAAE">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5817E05D">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0E302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 w:type="dxa"/>
            <w:vMerge w:val="continue"/>
            <w:vAlign w:val="center"/>
          </w:tcPr>
          <w:p w14:paraId="59E5C482">
            <w:pPr>
              <w:rPr>
                <w:rFonts w:asciiTheme="minorEastAsia" w:hAnsiTheme="minorEastAsia" w:eastAsiaTheme="minorEastAsia" w:cstheme="minorEastAsia"/>
                <w:szCs w:val="21"/>
              </w:rPr>
            </w:pPr>
          </w:p>
        </w:tc>
        <w:tc>
          <w:tcPr>
            <w:tcW w:w="1818" w:type="dxa"/>
            <w:vAlign w:val="center"/>
          </w:tcPr>
          <w:p w14:paraId="5EB0A71C">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仓储</w:t>
            </w:r>
          </w:p>
        </w:tc>
        <w:tc>
          <w:tcPr>
            <w:tcW w:w="1421" w:type="dxa"/>
            <w:vAlign w:val="center"/>
          </w:tcPr>
          <w:p w14:paraId="3A07CEFD">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589C9660">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0A41D23F">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1A2B678C">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652D3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 w:type="dxa"/>
            <w:vMerge w:val="continue"/>
            <w:vAlign w:val="center"/>
          </w:tcPr>
          <w:p w14:paraId="4E24450B">
            <w:pPr>
              <w:rPr>
                <w:rFonts w:asciiTheme="minorEastAsia" w:hAnsiTheme="minorEastAsia" w:eastAsiaTheme="minorEastAsia" w:cstheme="minorEastAsia"/>
                <w:szCs w:val="21"/>
              </w:rPr>
            </w:pPr>
          </w:p>
        </w:tc>
        <w:tc>
          <w:tcPr>
            <w:tcW w:w="1818" w:type="dxa"/>
            <w:vAlign w:val="center"/>
          </w:tcPr>
          <w:p w14:paraId="6079A49D">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道路交通</w:t>
            </w:r>
          </w:p>
        </w:tc>
        <w:tc>
          <w:tcPr>
            <w:tcW w:w="1421" w:type="dxa"/>
            <w:vAlign w:val="center"/>
          </w:tcPr>
          <w:p w14:paraId="35AD1146">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4B7C7608">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00C8F550">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3877C0D3">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45CC3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 w:type="dxa"/>
            <w:vMerge w:val="continue"/>
            <w:vAlign w:val="center"/>
          </w:tcPr>
          <w:p w14:paraId="11F44163">
            <w:pPr>
              <w:rPr>
                <w:rFonts w:asciiTheme="minorEastAsia" w:hAnsiTheme="minorEastAsia" w:eastAsiaTheme="minorEastAsia" w:cstheme="minorEastAsia"/>
                <w:szCs w:val="21"/>
              </w:rPr>
            </w:pPr>
          </w:p>
        </w:tc>
        <w:tc>
          <w:tcPr>
            <w:tcW w:w="1818" w:type="dxa"/>
            <w:vAlign w:val="center"/>
          </w:tcPr>
          <w:p w14:paraId="627D38DF">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公共设施</w:t>
            </w:r>
          </w:p>
        </w:tc>
        <w:tc>
          <w:tcPr>
            <w:tcW w:w="1421" w:type="dxa"/>
            <w:vAlign w:val="center"/>
          </w:tcPr>
          <w:p w14:paraId="78FBAEE8">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6A71E9B3">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2F1F55C4">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6029FC98">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48DD3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3" w:type="dxa"/>
            <w:gridSpan w:val="2"/>
            <w:vAlign w:val="center"/>
          </w:tcPr>
          <w:p w14:paraId="47398F7B">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广场用地</w:t>
            </w:r>
          </w:p>
        </w:tc>
        <w:tc>
          <w:tcPr>
            <w:tcW w:w="1421" w:type="dxa"/>
            <w:vAlign w:val="center"/>
          </w:tcPr>
          <w:p w14:paraId="06423622">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35235EAA">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28F36EF5">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1DF4869F">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569B2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 w:type="dxa"/>
            <w:vMerge w:val="restart"/>
            <w:vAlign w:val="center"/>
          </w:tcPr>
          <w:p w14:paraId="6AB4A6CB">
            <w:p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区域绿地</w:t>
            </w:r>
          </w:p>
        </w:tc>
        <w:tc>
          <w:tcPr>
            <w:tcW w:w="1818" w:type="dxa"/>
            <w:vAlign w:val="center"/>
          </w:tcPr>
          <w:p w14:paraId="2F6FAD36">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风景游憩</w:t>
            </w:r>
          </w:p>
        </w:tc>
        <w:tc>
          <w:tcPr>
            <w:tcW w:w="1421" w:type="dxa"/>
            <w:vAlign w:val="center"/>
          </w:tcPr>
          <w:p w14:paraId="6A54C6EF">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5160A241">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033D72E1">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676CDE5A">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4CAA3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 w:type="dxa"/>
            <w:vMerge w:val="continue"/>
            <w:vAlign w:val="center"/>
          </w:tcPr>
          <w:p w14:paraId="18491DB9">
            <w:pPr>
              <w:rPr>
                <w:rFonts w:asciiTheme="minorEastAsia" w:hAnsiTheme="minorEastAsia" w:eastAsiaTheme="minorEastAsia" w:cstheme="minorEastAsia"/>
                <w:szCs w:val="21"/>
              </w:rPr>
            </w:pPr>
          </w:p>
        </w:tc>
        <w:tc>
          <w:tcPr>
            <w:tcW w:w="1818" w:type="dxa"/>
            <w:vAlign w:val="center"/>
          </w:tcPr>
          <w:p w14:paraId="48060EB5">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生态保育</w:t>
            </w:r>
          </w:p>
        </w:tc>
        <w:tc>
          <w:tcPr>
            <w:tcW w:w="1421" w:type="dxa"/>
            <w:vAlign w:val="center"/>
          </w:tcPr>
          <w:p w14:paraId="2B6F210E">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6153CDC2">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670963BD">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6E4448D0">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0112F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 w:type="dxa"/>
            <w:vMerge w:val="continue"/>
            <w:vAlign w:val="center"/>
          </w:tcPr>
          <w:p w14:paraId="3903E9ED">
            <w:pPr>
              <w:rPr>
                <w:rFonts w:asciiTheme="minorEastAsia" w:hAnsiTheme="minorEastAsia" w:eastAsiaTheme="minorEastAsia" w:cstheme="minorEastAsia"/>
                <w:szCs w:val="21"/>
              </w:rPr>
            </w:pPr>
          </w:p>
        </w:tc>
        <w:tc>
          <w:tcPr>
            <w:tcW w:w="1818" w:type="dxa"/>
            <w:vAlign w:val="center"/>
          </w:tcPr>
          <w:p w14:paraId="6631F213">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区域设施防护</w:t>
            </w:r>
          </w:p>
        </w:tc>
        <w:tc>
          <w:tcPr>
            <w:tcW w:w="1421" w:type="dxa"/>
            <w:vAlign w:val="center"/>
          </w:tcPr>
          <w:p w14:paraId="2520BFF6">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7470F9E9">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2D304CAB">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30F9FAB0">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7C6A1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 w:type="dxa"/>
            <w:vMerge w:val="continue"/>
            <w:vAlign w:val="center"/>
          </w:tcPr>
          <w:p w14:paraId="50D1D8D2">
            <w:pPr>
              <w:rPr>
                <w:rFonts w:asciiTheme="minorEastAsia" w:hAnsiTheme="minorEastAsia" w:eastAsiaTheme="minorEastAsia" w:cstheme="minorEastAsia"/>
                <w:szCs w:val="21"/>
              </w:rPr>
            </w:pPr>
          </w:p>
        </w:tc>
        <w:tc>
          <w:tcPr>
            <w:tcW w:w="1818" w:type="dxa"/>
            <w:vAlign w:val="center"/>
          </w:tcPr>
          <w:p w14:paraId="1D77CF9A">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生产</w:t>
            </w:r>
          </w:p>
        </w:tc>
        <w:tc>
          <w:tcPr>
            <w:tcW w:w="1421" w:type="dxa"/>
            <w:vAlign w:val="center"/>
          </w:tcPr>
          <w:p w14:paraId="186407B0">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50879C04">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7D791E51">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422" w:type="dxa"/>
            <w:vAlign w:val="center"/>
          </w:tcPr>
          <w:p w14:paraId="2A8CF39A">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bl>
    <w:p w14:paraId="0DF13D4E">
      <w:pPr>
        <w:widowControl/>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注：“</w:t>
      </w:r>
      <w:r>
        <w:rPr>
          <w:rFonts w:hint="eastAsia" w:asciiTheme="minorEastAsia" w:hAnsiTheme="minorEastAsia" w:eastAsiaTheme="minorEastAsia" w:cstheme="minorEastAsia"/>
          <w:bCs/>
          <w:szCs w:val="21"/>
          <w:lang w:bidi="ar"/>
        </w:rPr>
        <w:t>●</w:t>
      </w:r>
      <w:r>
        <w:rPr>
          <w:rFonts w:hint="eastAsia" w:asciiTheme="minorEastAsia" w:hAnsiTheme="minorEastAsia" w:eastAsiaTheme="minorEastAsia" w:cstheme="minorEastAsia"/>
          <w:szCs w:val="21"/>
        </w:rPr>
        <w:t>”表示应设；“</w:t>
      </w:r>
      <w:r>
        <w:rPr>
          <w:rFonts w:hint="eastAsia" w:asciiTheme="minorEastAsia" w:hAnsiTheme="minorEastAsia" w:eastAsiaTheme="minorEastAsia" w:cstheme="minorEastAsia"/>
          <w:bCs/>
          <w:szCs w:val="21"/>
          <w:lang w:bidi="ar"/>
        </w:rPr>
        <w:t>○</w:t>
      </w:r>
      <w:r>
        <w:rPr>
          <w:rFonts w:hint="eastAsia" w:asciiTheme="minorEastAsia" w:hAnsiTheme="minorEastAsia" w:eastAsiaTheme="minorEastAsia" w:cstheme="minorEastAsia"/>
          <w:szCs w:val="21"/>
        </w:rPr>
        <w:t>”表示宜设；“—”表示不需要设置。</w:t>
      </w:r>
    </w:p>
    <w:p w14:paraId="31EE5ED5">
      <w:pPr>
        <w:widowControl/>
        <w:jc w:val="left"/>
        <w:rPr>
          <w:rFonts w:asciiTheme="minorEastAsia" w:hAnsiTheme="minorEastAsia" w:eastAsiaTheme="minorEastAsia" w:cstheme="minorEastAsia"/>
          <w:sz w:val="24"/>
          <w:szCs w:val="24"/>
        </w:rPr>
      </w:pPr>
    </w:p>
    <w:p w14:paraId="7AC98205">
      <w:pPr>
        <w:widowControl/>
        <w:spacing w:line="360" w:lineRule="auto"/>
        <w:jc w:val="center"/>
        <w:outlineLvl w:val="2"/>
        <w:rPr>
          <w:rFonts w:ascii="仿宋" w:hAnsi="仿宋" w:eastAsia="仿宋" w:cs="仿宋"/>
          <w:b/>
          <w:bCs/>
          <w:sz w:val="28"/>
          <w:szCs w:val="28"/>
        </w:rPr>
      </w:pPr>
      <w:bookmarkStart w:id="136" w:name="_Toc28037"/>
      <w:r>
        <w:rPr>
          <w:rFonts w:hint="eastAsia" w:ascii="仿宋" w:hAnsi="仿宋" w:eastAsia="仿宋" w:cs="仿宋"/>
          <w:b/>
          <w:bCs/>
          <w:sz w:val="28"/>
          <w:szCs w:val="28"/>
        </w:rPr>
        <w:t>II　全龄友好</w:t>
      </w:r>
      <w:bookmarkEnd w:id="136"/>
    </w:p>
    <w:p w14:paraId="1F8DEBDC">
      <w:pPr>
        <w:widowControl/>
        <w:adjustRightInd w:val="0"/>
        <w:snapToGrid w:val="0"/>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9.3.</w:t>
      </w:r>
      <w:r>
        <w:rPr>
          <w:rFonts w:asciiTheme="minorEastAsia" w:hAnsiTheme="minorEastAsia" w:eastAsiaTheme="minorEastAsia" w:cstheme="minorEastAsia"/>
          <w:b/>
          <w:sz w:val="24"/>
          <w:szCs w:val="24"/>
        </w:rPr>
        <w:t>3</w:t>
      </w:r>
      <w:r>
        <w:rPr>
          <w:rFonts w:hint="eastAsia" w:asciiTheme="minorEastAsia" w:hAnsiTheme="minorEastAsia" w:eastAsiaTheme="minorEastAsia" w:cstheme="minorEastAsia"/>
          <w:b/>
          <w:sz w:val="24"/>
          <w:szCs w:val="24"/>
        </w:rPr>
        <w:t>　</w:t>
      </w:r>
      <w:r>
        <w:rPr>
          <w:rFonts w:hint="eastAsia" w:asciiTheme="minorEastAsia" w:hAnsiTheme="minorEastAsia" w:eastAsiaTheme="minorEastAsia" w:cstheme="minorEastAsia"/>
          <w:sz w:val="24"/>
          <w:szCs w:val="24"/>
        </w:rPr>
        <w:t>设计应确保各年龄段都能平等、便捷、有尊严地享受绿色福祉。</w:t>
      </w:r>
    </w:p>
    <w:p w14:paraId="229E1C15">
      <w:pPr>
        <w:widowControl/>
        <w:adjustRightInd w:val="0"/>
        <w:snapToGrid w:val="0"/>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9.3.</w:t>
      </w:r>
      <w:r>
        <w:rPr>
          <w:rFonts w:asciiTheme="minorEastAsia" w:hAnsiTheme="minorEastAsia" w:eastAsiaTheme="minorEastAsia" w:cstheme="minorEastAsia"/>
          <w:b/>
          <w:sz w:val="24"/>
          <w:szCs w:val="24"/>
        </w:rPr>
        <w:t>4</w:t>
      </w:r>
      <w:r>
        <w:rPr>
          <w:rFonts w:hint="eastAsia" w:asciiTheme="minorEastAsia" w:hAnsiTheme="minorEastAsia" w:eastAsiaTheme="minorEastAsia" w:cstheme="minorEastAsia"/>
          <w:b/>
          <w:sz w:val="24"/>
          <w:szCs w:val="24"/>
        </w:rPr>
        <w:t>　</w:t>
      </w:r>
      <w:r>
        <w:rPr>
          <w:rFonts w:hint="eastAsia" w:asciiTheme="minorEastAsia" w:hAnsiTheme="minorEastAsia" w:eastAsiaTheme="minorEastAsia" w:cstheme="minorEastAsia"/>
          <w:sz w:val="24"/>
          <w:szCs w:val="24"/>
        </w:rPr>
        <w:t>设计应结合用地条件、现状及周边需求，在满足全年龄段休闲需求的同时，优先满足老人、儿童、残障人士等群体的差异化需求。</w:t>
      </w:r>
    </w:p>
    <w:p w14:paraId="26A81E35">
      <w:pPr>
        <w:widowControl/>
        <w:adjustRightInd w:val="0"/>
        <w:snapToGrid w:val="0"/>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9.3.</w:t>
      </w:r>
      <w:r>
        <w:rPr>
          <w:rFonts w:asciiTheme="minorEastAsia" w:hAnsiTheme="minorEastAsia" w:eastAsiaTheme="minorEastAsia" w:cstheme="minorEastAsia"/>
          <w:b/>
          <w:sz w:val="24"/>
          <w:szCs w:val="24"/>
        </w:rPr>
        <w:t>5</w:t>
      </w:r>
      <w:r>
        <w:rPr>
          <w:rFonts w:hint="eastAsia" w:asciiTheme="minorEastAsia" w:hAnsiTheme="minorEastAsia" w:eastAsiaTheme="minorEastAsia" w:cstheme="minorEastAsia"/>
          <w:b/>
          <w:sz w:val="24"/>
          <w:szCs w:val="24"/>
        </w:rPr>
        <w:t>　</w:t>
      </w:r>
      <w:r>
        <w:rPr>
          <w:rFonts w:hint="eastAsia" w:asciiTheme="minorEastAsia" w:hAnsiTheme="minorEastAsia" w:eastAsiaTheme="minorEastAsia" w:cstheme="minorEastAsia"/>
          <w:sz w:val="24"/>
          <w:szCs w:val="24"/>
        </w:rPr>
        <w:t>设计应营造促进不同年龄段人群交往、共享的活动空间。</w:t>
      </w:r>
    </w:p>
    <w:p w14:paraId="1A9BA329">
      <w:pPr>
        <w:widowControl/>
        <w:spacing w:line="360" w:lineRule="auto"/>
        <w:jc w:val="center"/>
        <w:outlineLvl w:val="2"/>
        <w:rPr>
          <w:rFonts w:ascii="仿宋" w:hAnsi="仿宋" w:eastAsia="仿宋" w:cs="仿宋"/>
          <w:b/>
          <w:bCs/>
          <w:sz w:val="28"/>
          <w:szCs w:val="28"/>
        </w:rPr>
      </w:pPr>
      <w:bookmarkStart w:id="137" w:name="_Toc3480"/>
      <w:r>
        <w:rPr>
          <w:rFonts w:hint="eastAsia" w:ascii="仿宋" w:hAnsi="仿宋" w:eastAsia="仿宋" w:cs="仿宋"/>
          <w:b/>
          <w:bCs/>
          <w:sz w:val="28"/>
          <w:szCs w:val="28"/>
        </w:rPr>
        <w:t>III　开放共享</w:t>
      </w:r>
      <w:bookmarkEnd w:id="137"/>
    </w:p>
    <w:p w14:paraId="5FCF0F72">
      <w:pPr>
        <w:widowControl/>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9.3.</w:t>
      </w:r>
      <w:r>
        <w:rPr>
          <w:rFonts w:asciiTheme="minorEastAsia" w:hAnsiTheme="minorEastAsia" w:eastAsiaTheme="minorEastAsia" w:cstheme="minorEastAsia"/>
          <w:b/>
          <w:sz w:val="24"/>
          <w:szCs w:val="24"/>
        </w:rPr>
        <w:t>6</w:t>
      </w:r>
      <w:r>
        <w:rPr>
          <w:rFonts w:hint="eastAsia" w:asciiTheme="minorEastAsia" w:hAnsiTheme="minorEastAsia" w:eastAsiaTheme="minorEastAsia" w:cstheme="minorEastAsia"/>
          <w:b/>
          <w:sz w:val="24"/>
          <w:szCs w:val="24"/>
        </w:rPr>
        <w:t>　</w:t>
      </w:r>
      <w:r>
        <w:rPr>
          <w:rFonts w:hint="eastAsia" w:asciiTheme="minorEastAsia" w:hAnsiTheme="minorEastAsia" w:eastAsiaTheme="minorEastAsia" w:cstheme="minorEastAsia"/>
          <w:sz w:val="24"/>
          <w:szCs w:val="24"/>
        </w:rPr>
        <w:t>应设置智能监控系统、应急广播系统等安全设施，保障开放期间的公共安全。</w:t>
      </w:r>
    </w:p>
    <w:p w14:paraId="2590610E">
      <w:pPr>
        <w:widowControl/>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9.3.</w:t>
      </w:r>
      <w:r>
        <w:rPr>
          <w:rFonts w:asciiTheme="minorEastAsia" w:hAnsiTheme="minorEastAsia" w:eastAsiaTheme="minorEastAsia" w:cstheme="minorEastAsia"/>
          <w:b/>
          <w:sz w:val="24"/>
          <w:szCs w:val="24"/>
        </w:rPr>
        <w:t>7</w:t>
      </w:r>
      <w:r>
        <w:rPr>
          <w:rFonts w:hint="eastAsia" w:asciiTheme="minorEastAsia" w:hAnsiTheme="minorEastAsia" w:eastAsiaTheme="minorEastAsia" w:cstheme="minorEastAsia"/>
          <w:b/>
          <w:sz w:val="24"/>
          <w:szCs w:val="24"/>
        </w:rPr>
        <w:t>　</w:t>
      </w:r>
      <w:r>
        <w:rPr>
          <w:rFonts w:hint="eastAsia" w:asciiTheme="minorEastAsia" w:hAnsiTheme="minorEastAsia" w:eastAsiaTheme="minorEastAsia" w:cstheme="minorEastAsia"/>
          <w:sz w:val="24"/>
          <w:szCs w:val="24"/>
        </w:rPr>
        <w:t>应合理布局出入口、流线、服务设施，增强绿地的可达性、共享性和安全性。</w:t>
      </w:r>
    </w:p>
    <w:p w14:paraId="2EE82B5B">
      <w:pPr>
        <w:widowControl/>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9.3.</w:t>
      </w:r>
      <w:r>
        <w:rPr>
          <w:rFonts w:asciiTheme="minorEastAsia" w:hAnsiTheme="minorEastAsia" w:eastAsiaTheme="minorEastAsia" w:cstheme="minorEastAsia"/>
          <w:b/>
          <w:sz w:val="24"/>
          <w:szCs w:val="24"/>
        </w:rPr>
        <w:t>8</w:t>
      </w:r>
      <w:r>
        <w:rPr>
          <w:rFonts w:hint="eastAsia" w:asciiTheme="minorEastAsia" w:hAnsiTheme="minorEastAsia" w:eastAsiaTheme="minorEastAsia" w:cstheme="minorEastAsia"/>
          <w:b/>
          <w:sz w:val="24"/>
          <w:szCs w:val="24"/>
        </w:rPr>
        <w:t>　</w:t>
      </w:r>
      <w:r>
        <w:rPr>
          <w:rFonts w:hint="eastAsia" w:asciiTheme="minorEastAsia" w:hAnsiTheme="minorEastAsia" w:eastAsiaTheme="minorEastAsia" w:cstheme="minorEastAsia"/>
          <w:sz w:val="24"/>
          <w:szCs w:val="24"/>
        </w:rPr>
        <w:t>符合条件的绿地宜拆除封闭围墙，采用透景绿篱、花墙等软质边界，提升绿地的开放度和视觉通透性。</w:t>
      </w:r>
    </w:p>
    <w:p w14:paraId="1BD410A9">
      <w:pPr>
        <w:widowControl/>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9.3.</w:t>
      </w:r>
      <w:r>
        <w:rPr>
          <w:rFonts w:asciiTheme="minorEastAsia" w:hAnsiTheme="minorEastAsia" w:eastAsiaTheme="minorEastAsia" w:cstheme="minorEastAsia"/>
          <w:b/>
          <w:sz w:val="24"/>
          <w:szCs w:val="24"/>
        </w:rPr>
        <w:t>9</w:t>
      </w:r>
      <w:r>
        <w:rPr>
          <w:rFonts w:hint="eastAsia" w:asciiTheme="minorEastAsia" w:hAnsiTheme="minorEastAsia" w:eastAsiaTheme="minorEastAsia" w:cstheme="minorEastAsia"/>
          <w:b/>
          <w:sz w:val="24"/>
          <w:szCs w:val="24"/>
        </w:rPr>
        <w:t>　</w:t>
      </w:r>
      <w:r>
        <w:rPr>
          <w:rFonts w:hint="eastAsia" w:asciiTheme="minorEastAsia" w:hAnsiTheme="minorEastAsia" w:eastAsiaTheme="minorEastAsia" w:cstheme="minorEastAsia"/>
          <w:sz w:val="24"/>
          <w:szCs w:val="24"/>
        </w:rPr>
        <w:t>应配置、完善相关的便民服务设施，可设置户外市集、共享书屋等多元功能区。</w:t>
      </w:r>
    </w:p>
    <w:p w14:paraId="318FEBA0">
      <w:pPr>
        <w:widowControl/>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9.3.</w:t>
      </w:r>
      <w:r>
        <w:rPr>
          <w:rFonts w:asciiTheme="minorEastAsia" w:hAnsiTheme="minorEastAsia" w:eastAsiaTheme="minorEastAsia" w:cstheme="minorEastAsia"/>
          <w:b/>
          <w:sz w:val="24"/>
          <w:szCs w:val="24"/>
        </w:rPr>
        <w:t>10</w:t>
      </w:r>
      <w:r>
        <w:rPr>
          <w:rFonts w:hint="eastAsia" w:asciiTheme="minorEastAsia" w:hAnsiTheme="minorEastAsia" w:eastAsiaTheme="minorEastAsia" w:cstheme="minorEastAsia"/>
          <w:sz w:val="24"/>
          <w:szCs w:val="24"/>
        </w:rPr>
        <w:t>　单位、高校、社区等附属绿地的开放共享设计应符合下列规定：</w:t>
      </w:r>
    </w:p>
    <w:p w14:paraId="794F36DB">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w:t>
      </w:r>
      <w:r>
        <w:rPr>
          <w:rFonts w:hint="eastAsia" w:asciiTheme="minorEastAsia" w:hAnsiTheme="minorEastAsia" w:eastAsiaTheme="minorEastAsia" w:cstheme="minorEastAsia"/>
          <w:sz w:val="24"/>
          <w:szCs w:val="24"/>
        </w:rPr>
        <w:t>　应明确开放共享的空间范围，宜优先开放非核心办公、教学、居住区域的绿地；</w:t>
      </w:r>
    </w:p>
    <w:p w14:paraId="6EF878AD">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asciiTheme="minorEastAsia" w:hAnsiTheme="minorEastAsia" w:eastAsiaTheme="minorEastAsia" w:cstheme="minorEastAsia"/>
          <w:b/>
          <w:sz w:val="24"/>
          <w:szCs w:val="24"/>
        </w:rPr>
        <w:t>2</w:t>
      </w:r>
      <w:r>
        <w:rPr>
          <w:rFonts w:hint="eastAsia" w:asciiTheme="minorEastAsia" w:hAnsiTheme="minorEastAsia" w:eastAsiaTheme="minorEastAsia" w:cstheme="minorEastAsia"/>
          <w:sz w:val="24"/>
          <w:szCs w:val="24"/>
        </w:rPr>
        <w:t>　可采用分时分区开放模式，通过智能门禁系统实现工作日白天、节假日全时段开放；</w:t>
      </w:r>
    </w:p>
    <w:p w14:paraId="4D3A6E45">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3</w:t>
      </w:r>
      <w:r>
        <w:rPr>
          <w:rFonts w:hint="eastAsia" w:asciiTheme="minorEastAsia" w:hAnsiTheme="minorEastAsia" w:eastAsiaTheme="minorEastAsia" w:cstheme="minorEastAsia"/>
          <w:sz w:val="24"/>
          <w:szCs w:val="24"/>
        </w:rPr>
        <w:t>　应设置独立的市民出入口与流线，避免与内部流线交叉干扰。</w:t>
      </w:r>
    </w:p>
    <w:p w14:paraId="55A53CC9">
      <w:pPr>
        <w:widowControl/>
        <w:spacing w:line="360" w:lineRule="auto"/>
        <w:jc w:val="center"/>
        <w:outlineLvl w:val="2"/>
        <w:rPr>
          <w:rFonts w:ascii="仿宋" w:hAnsi="仿宋" w:eastAsia="仿宋" w:cs="仿宋"/>
          <w:b/>
          <w:bCs/>
          <w:sz w:val="28"/>
          <w:szCs w:val="28"/>
        </w:rPr>
      </w:pPr>
      <w:r>
        <w:rPr>
          <w:rFonts w:hint="eastAsia" w:ascii="仿宋" w:hAnsi="仿宋" w:eastAsia="仿宋" w:cs="仿宋"/>
          <w:b/>
          <w:bCs/>
          <w:sz w:val="28"/>
          <w:szCs w:val="28"/>
        </w:rPr>
        <w:t>IV　健康疗愈</w:t>
      </w:r>
    </w:p>
    <w:p w14:paraId="3F19BE31">
      <w:pPr>
        <w:widowControl/>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9.3.</w:t>
      </w:r>
      <w:r>
        <w:rPr>
          <w:rFonts w:asciiTheme="minorEastAsia" w:hAnsiTheme="minorEastAsia" w:eastAsiaTheme="minorEastAsia" w:cstheme="minorEastAsia"/>
          <w:b/>
          <w:sz w:val="24"/>
          <w:szCs w:val="24"/>
        </w:rPr>
        <w:t>11</w:t>
      </w:r>
      <w:r>
        <w:rPr>
          <w:rFonts w:hint="eastAsia" w:asciiTheme="minorEastAsia" w:hAnsiTheme="minorEastAsia" w:eastAsiaTheme="minorEastAsia" w:cstheme="minorEastAsia"/>
          <w:b/>
          <w:sz w:val="24"/>
          <w:szCs w:val="24"/>
        </w:rPr>
        <w:t>　</w:t>
      </w:r>
      <w:r>
        <w:rPr>
          <w:rFonts w:hint="eastAsia" w:asciiTheme="minorEastAsia" w:hAnsiTheme="minorEastAsia" w:eastAsiaTheme="minorEastAsia" w:cstheme="minorEastAsia"/>
          <w:sz w:val="24"/>
          <w:szCs w:val="24"/>
        </w:rPr>
        <w:t>城市绿地宜通过设置自然沉浸式疗愈场景、运动康养复合功能区、药用与芳香植物群落等来满足市民园艺疗愈的需求。</w:t>
      </w:r>
    </w:p>
    <w:p w14:paraId="59A2291A">
      <w:pPr>
        <w:widowControl/>
        <w:numPr>
          <w:ilvl w:val="255"/>
          <w:numId w:val="0"/>
        </w:numPr>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9.3.</w:t>
      </w:r>
      <w:r>
        <w:rPr>
          <w:rFonts w:asciiTheme="minorEastAsia" w:hAnsiTheme="minorEastAsia" w:eastAsiaTheme="minorEastAsia" w:cstheme="minorEastAsia"/>
          <w:b/>
          <w:sz w:val="24"/>
          <w:szCs w:val="24"/>
        </w:rPr>
        <w:t>12</w:t>
      </w:r>
      <w:r>
        <w:rPr>
          <w:rFonts w:hint="eastAsia" w:asciiTheme="minorEastAsia" w:hAnsiTheme="minorEastAsia" w:eastAsiaTheme="minorEastAsia" w:cstheme="minorEastAsia"/>
          <w:b/>
          <w:sz w:val="24"/>
          <w:szCs w:val="24"/>
        </w:rPr>
        <w:t>　</w:t>
      </w:r>
      <w:r>
        <w:rPr>
          <w:rFonts w:hint="eastAsia" w:asciiTheme="minorEastAsia" w:hAnsiTheme="minorEastAsia" w:eastAsiaTheme="minorEastAsia" w:cstheme="minorEastAsia"/>
          <w:sz w:val="24"/>
          <w:szCs w:val="24"/>
        </w:rPr>
        <w:t>应设计疏林草地、密林氧吧、滨水漫步道等自然环境空间，营造沉浸式疗愈场景，强化人与自然的融合。</w:t>
      </w:r>
    </w:p>
    <w:p w14:paraId="3D0FB957">
      <w:pPr>
        <w:widowControl/>
        <w:numPr>
          <w:ilvl w:val="255"/>
          <w:numId w:val="0"/>
        </w:numPr>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9.3.</w:t>
      </w:r>
      <w:r>
        <w:rPr>
          <w:rFonts w:asciiTheme="minorEastAsia" w:hAnsiTheme="minorEastAsia" w:eastAsiaTheme="minorEastAsia" w:cstheme="minorEastAsia"/>
          <w:b/>
          <w:sz w:val="24"/>
          <w:szCs w:val="24"/>
        </w:rPr>
        <w:t>13</w:t>
      </w:r>
      <w:r>
        <w:rPr>
          <w:rFonts w:hint="eastAsia" w:asciiTheme="minorEastAsia" w:hAnsiTheme="minorEastAsia" w:eastAsiaTheme="minorEastAsia" w:cstheme="minorEastAsia"/>
          <w:b/>
          <w:sz w:val="24"/>
          <w:szCs w:val="24"/>
        </w:rPr>
        <w:t>　</w:t>
      </w:r>
      <w:r>
        <w:rPr>
          <w:rFonts w:hint="eastAsia" w:asciiTheme="minorEastAsia" w:hAnsiTheme="minorEastAsia" w:eastAsiaTheme="minorEastAsia" w:cstheme="minorEastAsia"/>
          <w:sz w:val="24"/>
          <w:szCs w:val="24"/>
        </w:rPr>
        <w:t>应设置健步道、慢跑道、自行车道等运动路径，设置太极、瑜伽等户外场地以及运动康养功能区，实现运动健身与自然疗愈的融合。</w:t>
      </w:r>
    </w:p>
    <w:p w14:paraId="1F4611DA">
      <w:pPr>
        <w:widowControl/>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9.3.</w:t>
      </w:r>
      <w:r>
        <w:rPr>
          <w:rFonts w:asciiTheme="minorEastAsia" w:hAnsiTheme="minorEastAsia" w:eastAsiaTheme="minorEastAsia" w:cstheme="minorEastAsia"/>
          <w:b/>
          <w:sz w:val="24"/>
          <w:szCs w:val="24"/>
        </w:rPr>
        <w:t>14</w:t>
      </w:r>
      <w:r>
        <w:rPr>
          <w:rFonts w:hint="eastAsia" w:asciiTheme="minorEastAsia" w:hAnsiTheme="minorEastAsia" w:eastAsiaTheme="minorEastAsia" w:cstheme="minorEastAsia"/>
          <w:b/>
          <w:sz w:val="24"/>
          <w:szCs w:val="24"/>
        </w:rPr>
        <w:t>　</w:t>
      </w:r>
      <w:r>
        <w:rPr>
          <w:rFonts w:hint="eastAsia" w:asciiTheme="minorEastAsia" w:hAnsiTheme="minorEastAsia" w:eastAsiaTheme="minorEastAsia" w:cstheme="minorEastAsia"/>
          <w:sz w:val="24"/>
          <w:szCs w:val="24"/>
        </w:rPr>
        <w:t>应设计药用与芳香类植物群落，打造药用植物专类园，种植具有药用价值的植物，通过植物挥发物达到舒缓神经、调节情绪的疗愈作用。</w:t>
      </w:r>
    </w:p>
    <w:p w14:paraId="5E27AA77">
      <w:pPr>
        <w:widowControl/>
        <w:spacing w:line="360" w:lineRule="auto"/>
        <w:jc w:val="center"/>
        <w:outlineLvl w:val="2"/>
        <w:rPr>
          <w:rFonts w:ascii="仿宋" w:hAnsi="仿宋" w:eastAsia="仿宋" w:cs="仿宋"/>
          <w:b/>
          <w:bCs/>
          <w:sz w:val="28"/>
          <w:szCs w:val="28"/>
        </w:rPr>
      </w:pPr>
      <w:r>
        <w:rPr>
          <w:rFonts w:hint="eastAsia" w:ascii="仿宋" w:hAnsi="仿宋" w:eastAsia="仿宋" w:cs="仿宋"/>
          <w:b/>
          <w:bCs/>
          <w:sz w:val="28"/>
          <w:szCs w:val="28"/>
        </w:rPr>
        <w:t>V　防灾避险</w:t>
      </w:r>
    </w:p>
    <w:p w14:paraId="32C38201">
      <w:pPr>
        <w:widowControl/>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9.3.</w:t>
      </w:r>
      <w:r>
        <w:rPr>
          <w:rFonts w:asciiTheme="minorEastAsia" w:hAnsiTheme="minorEastAsia" w:eastAsiaTheme="minorEastAsia" w:cstheme="minorEastAsia"/>
          <w:b/>
          <w:sz w:val="24"/>
          <w:szCs w:val="24"/>
        </w:rPr>
        <w:t>15</w:t>
      </w:r>
      <w:r>
        <w:rPr>
          <w:rFonts w:hint="eastAsia" w:asciiTheme="minorEastAsia" w:hAnsiTheme="minorEastAsia" w:eastAsiaTheme="minorEastAsia" w:cstheme="minorEastAsia"/>
          <w:b/>
          <w:sz w:val="24"/>
          <w:szCs w:val="24"/>
        </w:rPr>
        <w:t>　</w:t>
      </w:r>
      <w:r>
        <w:rPr>
          <w:rFonts w:hint="eastAsia" w:asciiTheme="minorEastAsia" w:hAnsiTheme="minorEastAsia" w:eastAsiaTheme="minorEastAsia" w:cstheme="minorEastAsia"/>
          <w:sz w:val="24"/>
          <w:szCs w:val="24"/>
        </w:rPr>
        <w:t>防灾避险功能绿地的选址、规模和分级及设施配置应符合现行国家标准《城市绿地规划标准》GB/T 51346和现行国家标准《防灾避难场所设计规范》GB 51143的有关规定。</w:t>
      </w:r>
    </w:p>
    <w:p w14:paraId="115F33FD">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9.3.</w:t>
      </w:r>
      <w:r>
        <w:rPr>
          <w:rFonts w:asciiTheme="minorEastAsia" w:hAnsiTheme="minorEastAsia" w:eastAsiaTheme="minorEastAsia" w:cstheme="minorEastAsia"/>
          <w:b/>
          <w:sz w:val="24"/>
          <w:szCs w:val="24"/>
        </w:rPr>
        <w:t>16</w:t>
      </w:r>
      <w:r>
        <w:rPr>
          <w:rFonts w:hint="eastAsia" w:asciiTheme="minorEastAsia" w:hAnsiTheme="minorEastAsia" w:eastAsiaTheme="minorEastAsia" w:cstheme="minorEastAsia"/>
          <w:b/>
          <w:sz w:val="24"/>
          <w:szCs w:val="24"/>
        </w:rPr>
        <w:t>　</w:t>
      </w:r>
      <w:r>
        <w:rPr>
          <w:rFonts w:hint="eastAsia" w:asciiTheme="minorEastAsia" w:hAnsiTheme="minorEastAsia" w:eastAsiaTheme="minorEastAsia" w:cstheme="minorEastAsia"/>
          <w:sz w:val="24"/>
          <w:szCs w:val="24"/>
        </w:rPr>
        <w:t>防灾避险功能绿地中，应急避难设施的布局应与城市综合防灾规划相协调，遵循以人为本、平灾结合的原则，以绿地常态功能为主，兼顾防灾避险功能。</w:t>
      </w:r>
    </w:p>
    <w:p w14:paraId="0C5A194D">
      <w:pPr>
        <w:widowControl/>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9.3.</w:t>
      </w:r>
      <w:r>
        <w:rPr>
          <w:rFonts w:asciiTheme="minorEastAsia" w:hAnsiTheme="minorEastAsia" w:eastAsiaTheme="minorEastAsia" w:cstheme="minorEastAsia"/>
          <w:b/>
          <w:sz w:val="24"/>
          <w:szCs w:val="24"/>
        </w:rPr>
        <w:t>17</w:t>
      </w:r>
      <w:r>
        <w:rPr>
          <w:rFonts w:hint="eastAsia" w:asciiTheme="minorEastAsia" w:hAnsiTheme="minorEastAsia" w:eastAsiaTheme="minorEastAsia" w:cstheme="minorEastAsia"/>
          <w:b/>
          <w:sz w:val="24"/>
          <w:szCs w:val="24"/>
        </w:rPr>
        <w:t>　</w:t>
      </w:r>
      <w:r>
        <w:rPr>
          <w:rFonts w:hint="eastAsia" w:asciiTheme="minorEastAsia" w:hAnsiTheme="minorEastAsia" w:eastAsiaTheme="minorEastAsia" w:cstheme="minorEastAsia"/>
          <w:sz w:val="24"/>
          <w:szCs w:val="24"/>
        </w:rPr>
        <w:t>应根据防灾避险功能绿地的应急避难功能布局进行相关设施的配置。</w:t>
      </w:r>
    </w:p>
    <w:p w14:paraId="77894EC6">
      <w:pPr>
        <w:widowControl/>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9.3.</w:t>
      </w:r>
      <w:r>
        <w:rPr>
          <w:rFonts w:asciiTheme="minorEastAsia" w:hAnsiTheme="minorEastAsia" w:eastAsiaTheme="minorEastAsia" w:cstheme="minorEastAsia"/>
          <w:b/>
          <w:sz w:val="24"/>
          <w:szCs w:val="24"/>
        </w:rPr>
        <w:t>18</w:t>
      </w:r>
      <w:r>
        <w:rPr>
          <w:rFonts w:hint="eastAsia" w:asciiTheme="minorEastAsia" w:hAnsiTheme="minorEastAsia" w:eastAsiaTheme="minorEastAsia" w:cstheme="minorEastAsia"/>
          <w:b/>
          <w:sz w:val="24"/>
          <w:szCs w:val="24"/>
        </w:rPr>
        <w:t>　</w:t>
      </w:r>
      <w:r>
        <w:rPr>
          <w:rFonts w:hint="eastAsia" w:asciiTheme="minorEastAsia" w:hAnsiTheme="minorEastAsia" w:eastAsiaTheme="minorEastAsia" w:cstheme="minorEastAsia"/>
          <w:sz w:val="24"/>
          <w:szCs w:val="24"/>
        </w:rPr>
        <w:t>防灾避险功能绿地的应急功能布局应包括应急功能分区和应急交通组织。应急功能分区应结合应急避难级别合理划分场所管理区、应急篷宿区、应急医疗卫生救护区、应急物资储备区、应急垃圾储运区等。</w:t>
      </w:r>
    </w:p>
    <w:p w14:paraId="699FFDC9">
      <w:pPr>
        <w:pStyle w:val="40"/>
        <w:outlineLvl w:val="1"/>
        <w:rPr>
          <w:b w:val="0"/>
        </w:rPr>
      </w:pPr>
      <w:bookmarkStart w:id="138" w:name="_Toc24333"/>
      <w:bookmarkStart w:id="139" w:name="_Toc6501"/>
      <w:r>
        <w:rPr>
          <w:rFonts w:hint="eastAsia"/>
          <w:b w:val="0"/>
        </w:rPr>
        <w:t>9.4　景观功能专项设计</w:t>
      </w:r>
      <w:bookmarkEnd w:id="138"/>
      <w:bookmarkEnd w:id="139"/>
    </w:p>
    <w:p w14:paraId="39D7EB9A">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9.4.1　</w:t>
      </w:r>
      <w:r>
        <w:rPr>
          <w:rFonts w:hint="eastAsia" w:asciiTheme="minorEastAsia" w:hAnsiTheme="minorEastAsia" w:eastAsiaTheme="minorEastAsia" w:cstheme="minorEastAsia"/>
          <w:sz w:val="24"/>
          <w:szCs w:val="24"/>
        </w:rPr>
        <w:t>城市绿地的景观功能应满足美化城市环境、塑造区域特色、促进自然与人文融合的要求。</w:t>
      </w:r>
    </w:p>
    <w:p w14:paraId="2B7635C8">
      <w:pPr>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9.4.2　</w:t>
      </w:r>
      <w:r>
        <w:rPr>
          <w:rFonts w:hint="eastAsia" w:asciiTheme="minorEastAsia" w:hAnsiTheme="minorEastAsia" w:eastAsiaTheme="minorEastAsia" w:cstheme="minorEastAsia"/>
          <w:sz w:val="24"/>
          <w:szCs w:val="24"/>
        </w:rPr>
        <w:t>各类城市绿地景观功能控制要求应符合表9.4.2的规定。</w:t>
      </w:r>
    </w:p>
    <w:p w14:paraId="101D1248">
      <w:pPr>
        <w:spacing w:line="360" w:lineRule="auto"/>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表9.4.2　城市绿地景观功能控制要求</w:t>
      </w:r>
    </w:p>
    <w:tbl>
      <w:tblPr>
        <w:tblStyle w:val="23"/>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837"/>
        <w:gridCol w:w="2080"/>
        <w:gridCol w:w="2081"/>
        <w:gridCol w:w="2081"/>
      </w:tblGrid>
      <w:tr w14:paraId="05E70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3" w:type="dxa"/>
            <w:gridSpan w:val="2"/>
            <w:vAlign w:val="center"/>
          </w:tcPr>
          <w:p w14:paraId="44ED3F42">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绿地类别</w:t>
            </w:r>
          </w:p>
        </w:tc>
        <w:tc>
          <w:tcPr>
            <w:tcW w:w="2080" w:type="dxa"/>
            <w:vAlign w:val="center"/>
          </w:tcPr>
          <w:p w14:paraId="5CA0956D">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环境优美</w:t>
            </w:r>
          </w:p>
        </w:tc>
        <w:tc>
          <w:tcPr>
            <w:tcW w:w="2081" w:type="dxa"/>
            <w:vAlign w:val="center"/>
          </w:tcPr>
          <w:p w14:paraId="17915742">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区域特色</w:t>
            </w:r>
          </w:p>
        </w:tc>
        <w:tc>
          <w:tcPr>
            <w:tcW w:w="2081" w:type="dxa"/>
            <w:vAlign w:val="center"/>
          </w:tcPr>
          <w:p w14:paraId="3DCD3E97">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生态与人文融合</w:t>
            </w:r>
          </w:p>
        </w:tc>
      </w:tr>
      <w:tr w14:paraId="7A88F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restart"/>
            <w:vAlign w:val="center"/>
          </w:tcPr>
          <w:p w14:paraId="785CC7A1">
            <w:p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公园</w:t>
            </w:r>
          </w:p>
          <w:p w14:paraId="0B4BD03E">
            <w:p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绿地</w:t>
            </w:r>
          </w:p>
        </w:tc>
        <w:tc>
          <w:tcPr>
            <w:tcW w:w="1837" w:type="dxa"/>
            <w:vAlign w:val="center"/>
          </w:tcPr>
          <w:p w14:paraId="768098B6">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综合公园</w:t>
            </w:r>
          </w:p>
        </w:tc>
        <w:tc>
          <w:tcPr>
            <w:tcW w:w="2080" w:type="dxa"/>
            <w:vAlign w:val="center"/>
          </w:tcPr>
          <w:p w14:paraId="3E6F752E">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2081" w:type="dxa"/>
            <w:vAlign w:val="center"/>
          </w:tcPr>
          <w:p w14:paraId="54EF3150">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2081" w:type="dxa"/>
            <w:vAlign w:val="center"/>
          </w:tcPr>
          <w:p w14:paraId="7743AE77">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1E869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14:paraId="73131AE7">
            <w:pPr>
              <w:rPr>
                <w:rFonts w:asciiTheme="minorEastAsia" w:hAnsiTheme="minorEastAsia" w:eastAsiaTheme="minorEastAsia" w:cstheme="minorEastAsia"/>
                <w:szCs w:val="21"/>
              </w:rPr>
            </w:pPr>
          </w:p>
        </w:tc>
        <w:tc>
          <w:tcPr>
            <w:tcW w:w="1837" w:type="dxa"/>
            <w:vAlign w:val="center"/>
          </w:tcPr>
          <w:p w14:paraId="3EFBF3A6">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社区公园</w:t>
            </w:r>
          </w:p>
        </w:tc>
        <w:tc>
          <w:tcPr>
            <w:tcW w:w="2080" w:type="dxa"/>
            <w:vAlign w:val="center"/>
          </w:tcPr>
          <w:p w14:paraId="62BEF827">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2081" w:type="dxa"/>
            <w:vAlign w:val="center"/>
          </w:tcPr>
          <w:p w14:paraId="5342C9A2">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2081" w:type="dxa"/>
            <w:vAlign w:val="center"/>
          </w:tcPr>
          <w:p w14:paraId="443E210C">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245F0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14:paraId="2B752CA0">
            <w:pPr>
              <w:rPr>
                <w:rFonts w:asciiTheme="minorEastAsia" w:hAnsiTheme="minorEastAsia" w:eastAsiaTheme="minorEastAsia" w:cstheme="minorEastAsia"/>
                <w:szCs w:val="21"/>
              </w:rPr>
            </w:pPr>
          </w:p>
        </w:tc>
        <w:tc>
          <w:tcPr>
            <w:tcW w:w="1837" w:type="dxa"/>
            <w:vAlign w:val="center"/>
          </w:tcPr>
          <w:p w14:paraId="493DD37C">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专类公园</w:t>
            </w:r>
          </w:p>
        </w:tc>
        <w:tc>
          <w:tcPr>
            <w:tcW w:w="2080" w:type="dxa"/>
            <w:vAlign w:val="center"/>
          </w:tcPr>
          <w:p w14:paraId="63E72252">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2081" w:type="dxa"/>
            <w:vAlign w:val="center"/>
          </w:tcPr>
          <w:p w14:paraId="351CA1AB">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2081" w:type="dxa"/>
            <w:vAlign w:val="center"/>
          </w:tcPr>
          <w:p w14:paraId="2672FCF5">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517A6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426" w:type="dxa"/>
            <w:vMerge w:val="continue"/>
            <w:vAlign w:val="center"/>
          </w:tcPr>
          <w:p w14:paraId="6BF72946">
            <w:pPr>
              <w:rPr>
                <w:rFonts w:asciiTheme="minorEastAsia" w:hAnsiTheme="minorEastAsia" w:eastAsiaTheme="minorEastAsia" w:cstheme="minorEastAsia"/>
                <w:szCs w:val="21"/>
              </w:rPr>
            </w:pPr>
          </w:p>
        </w:tc>
        <w:tc>
          <w:tcPr>
            <w:tcW w:w="1837" w:type="dxa"/>
            <w:vAlign w:val="center"/>
          </w:tcPr>
          <w:p w14:paraId="03F74EA1">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游园</w:t>
            </w:r>
          </w:p>
        </w:tc>
        <w:tc>
          <w:tcPr>
            <w:tcW w:w="2080" w:type="dxa"/>
            <w:vAlign w:val="center"/>
          </w:tcPr>
          <w:p w14:paraId="4190350E">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2081" w:type="dxa"/>
            <w:vAlign w:val="center"/>
          </w:tcPr>
          <w:p w14:paraId="54502743">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2081" w:type="dxa"/>
            <w:vAlign w:val="center"/>
          </w:tcPr>
          <w:p w14:paraId="21FF12A1">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4B5CB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restart"/>
            <w:vAlign w:val="center"/>
          </w:tcPr>
          <w:p w14:paraId="5F4574F6">
            <w:p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防护绿地</w:t>
            </w:r>
          </w:p>
        </w:tc>
        <w:tc>
          <w:tcPr>
            <w:tcW w:w="1837" w:type="dxa"/>
            <w:vAlign w:val="center"/>
          </w:tcPr>
          <w:p w14:paraId="06A4E0D4">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卫生隔离</w:t>
            </w:r>
          </w:p>
        </w:tc>
        <w:tc>
          <w:tcPr>
            <w:tcW w:w="2080" w:type="dxa"/>
            <w:vAlign w:val="center"/>
          </w:tcPr>
          <w:p w14:paraId="7E51E839">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2081" w:type="dxa"/>
            <w:vAlign w:val="center"/>
          </w:tcPr>
          <w:p w14:paraId="2746D04A">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2081" w:type="dxa"/>
            <w:vAlign w:val="center"/>
          </w:tcPr>
          <w:p w14:paraId="62B16AD7">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03665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14:paraId="5A332CFC">
            <w:pPr>
              <w:rPr>
                <w:rFonts w:asciiTheme="minorEastAsia" w:hAnsiTheme="minorEastAsia" w:eastAsiaTheme="minorEastAsia" w:cstheme="minorEastAsia"/>
                <w:szCs w:val="21"/>
              </w:rPr>
            </w:pPr>
          </w:p>
        </w:tc>
        <w:tc>
          <w:tcPr>
            <w:tcW w:w="1837" w:type="dxa"/>
            <w:vAlign w:val="center"/>
          </w:tcPr>
          <w:p w14:paraId="7851ABAA">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道路及铁路</w:t>
            </w:r>
          </w:p>
        </w:tc>
        <w:tc>
          <w:tcPr>
            <w:tcW w:w="2080" w:type="dxa"/>
            <w:vAlign w:val="center"/>
          </w:tcPr>
          <w:p w14:paraId="70339D14">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2081" w:type="dxa"/>
            <w:vAlign w:val="center"/>
          </w:tcPr>
          <w:p w14:paraId="071E0014">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2081" w:type="dxa"/>
            <w:vAlign w:val="center"/>
          </w:tcPr>
          <w:p w14:paraId="24F5C3D4">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5B367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14:paraId="082C7921">
            <w:pPr>
              <w:rPr>
                <w:rFonts w:asciiTheme="minorEastAsia" w:hAnsiTheme="minorEastAsia" w:eastAsiaTheme="minorEastAsia" w:cstheme="minorEastAsia"/>
                <w:szCs w:val="21"/>
              </w:rPr>
            </w:pPr>
          </w:p>
        </w:tc>
        <w:tc>
          <w:tcPr>
            <w:tcW w:w="1837" w:type="dxa"/>
            <w:vAlign w:val="center"/>
          </w:tcPr>
          <w:p w14:paraId="2D2F978B">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高压走廊</w:t>
            </w:r>
          </w:p>
        </w:tc>
        <w:tc>
          <w:tcPr>
            <w:tcW w:w="2080" w:type="dxa"/>
            <w:vAlign w:val="center"/>
          </w:tcPr>
          <w:p w14:paraId="15D57DF3">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2081" w:type="dxa"/>
            <w:vAlign w:val="center"/>
          </w:tcPr>
          <w:p w14:paraId="3A4D8D92">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2081" w:type="dxa"/>
            <w:vAlign w:val="center"/>
          </w:tcPr>
          <w:p w14:paraId="4C3D0004">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639E0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14:paraId="542B27D2">
            <w:pPr>
              <w:rPr>
                <w:rFonts w:asciiTheme="minorEastAsia" w:hAnsiTheme="minorEastAsia" w:eastAsiaTheme="minorEastAsia" w:cstheme="minorEastAsia"/>
                <w:szCs w:val="21"/>
              </w:rPr>
            </w:pPr>
          </w:p>
        </w:tc>
        <w:tc>
          <w:tcPr>
            <w:tcW w:w="1837" w:type="dxa"/>
            <w:vAlign w:val="center"/>
          </w:tcPr>
          <w:p w14:paraId="16A387D8">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公用设施</w:t>
            </w:r>
          </w:p>
        </w:tc>
        <w:tc>
          <w:tcPr>
            <w:tcW w:w="2080" w:type="dxa"/>
            <w:vAlign w:val="center"/>
          </w:tcPr>
          <w:p w14:paraId="1A9F3A2B">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2081" w:type="dxa"/>
            <w:vAlign w:val="center"/>
          </w:tcPr>
          <w:p w14:paraId="69874F26">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2081" w:type="dxa"/>
            <w:vAlign w:val="center"/>
          </w:tcPr>
          <w:p w14:paraId="06F4423E">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1DC46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426" w:type="dxa"/>
            <w:vMerge w:val="restart"/>
            <w:vAlign w:val="center"/>
          </w:tcPr>
          <w:p w14:paraId="4128682D">
            <w:p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附属绿地</w:t>
            </w:r>
          </w:p>
        </w:tc>
        <w:tc>
          <w:tcPr>
            <w:tcW w:w="1837" w:type="dxa"/>
            <w:vAlign w:val="center"/>
          </w:tcPr>
          <w:p w14:paraId="4631668E">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居住</w:t>
            </w:r>
          </w:p>
        </w:tc>
        <w:tc>
          <w:tcPr>
            <w:tcW w:w="2080" w:type="dxa"/>
            <w:vAlign w:val="center"/>
          </w:tcPr>
          <w:p w14:paraId="7038381D">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2081" w:type="dxa"/>
            <w:vAlign w:val="center"/>
          </w:tcPr>
          <w:p w14:paraId="37CDAB45">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2081" w:type="dxa"/>
            <w:vAlign w:val="center"/>
          </w:tcPr>
          <w:p w14:paraId="68303DEC">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0BDD3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14:paraId="12D64C46">
            <w:pPr>
              <w:rPr>
                <w:rFonts w:asciiTheme="minorEastAsia" w:hAnsiTheme="minorEastAsia" w:eastAsiaTheme="minorEastAsia" w:cstheme="minorEastAsia"/>
                <w:szCs w:val="21"/>
              </w:rPr>
            </w:pPr>
          </w:p>
        </w:tc>
        <w:tc>
          <w:tcPr>
            <w:tcW w:w="1837" w:type="dxa"/>
            <w:vAlign w:val="center"/>
          </w:tcPr>
          <w:p w14:paraId="4238DA78">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公共管理与公服</w:t>
            </w:r>
          </w:p>
        </w:tc>
        <w:tc>
          <w:tcPr>
            <w:tcW w:w="2080" w:type="dxa"/>
            <w:vAlign w:val="center"/>
          </w:tcPr>
          <w:p w14:paraId="1A21FA8C">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2081" w:type="dxa"/>
            <w:vAlign w:val="center"/>
          </w:tcPr>
          <w:p w14:paraId="2495953E">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2081" w:type="dxa"/>
            <w:vAlign w:val="center"/>
          </w:tcPr>
          <w:p w14:paraId="198B30D6">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297D7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14:paraId="406955DA">
            <w:pPr>
              <w:rPr>
                <w:rFonts w:asciiTheme="minorEastAsia" w:hAnsiTheme="minorEastAsia" w:eastAsiaTheme="minorEastAsia" w:cstheme="minorEastAsia"/>
                <w:szCs w:val="21"/>
              </w:rPr>
            </w:pPr>
          </w:p>
        </w:tc>
        <w:tc>
          <w:tcPr>
            <w:tcW w:w="1837" w:type="dxa"/>
            <w:vAlign w:val="center"/>
          </w:tcPr>
          <w:p w14:paraId="240F66DC">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商业服务</w:t>
            </w:r>
          </w:p>
        </w:tc>
        <w:tc>
          <w:tcPr>
            <w:tcW w:w="2080" w:type="dxa"/>
            <w:vAlign w:val="center"/>
          </w:tcPr>
          <w:p w14:paraId="7DE9D784">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2081" w:type="dxa"/>
            <w:vAlign w:val="center"/>
          </w:tcPr>
          <w:p w14:paraId="0EFDDBBE">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2081" w:type="dxa"/>
            <w:vAlign w:val="center"/>
          </w:tcPr>
          <w:p w14:paraId="3BE3B402">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785B8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14:paraId="4E0EE74F">
            <w:pPr>
              <w:rPr>
                <w:rFonts w:asciiTheme="minorEastAsia" w:hAnsiTheme="minorEastAsia" w:eastAsiaTheme="minorEastAsia" w:cstheme="minorEastAsia"/>
                <w:szCs w:val="21"/>
              </w:rPr>
            </w:pPr>
          </w:p>
        </w:tc>
        <w:tc>
          <w:tcPr>
            <w:tcW w:w="1837" w:type="dxa"/>
            <w:vAlign w:val="center"/>
          </w:tcPr>
          <w:p w14:paraId="2CCC90D3">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工业</w:t>
            </w:r>
          </w:p>
        </w:tc>
        <w:tc>
          <w:tcPr>
            <w:tcW w:w="2080" w:type="dxa"/>
            <w:vAlign w:val="center"/>
          </w:tcPr>
          <w:p w14:paraId="3EDCC14C">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2081" w:type="dxa"/>
            <w:vAlign w:val="center"/>
          </w:tcPr>
          <w:p w14:paraId="35F067DD">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2081" w:type="dxa"/>
            <w:vAlign w:val="center"/>
          </w:tcPr>
          <w:p w14:paraId="62CD484C">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15153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14:paraId="69ADEC24">
            <w:pPr>
              <w:rPr>
                <w:rFonts w:asciiTheme="minorEastAsia" w:hAnsiTheme="minorEastAsia" w:eastAsiaTheme="minorEastAsia" w:cstheme="minorEastAsia"/>
                <w:szCs w:val="21"/>
              </w:rPr>
            </w:pPr>
          </w:p>
        </w:tc>
        <w:tc>
          <w:tcPr>
            <w:tcW w:w="1837" w:type="dxa"/>
            <w:vAlign w:val="center"/>
          </w:tcPr>
          <w:p w14:paraId="504902B6">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仓储</w:t>
            </w:r>
          </w:p>
        </w:tc>
        <w:tc>
          <w:tcPr>
            <w:tcW w:w="2080" w:type="dxa"/>
            <w:vAlign w:val="center"/>
          </w:tcPr>
          <w:p w14:paraId="1BF9CD98">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2081" w:type="dxa"/>
            <w:vAlign w:val="center"/>
          </w:tcPr>
          <w:p w14:paraId="59511303">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2081" w:type="dxa"/>
            <w:vAlign w:val="center"/>
          </w:tcPr>
          <w:p w14:paraId="16534F48">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76236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14:paraId="697602D5">
            <w:pPr>
              <w:rPr>
                <w:rFonts w:asciiTheme="minorEastAsia" w:hAnsiTheme="minorEastAsia" w:eastAsiaTheme="minorEastAsia" w:cstheme="minorEastAsia"/>
                <w:szCs w:val="21"/>
              </w:rPr>
            </w:pPr>
          </w:p>
        </w:tc>
        <w:tc>
          <w:tcPr>
            <w:tcW w:w="1837" w:type="dxa"/>
            <w:vAlign w:val="center"/>
          </w:tcPr>
          <w:p w14:paraId="6F578941">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道路交通</w:t>
            </w:r>
          </w:p>
        </w:tc>
        <w:tc>
          <w:tcPr>
            <w:tcW w:w="2080" w:type="dxa"/>
            <w:vAlign w:val="center"/>
          </w:tcPr>
          <w:p w14:paraId="0C3987B0">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2081" w:type="dxa"/>
            <w:vAlign w:val="center"/>
          </w:tcPr>
          <w:p w14:paraId="16173532">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2081" w:type="dxa"/>
            <w:vAlign w:val="center"/>
          </w:tcPr>
          <w:p w14:paraId="136072DE">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2B693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14:paraId="4860E150">
            <w:pPr>
              <w:rPr>
                <w:rFonts w:asciiTheme="minorEastAsia" w:hAnsiTheme="minorEastAsia" w:eastAsiaTheme="minorEastAsia" w:cstheme="minorEastAsia"/>
                <w:szCs w:val="21"/>
              </w:rPr>
            </w:pPr>
          </w:p>
        </w:tc>
        <w:tc>
          <w:tcPr>
            <w:tcW w:w="1837" w:type="dxa"/>
            <w:vAlign w:val="center"/>
          </w:tcPr>
          <w:p w14:paraId="47B08969">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公共设施</w:t>
            </w:r>
          </w:p>
        </w:tc>
        <w:tc>
          <w:tcPr>
            <w:tcW w:w="2080" w:type="dxa"/>
            <w:vAlign w:val="center"/>
          </w:tcPr>
          <w:p w14:paraId="5A9468B2">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2081" w:type="dxa"/>
            <w:vAlign w:val="center"/>
          </w:tcPr>
          <w:p w14:paraId="0A814F8E">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2081" w:type="dxa"/>
            <w:vAlign w:val="center"/>
          </w:tcPr>
          <w:p w14:paraId="1DD5BABA">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10674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3" w:type="dxa"/>
            <w:gridSpan w:val="2"/>
            <w:vAlign w:val="center"/>
          </w:tcPr>
          <w:p w14:paraId="7E87EEF4">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广场用地</w:t>
            </w:r>
          </w:p>
        </w:tc>
        <w:tc>
          <w:tcPr>
            <w:tcW w:w="2080" w:type="dxa"/>
            <w:vAlign w:val="center"/>
          </w:tcPr>
          <w:p w14:paraId="3FE7142E">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2081" w:type="dxa"/>
            <w:vAlign w:val="center"/>
          </w:tcPr>
          <w:p w14:paraId="1EFE0733">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2081" w:type="dxa"/>
            <w:vAlign w:val="center"/>
          </w:tcPr>
          <w:p w14:paraId="1266E4E1">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1A75F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restart"/>
            <w:vAlign w:val="center"/>
          </w:tcPr>
          <w:p w14:paraId="65D3DCEC">
            <w:p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区域绿地</w:t>
            </w:r>
          </w:p>
        </w:tc>
        <w:tc>
          <w:tcPr>
            <w:tcW w:w="1837" w:type="dxa"/>
            <w:vAlign w:val="center"/>
          </w:tcPr>
          <w:p w14:paraId="0BCF47B1">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风景游憩</w:t>
            </w:r>
          </w:p>
        </w:tc>
        <w:tc>
          <w:tcPr>
            <w:tcW w:w="2080" w:type="dxa"/>
            <w:vAlign w:val="center"/>
          </w:tcPr>
          <w:p w14:paraId="29FE11BE">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2081" w:type="dxa"/>
            <w:vAlign w:val="center"/>
          </w:tcPr>
          <w:p w14:paraId="12FB6198">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2081" w:type="dxa"/>
            <w:vAlign w:val="center"/>
          </w:tcPr>
          <w:p w14:paraId="50DBC734">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32DFD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14:paraId="3BB3D100">
            <w:pPr>
              <w:rPr>
                <w:rFonts w:asciiTheme="minorEastAsia" w:hAnsiTheme="minorEastAsia" w:eastAsiaTheme="minorEastAsia" w:cstheme="minorEastAsia"/>
                <w:szCs w:val="21"/>
              </w:rPr>
            </w:pPr>
          </w:p>
        </w:tc>
        <w:tc>
          <w:tcPr>
            <w:tcW w:w="1837" w:type="dxa"/>
            <w:vAlign w:val="center"/>
          </w:tcPr>
          <w:p w14:paraId="7C65BC0C">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生态保育</w:t>
            </w:r>
          </w:p>
        </w:tc>
        <w:tc>
          <w:tcPr>
            <w:tcW w:w="2080" w:type="dxa"/>
            <w:vAlign w:val="center"/>
          </w:tcPr>
          <w:p w14:paraId="65EC0A66">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2081" w:type="dxa"/>
            <w:vAlign w:val="center"/>
          </w:tcPr>
          <w:p w14:paraId="2B57D694">
            <w:pPr>
              <w:jc w:val="center"/>
              <w:rPr>
                <w:rFonts w:asciiTheme="minorEastAsia" w:hAnsiTheme="minorEastAsia" w:eastAsiaTheme="minorEastAsia" w:cstheme="minorEastAsia"/>
                <w:szCs w:val="21"/>
              </w:rPr>
            </w:pPr>
          </w:p>
        </w:tc>
        <w:tc>
          <w:tcPr>
            <w:tcW w:w="2081" w:type="dxa"/>
            <w:vAlign w:val="center"/>
          </w:tcPr>
          <w:p w14:paraId="63CFB857">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3F2C7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14:paraId="4FCFEBED">
            <w:pPr>
              <w:rPr>
                <w:rFonts w:asciiTheme="minorEastAsia" w:hAnsiTheme="minorEastAsia" w:eastAsiaTheme="minorEastAsia" w:cstheme="minorEastAsia"/>
                <w:szCs w:val="21"/>
              </w:rPr>
            </w:pPr>
          </w:p>
        </w:tc>
        <w:tc>
          <w:tcPr>
            <w:tcW w:w="1837" w:type="dxa"/>
            <w:vAlign w:val="center"/>
          </w:tcPr>
          <w:p w14:paraId="769ABBBC">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区域设施防护</w:t>
            </w:r>
          </w:p>
        </w:tc>
        <w:tc>
          <w:tcPr>
            <w:tcW w:w="2080" w:type="dxa"/>
            <w:vAlign w:val="center"/>
          </w:tcPr>
          <w:p w14:paraId="292116EE">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2081" w:type="dxa"/>
            <w:vAlign w:val="center"/>
          </w:tcPr>
          <w:p w14:paraId="75797735">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2081" w:type="dxa"/>
            <w:vAlign w:val="center"/>
          </w:tcPr>
          <w:p w14:paraId="4FDF28C9">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55A05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14:paraId="28B750D6">
            <w:pPr>
              <w:rPr>
                <w:rFonts w:asciiTheme="minorEastAsia" w:hAnsiTheme="minorEastAsia" w:eastAsiaTheme="minorEastAsia" w:cstheme="minorEastAsia"/>
                <w:szCs w:val="21"/>
              </w:rPr>
            </w:pPr>
          </w:p>
        </w:tc>
        <w:tc>
          <w:tcPr>
            <w:tcW w:w="1837" w:type="dxa"/>
            <w:vAlign w:val="center"/>
          </w:tcPr>
          <w:p w14:paraId="1BA4FBBC">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生产</w:t>
            </w:r>
          </w:p>
        </w:tc>
        <w:tc>
          <w:tcPr>
            <w:tcW w:w="2080" w:type="dxa"/>
            <w:vAlign w:val="center"/>
          </w:tcPr>
          <w:p w14:paraId="235A148B">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2081" w:type="dxa"/>
            <w:vAlign w:val="center"/>
          </w:tcPr>
          <w:p w14:paraId="51D2E9A5">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2081" w:type="dxa"/>
            <w:vAlign w:val="center"/>
          </w:tcPr>
          <w:p w14:paraId="235A2DEB">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bl>
    <w:p w14:paraId="02ECCFC3">
      <w:p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注：“</w:t>
      </w:r>
      <w:r>
        <w:rPr>
          <w:rFonts w:hint="eastAsia" w:asciiTheme="minorEastAsia" w:hAnsiTheme="minorEastAsia" w:eastAsiaTheme="minorEastAsia" w:cstheme="minorEastAsia"/>
          <w:bCs/>
          <w:szCs w:val="21"/>
          <w:lang w:bidi="ar"/>
        </w:rPr>
        <w:t>●</w:t>
      </w:r>
      <w:r>
        <w:rPr>
          <w:rFonts w:hint="eastAsia" w:asciiTheme="minorEastAsia" w:hAnsiTheme="minorEastAsia" w:eastAsiaTheme="minorEastAsia" w:cstheme="minorEastAsia"/>
          <w:szCs w:val="21"/>
        </w:rPr>
        <w:t>”表示应设；“</w:t>
      </w:r>
      <w:r>
        <w:rPr>
          <w:rFonts w:hint="eastAsia" w:asciiTheme="minorEastAsia" w:hAnsiTheme="minorEastAsia" w:eastAsiaTheme="minorEastAsia" w:cstheme="minorEastAsia"/>
          <w:bCs/>
          <w:szCs w:val="21"/>
          <w:lang w:bidi="ar"/>
        </w:rPr>
        <w:t>○</w:t>
      </w:r>
      <w:r>
        <w:rPr>
          <w:rFonts w:hint="eastAsia" w:asciiTheme="minorEastAsia" w:hAnsiTheme="minorEastAsia" w:eastAsiaTheme="minorEastAsia" w:cstheme="minorEastAsia"/>
          <w:szCs w:val="21"/>
        </w:rPr>
        <w:t>”表示宜设；“—”表示不需要设置。</w:t>
      </w:r>
    </w:p>
    <w:p w14:paraId="4D9744DA">
      <w:pPr>
        <w:rPr>
          <w:rFonts w:asciiTheme="minorEastAsia" w:hAnsiTheme="minorEastAsia" w:eastAsiaTheme="minorEastAsia" w:cstheme="minorEastAsia"/>
          <w:sz w:val="18"/>
          <w:szCs w:val="18"/>
        </w:rPr>
      </w:pPr>
    </w:p>
    <w:p w14:paraId="51EB2A1B">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b/>
          <w:sz w:val="24"/>
          <w:szCs w:val="24"/>
        </w:rPr>
        <w:t>9</w:t>
      </w:r>
      <w:r>
        <w:rPr>
          <w:rFonts w:asciiTheme="minorEastAsia" w:hAnsiTheme="minorEastAsia" w:eastAsiaTheme="minorEastAsia" w:cstheme="minorEastAsia"/>
          <w:b/>
          <w:sz w:val="24"/>
          <w:szCs w:val="24"/>
        </w:rPr>
        <w:t>.4.3</w:t>
      </w:r>
      <w:r>
        <w:rPr>
          <w:rFonts w:hint="eastAsia" w:asciiTheme="minorEastAsia" w:hAnsiTheme="minorEastAsia" w:eastAsiaTheme="minorEastAsia" w:cstheme="minorEastAsia"/>
          <w:sz w:val="24"/>
          <w:szCs w:val="24"/>
        </w:rPr>
        <w:t>　</w:t>
      </w:r>
      <w:r>
        <w:rPr>
          <w:rFonts w:ascii="Segoe UI" w:hAnsi="Segoe UI" w:eastAsia="Segoe UI" w:cs="Segoe UI"/>
          <w:color w:val="0F1115"/>
          <w:sz w:val="24"/>
          <w:szCs w:val="24"/>
          <w:shd w:val="clear" w:color="auto" w:fill="FFFFFF"/>
        </w:rPr>
        <w:t>城市绿地设计应落实城乡历史文化保护传承要求，加强对古树名木、历史景观、</w:t>
      </w:r>
      <w:r>
        <w:rPr>
          <w:rFonts w:hint="eastAsia" w:asciiTheme="minorEastAsia" w:hAnsiTheme="minorEastAsia" w:eastAsiaTheme="minorEastAsia" w:cstheme="minorEastAsia"/>
          <w:sz w:val="24"/>
          <w:szCs w:val="24"/>
        </w:rPr>
        <w:t>文物</w:t>
      </w:r>
      <w:r>
        <w:rPr>
          <w:rFonts w:ascii="Segoe UI" w:hAnsi="Segoe UI" w:eastAsia="Segoe UI" w:cs="Segoe UI"/>
          <w:color w:val="0F1115"/>
          <w:sz w:val="24"/>
          <w:szCs w:val="24"/>
          <w:shd w:val="clear" w:color="auto" w:fill="FFFFFF"/>
        </w:rPr>
        <w:t>建筑、历史地段等的保护、展示和活化利用。涉及历史城区、历史街区、历史名园的绿地设计，应尊重历史格局与文化价值，体现地域特色</w:t>
      </w:r>
      <w:r>
        <w:rPr>
          <w:rFonts w:hint="eastAsia" w:ascii="Segoe UI" w:hAnsi="Segoe UI" w:cs="Segoe UI"/>
          <w:color w:val="0F1115"/>
          <w:sz w:val="24"/>
          <w:szCs w:val="24"/>
          <w:shd w:val="clear" w:color="auto" w:fill="FFFFFF"/>
        </w:rPr>
        <w:t>，并应</w:t>
      </w:r>
      <w:r>
        <w:rPr>
          <w:rFonts w:hint="eastAsia" w:asciiTheme="minorEastAsia" w:hAnsiTheme="minorEastAsia" w:eastAsiaTheme="minorEastAsia" w:cstheme="minorEastAsia"/>
          <w:sz w:val="24"/>
          <w:szCs w:val="24"/>
        </w:rPr>
        <w:t>符合现行</w:t>
      </w:r>
      <w:r>
        <w:rPr>
          <w:rFonts w:hint="eastAsia" w:cs="宋体" w:asciiTheme="minorEastAsia" w:hAnsiTheme="minorEastAsia" w:eastAsiaTheme="minorEastAsia"/>
          <w:sz w:val="24"/>
        </w:rPr>
        <w:t>强制性工程建设规范</w:t>
      </w:r>
      <w:r>
        <w:rPr>
          <w:rFonts w:hint="eastAsia" w:asciiTheme="minorEastAsia" w:hAnsiTheme="minorEastAsia" w:eastAsiaTheme="minorEastAsia" w:cstheme="minorEastAsia"/>
          <w:sz w:val="24"/>
          <w:szCs w:val="24"/>
        </w:rPr>
        <w:t>《城乡历史文化保护利用项目规范》GB</w:t>
      </w:r>
      <w:r>
        <w:rPr>
          <w:rFonts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t>55035的有关规定。</w:t>
      </w:r>
    </w:p>
    <w:p w14:paraId="45BB257A">
      <w:pPr>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9.4.4</w:t>
      </w:r>
      <w:r>
        <w:rPr>
          <w:rFonts w:hint="eastAsia" w:asciiTheme="minorEastAsia" w:hAnsiTheme="minorEastAsia" w:eastAsiaTheme="minorEastAsia" w:cstheme="minorEastAsia"/>
          <w:sz w:val="24"/>
          <w:szCs w:val="24"/>
        </w:rPr>
        <w:t>　绿地设计应精心搭配四季植物，强化空间层次与韵律，营造动态有序的景观格局。</w:t>
      </w:r>
    </w:p>
    <w:p w14:paraId="379997BB">
      <w:pPr>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9.4.5</w:t>
      </w:r>
      <w:r>
        <w:rPr>
          <w:rFonts w:hint="eastAsia" w:asciiTheme="minorEastAsia" w:hAnsiTheme="minorEastAsia" w:eastAsiaTheme="minorEastAsia" w:cstheme="minorEastAsia"/>
          <w:sz w:val="24"/>
          <w:szCs w:val="24"/>
        </w:rPr>
        <w:t>　绿地设计应兼顾本土植物与文化象征结合、生态设施艺术化，自然教育场景化，实现生态功能与人文情感的深度融合。</w:t>
      </w:r>
    </w:p>
    <w:p w14:paraId="3E6C9865">
      <w:pPr>
        <w:pStyle w:val="40"/>
        <w:outlineLvl w:val="1"/>
        <w:rPr>
          <w:b w:val="0"/>
        </w:rPr>
      </w:pPr>
      <w:bookmarkStart w:id="140" w:name="_Toc4819"/>
      <w:bookmarkStart w:id="141" w:name="_Toc14155"/>
      <w:r>
        <w:rPr>
          <w:rFonts w:hint="eastAsia"/>
          <w:b w:val="0"/>
        </w:rPr>
        <w:t>9.5　经济功能专项设计</w:t>
      </w:r>
      <w:bookmarkEnd w:id="140"/>
      <w:bookmarkEnd w:id="141"/>
    </w:p>
    <w:p w14:paraId="671F3FC5">
      <w:pPr>
        <w:pStyle w:val="20"/>
        <w:widowControl/>
        <w:shd w:val="clear" w:color="auto" w:fill="FFFFFF"/>
        <w:spacing w:line="360" w:lineRule="auto"/>
        <w:jc w:val="left"/>
        <w:rPr>
          <w:rFonts w:asciiTheme="minorEastAsia" w:hAnsiTheme="minorEastAsia" w:eastAsiaTheme="minorEastAsia" w:cstheme="minorEastAsia"/>
          <w:szCs w:val="24"/>
        </w:rPr>
      </w:pPr>
      <w:r>
        <w:rPr>
          <w:rFonts w:hint="eastAsia" w:asciiTheme="minorEastAsia" w:hAnsiTheme="minorEastAsia" w:eastAsiaTheme="minorEastAsia" w:cstheme="minorEastAsia"/>
          <w:b/>
          <w:szCs w:val="24"/>
        </w:rPr>
        <w:t>9.5.1</w:t>
      </w:r>
      <w:r>
        <w:rPr>
          <w:rFonts w:hint="eastAsia" w:asciiTheme="minorEastAsia" w:hAnsiTheme="minorEastAsia" w:eastAsiaTheme="minorEastAsia" w:cstheme="minorEastAsia"/>
          <w:szCs w:val="24"/>
        </w:rPr>
        <w:t>　城市绿地设计应充分考虑运维管护可持续，为生态价值转换为可量化、可持续的经济效益提供空间。</w:t>
      </w:r>
    </w:p>
    <w:p w14:paraId="34DE43AE">
      <w:pPr>
        <w:pStyle w:val="20"/>
        <w:widowControl/>
        <w:shd w:val="clear" w:color="auto" w:fill="FFFFFF"/>
        <w:spacing w:line="360" w:lineRule="auto"/>
        <w:jc w:val="left"/>
        <w:rPr>
          <w:rFonts w:asciiTheme="minorEastAsia" w:hAnsiTheme="minorEastAsia" w:eastAsiaTheme="minorEastAsia" w:cstheme="minorEastAsia"/>
          <w:szCs w:val="24"/>
        </w:rPr>
      </w:pPr>
      <w:r>
        <w:rPr>
          <w:rFonts w:hint="eastAsia" w:asciiTheme="minorEastAsia" w:hAnsiTheme="minorEastAsia" w:eastAsiaTheme="minorEastAsia" w:cstheme="minorEastAsia"/>
          <w:b/>
          <w:szCs w:val="24"/>
        </w:rPr>
        <w:t>9.5.2</w:t>
      </w:r>
      <w:r>
        <w:rPr>
          <w:rFonts w:hint="eastAsia" w:asciiTheme="minorEastAsia" w:hAnsiTheme="minorEastAsia" w:eastAsiaTheme="minorEastAsia" w:cstheme="minorEastAsia"/>
          <w:szCs w:val="24"/>
        </w:rPr>
        <w:t>　城市绿地设计应充分考虑“公园+”，在满足公园绿地及其他各类城市绿地自身定位功能的前提下，融合多元业态，提升城市绿地的创新活力。</w:t>
      </w:r>
    </w:p>
    <w:p w14:paraId="4DD73F41">
      <w:pPr>
        <w:pStyle w:val="20"/>
        <w:widowControl/>
        <w:shd w:val="clear" w:color="auto" w:fill="FFFFFF"/>
        <w:spacing w:line="360" w:lineRule="auto"/>
        <w:jc w:val="left"/>
        <w:rPr>
          <w:rFonts w:asciiTheme="minorEastAsia" w:hAnsiTheme="minorEastAsia" w:eastAsiaTheme="minorEastAsia" w:cstheme="minorEastAsia"/>
          <w:szCs w:val="24"/>
        </w:rPr>
      </w:pPr>
      <w:r>
        <w:rPr>
          <w:rFonts w:hint="eastAsia" w:asciiTheme="minorEastAsia" w:hAnsiTheme="minorEastAsia" w:eastAsiaTheme="minorEastAsia" w:cstheme="minorEastAsia"/>
          <w:b/>
          <w:szCs w:val="24"/>
        </w:rPr>
        <w:t>9.5.3　</w:t>
      </w:r>
      <w:r>
        <w:rPr>
          <w:rFonts w:hint="eastAsia" w:asciiTheme="minorEastAsia" w:hAnsiTheme="minorEastAsia" w:eastAsiaTheme="minorEastAsia" w:cstheme="minorEastAsia"/>
          <w:szCs w:val="24"/>
        </w:rPr>
        <w:t>各类城市绿地经济功能控制要求应符合表9.5.3的规定。</w:t>
      </w:r>
    </w:p>
    <w:p w14:paraId="55A280AC">
      <w:pPr>
        <w:spacing w:line="360" w:lineRule="auto"/>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表9.5.3　城市绿地经济功能控制要求</w:t>
      </w:r>
    </w:p>
    <w:tbl>
      <w:tblPr>
        <w:tblStyle w:val="23"/>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2121"/>
        <w:gridCol w:w="2979"/>
        <w:gridCol w:w="2979"/>
      </w:tblGrid>
      <w:tr w14:paraId="3D9BE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2547" w:type="dxa"/>
            <w:gridSpan w:val="2"/>
            <w:vAlign w:val="center"/>
          </w:tcPr>
          <w:p w14:paraId="6FC2DB24">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绿地类别</w:t>
            </w:r>
          </w:p>
        </w:tc>
        <w:tc>
          <w:tcPr>
            <w:tcW w:w="2979" w:type="dxa"/>
            <w:vAlign w:val="center"/>
          </w:tcPr>
          <w:p w14:paraId="215DDAA8">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运维管护可持续</w:t>
            </w:r>
          </w:p>
        </w:tc>
        <w:tc>
          <w:tcPr>
            <w:tcW w:w="2979" w:type="dxa"/>
            <w:vAlign w:val="center"/>
          </w:tcPr>
          <w:p w14:paraId="289A2C22">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创新活力</w:t>
            </w:r>
          </w:p>
        </w:tc>
      </w:tr>
      <w:tr w14:paraId="752B2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426" w:type="dxa"/>
            <w:vMerge w:val="restart"/>
            <w:vAlign w:val="center"/>
          </w:tcPr>
          <w:p w14:paraId="2186858E">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公园绿地</w:t>
            </w:r>
          </w:p>
        </w:tc>
        <w:tc>
          <w:tcPr>
            <w:tcW w:w="2121" w:type="dxa"/>
            <w:vAlign w:val="center"/>
          </w:tcPr>
          <w:p w14:paraId="40BE4D7C">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综合公园</w:t>
            </w:r>
          </w:p>
        </w:tc>
        <w:tc>
          <w:tcPr>
            <w:tcW w:w="2979" w:type="dxa"/>
            <w:vAlign w:val="center"/>
          </w:tcPr>
          <w:p w14:paraId="5FAF7107">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c>
          <w:tcPr>
            <w:tcW w:w="2979" w:type="dxa"/>
            <w:vAlign w:val="center"/>
          </w:tcPr>
          <w:p w14:paraId="688FF15B">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r>
      <w:tr w14:paraId="6CF3C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14:paraId="143AD3C6">
            <w:pPr>
              <w:jc w:val="center"/>
              <w:rPr>
                <w:rFonts w:asciiTheme="minorEastAsia" w:hAnsiTheme="minorEastAsia" w:eastAsiaTheme="minorEastAsia" w:cstheme="minorEastAsia"/>
                <w:b/>
                <w:bCs/>
                <w:szCs w:val="21"/>
              </w:rPr>
            </w:pPr>
          </w:p>
        </w:tc>
        <w:tc>
          <w:tcPr>
            <w:tcW w:w="2121" w:type="dxa"/>
            <w:vAlign w:val="center"/>
          </w:tcPr>
          <w:p w14:paraId="2FDB1731">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社区公园</w:t>
            </w:r>
          </w:p>
        </w:tc>
        <w:tc>
          <w:tcPr>
            <w:tcW w:w="2979" w:type="dxa"/>
            <w:vAlign w:val="center"/>
          </w:tcPr>
          <w:p w14:paraId="0315787D">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c>
          <w:tcPr>
            <w:tcW w:w="2979" w:type="dxa"/>
            <w:vAlign w:val="center"/>
          </w:tcPr>
          <w:p w14:paraId="69BC0409">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r>
      <w:tr w14:paraId="711D8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14:paraId="5F74EB43">
            <w:pPr>
              <w:jc w:val="center"/>
              <w:rPr>
                <w:rFonts w:asciiTheme="minorEastAsia" w:hAnsiTheme="minorEastAsia" w:eastAsiaTheme="minorEastAsia" w:cstheme="minorEastAsia"/>
                <w:b/>
                <w:bCs/>
                <w:szCs w:val="21"/>
              </w:rPr>
            </w:pPr>
          </w:p>
        </w:tc>
        <w:tc>
          <w:tcPr>
            <w:tcW w:w="2121" w:type="dxa"/>
            <w:vAlign w:val="center"/>
          </w:tcPr>
          <w:p w14:paraId="237246C7">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专类公园</w:t>
            </w:r>
          </w:p>
        </w:tc>
        <w:tc>
          <w:tcPr>
            <w:tcW w:w="2979" w:type="dxa"/>
            <w:vAlign w:val="center"/>
          </w:tcPr>
          <w:p w14:paraId="7212072C">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c>
          <w:tcPr>
            <w:tcW w:w="2979" w:type="dxa"/>
            <w:vAlign w:val="center"/>
          </w:tcPr>
          <w:p w14:paraId="38AA1CBE">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r>
      <w:tr w14:paraId="2665E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14:paraId="36917CA8">
            <w:pPr>
              <w:jc w:val="center"/>
              <w:rPr>
                <w:rFonts w:asciiTheme="minorEastAsia" w:hAnsiTheme="minorEastAsia" w:eastAsiaTheme="minorEastAsia" w:cstheme="minorEastAsia"/>
                <w:b/>
                <w:bCs/>
                <w:szCs w:val="21"/>
              </w:rPr>
            </w:pPr>
          </w:p>
        </w:tc>
        <w:tc>
          <w:tcPr>
            <w:tcW w:w="2121" w:type="dxa"/>
            <w:vAlign w:val="center"/>
          </w:tcPr>
          <w:p w14:paraId="0668150C">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游园</w:t>
            </w:r>
          </w:p>
        </w:tc>
        <w:tc>
          <w:tcPr>
            <w:tcW w:w="2979" w:type="dxa"/>
            <w:vAlign w:val="center"/>
          </w:tcPr>
          <w:p w14:paraId="61FC22EE">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c>
          <w:tcPr>
            <w:tcW w:w="2979" w:type="dxa"/>
            <w:vAlign w:val="center"/>
          </w:tcPr>
          <w:p w14:paraId="20D4FFCC">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r>
      <w:tr w14:paraId="28408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restart"/>
            <w:vAlign w:val="center"/>
          </w:tcPr>
          <w:p w14:paraId="1BF9D653">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防护绿地</w:t>
            </w:r>
          </w:p>
        </w:tc>
        <w:tc>
          <w:tcPr>
            <w:tcW w:w="2121" w:type="dxa"/>
            <w:vAlign w:val="center"/>
          </w:tcPr>
          <w:p w14:paraId="5A9FE260">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卫生隔离</w:t>
            </w:r>
          </w:p>
        </w:tc>
        <w:tc>
          <w:tcPr>
            <w:tcW w:w="2979" w:type="dxa"/>
            <w:vAlign w:val="center"/>
          </w:tcPr>
          <w:p w14:paraId="42BC6DDE">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c>
          <w:tcPr>
            <w:tcW w:w="2979" w:type="dxa"/>
            <w:vAlign w:val="center"/>
          </w:tcPr>
          <w:p w14:paraId="51CFB431">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r>
      <w:tr w14:paraId="49FEE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14:paraId="358944EA">
            <w:pPr>
              <w:jc w:val="center"/>
              <w:rPr>
                <w:rFonts w:asciiTheme="minorEastAsia" w:hAnsiTheme="minorEastAsia" w:eastAsiaTheme="minorEastAsia" w:cstheme="minorEastAsia"/>
                <w:b/>
                <w:bCs/>
                <w:szCs w:val="21"/>
              </w:rPr>
            </w:pPr>
          </w:p>
        </w:tc>
        <w:tc>
          <w:tcPr>
            <w:tcW w:w="2121" w:type="dxa"/>
            <w:vAlign w:val="center"/>
          </w:tcPr>
          <w:p w14:paraId="6E25867E">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道路及铁路</w:t>
            </w:r>
          </w:p>
        </w:tc>
        <w:tc>
          <w:tcPr>
            <w:tcW w:w="2979" w:type="dxa"/>
            <w:vAlign w:val="center"/>
          </w:tcPr>
          <w:p w14:paraId="30A58689">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c>
          <w:tcPr>
            <w:tcW w:w="2979" w:type="dxa"/>
            <w:vAlign w:val="center"/>
          </w:tcPr>
          <w:p w14:paraId="59270BDC">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r>
      <w:tr w14:paraId="5A5E5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14:paraId="345BF6E1">
            <w:pPr>
              <w:jc w:val="center"/>
              <w:rPr>
                <w:rFonts w:asciiTheme="minorEastAsia" w:hAnsiTheme="minorEastAsia" w:eastAsiaTheme="minorEastAsia" w:cstheme="minorEastAsia"/>
                <w:b/>
                <w:bCs/>
                <w:szCs w:val="21"/>
              </w:rPr>
            </w:pPr>
          </w:p>
        </w:tc>
        <w:tc>
          <w:tcPr>
            <w:tcW w:w="2121" w:type="dxa"/>
            <w:vAlign w:val="center"/>
          </w:tcPr>
          <w:p w14:paraId="471AD38E">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高压走廊</w:t>
            </w:r>
          </w:p>
        </w:tc>
        <w:tc>
          <w:tcPr>
            <w:tcW w:w="2979" w:type="dxa"/>
            <w:vAlign w:val="center"/>
          </w:tcPr>
          <w:p w14:paraId="6B32C2CE">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c>
          <w:tcPr>
            <w:tcW w:w="2979" w:type="dxa"/>
            <w:vAlign w:val="center"/>
          </w:tcPr>
          <w:p w14:paraId="156838F9">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r>
      <w:tr w14:paraId="76C5C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14:paraId="1F12821F">
            <w:pPr>
              <w:jc w:val="center"/>
              <w:rPr>
                <w:rFonts w:asciiTheme="minorEastAsia" w:hAnsiTheme="minorEastAsia" w:eastAsiaTheme="minorEastAsia" w:cstheme="minorEastAsia"/>
                <w:b/>
                <w:bCs/>
                <w:szCs w:val="21"/>
              </w:rPr>
            </w:pPr>
          </w:p>
        </w:tc>
        <w:tc>
          <w:tcPr>
            <w:tcW w:w="2121" w:type="dxa"/>
            <w:vAlign w:val="center"/>
          </w:tcPr>
          <w:p w14:paraId="2416ACD1">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公用设施</w:t>
            </w:r>
          </w:p>
        </w:tc>
        <w:tc>
          <w:tcPr>
            <w:tcW w:w="2979" w:type="dxa"/>
            <w:vAlign w:val="center"/>
          </w:tcPr>
          <w:p w14:paraId="14F08154">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c>
          <w:tcPr>
            <w:tcW w:w="2979" w:type="dxa"/>
            <w:vAlign w:val="center"/>
          </w:tcPr>
          <w:p w14:paraId="699E3E38">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r>
      <w:tr w14:paraId="20849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restart"/>
            <w:vAlign w:val="center"/>
          </w:tcPr>
          <w:p w14:paraId="4A728C61">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附属绿地</w:t>
            </w:r>
          </w:p>
        </w:tc>
        <w:tc>
          <w:tcPr>
            <w:tcW w:w="2121" w:type="dxa"/>
            <w:vAlign w:val="center"/>
          </w:tcPr>
          <w:p w14:paraId="27804FF0">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居住</w:t>
            </w:r>
          </w:p>
        </w:tc>
        <w:tc>
          <w:tcPr>
            <w:tcW w:w="2979" w:type="dxa"/>
            <w:vAlign w:val="center"/>
          </w:tcPr>
          <w:p w14:paraId="008776D8">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c>
          <w:tcPr>
            <w:tcW w:w="2979" w:type="dxa"/>
            <w:vAlign w:val="center"/>
          </w:tcPr>
          <w:p w14:paraId="67E6E8F9">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r>
      <w:tr w14:paraId="66C92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14:paraId="5B7DA5E4">
            <w:pPr>
              <w:jc w:val="center"/>
              <w:rPr>
                <w:rFonts w:asciiTheme="minorEastAsia" w:hAnsiTheme="minorEastAsia" w:eastAsiaTheme="minorEastAsia" w:cstheme="minorEastAsia"/>
                <w:b/>
                <w:bCs/>
                <w:szCs w:val="21"/>
              </w:rPr>
            </w:pPr>
          </w:p>
        </w:tc>
        <w:tc>
          <w:tcPr>
            <w:tcW w:w="2121" w:type="dxa"/>
            <w:vAlign w:val="center"/>
          </w:tcPr>
          <w:p w14:paraId="7E51F8F6">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公共管理与公服</w:t>
            </w:r>
          </w:p>
        </w:tc>
        <w:tc>
          <w:tcPr>
            <w:tcW w:w="2979" w:type="dxa"/>
            <w:vAlign w:val="center"/>
          </w:tcPr>
          <w:p w14:paraId="29C8ED1B">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c>
          <w:tcPr>
            <w:tcW w:w="2979" w:type="dxa"/>
            <w:vAlign w:val="center"/>
          </w:tcPr>
          <w:p w14:paraId="1C3CE27A">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r>
      <w:tr w14:paraId="67FBC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14:paraId="29264DA4">
            <w:pPr>
              <w:jc w:val="center"/>
              <w:rPr>
                <w:rFonts w:asciiTheme="minorEastAsia" w:hAnsiTheme="minorEastAsia" w:eastAsiaTheme="minorEastAsia" w:cstheme="minorEastAsia"/>
                <w:b/>
                <w:bCs/>
                <w:szCs w:val="21"/>
              </w:rPr>
            </w:pPr>
          </w:p>
        </w:tc>
        <w:tc>
          <w:tcPr>
            <w:tcW w:w="2121" w:type="dxa"/>
            <w:vAlign w:val="center"/>
          </w:tcPr>
          <w:p w14:paraId="3D7D606C">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商业服务</w:t>
            </w:r>
          </w:p>
        </w:tc>
        <w:tc>
          <w:tcPr>
            <w:tcW w:w="2979" w:type="dxa"/>
            <w:vAlign w:val="center"/>
          </w:tcPr>
          <w:p w14:paraId="0DE8F2E4">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c>
          <w:tcPr>
            <w:tcW w:w="2979" w:type="dxa"/>
            <w:vAlign w:val="center"/>
          </w:tcPr>
          <w:p w14:paraId="3CBADEA2">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r>
      <w:tr w14:paraId="73F92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14:paraId="6482689F">
            <w:pPr>
              <w:jc w:val="center"/>
              <w:rPr>
                <w:rFonts w:asciiTheme="minorEastAsia" w:hAnsiTheme="minorEastAsia" w:eastAsiaTheme="minorEastAsia" w:cstheme="minorEastAsia"/>
                <w:b/>
                <w:bCs/>
                <w:szCs w:val="21"/>
              </w:rPr>
            </w:pPr>
          </w:p>
        </w:tc>
        <w:tc>
          <w:tcPr>
            <w:tcW w:w="2121" w:type="dxa"/>
            <w:vAlign w:val="center"/>
          </w:tcPr>
          <w:p w14:paraId="79F484BC">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工业</w:t>
            </w:r>
          </w:p>
        </w:tc>
        <w:tc>
          <w:tcPr>
            <w:tcW w:w="2979" w:type="dxa"/>
            <w:vAlign w:val="center"/>
          </w:tcPr>
          <w:p w14:paraId="34950C7F">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c>
          <w:tcPr>
            <w:tcW w:w="2979" w:type="dxa"/>
            <w:vAlign w:val="center"/>
          </w:tcPr>
          <w:p w14:paraId="550D22B3">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r>
      <w:tr w14:paraId="7F491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14:paraId="797253B5">
            <w:pPr>
              <w:jc w:val="center"/>
              <w:rPr>
                <w:rFonts w:asciiTheme="minorEastAsia" w:hAnsiTheme="minorEastAsia" w:eastAsiaTheme="minorEastAsia" w:cstheme="minorEastAsia"/>
                <w:b/>
                <w:bCs/>
                <w:szCs w:val="21"/>
              </w:rPr>
            </w:pPr>
          </w:p>
        </w:tc>
        <w:tc>
          <w:tcPr>
            <w:tcW w:w="2121" w:type="dxa"/>
            <w:vAlign w:val="center"/>
          </w:tcPr>
          <w:p w14:paraId="32023E44">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仓储</w:t>
            </w:r>
          </w:p>
        </w:tc>
        <w:tc>
          <w:tcPr>
            <w:tcW w:w="2979" w:type="dxa"/>
            <w:vAlign w:val="center"/>
          </w:tcPr>
          <w:p w14:paraId="1B1B85C1">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c>
          <w:tcPr>
            <w:tcW w:w="2979" w:type="dxa"/>
            <w:vAlign w:val="center"/>
          </w:tcPr>
          <w:p w14:paraId="09E708CB">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r>
      <w:tr w14:paraId="14C4D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14:paraId="79103A23">
            <w:pPr>
              <w:jc w:val="center"/>
              <w:rPr>
                <w:rFonts w:asciiTheme="minorEastAsia" w:hAnsiTheme="minorEastAsia" w:eastAsiaTheme="minorEastAsia" w:cstheme="minorEastAsia"/>
                <w:b/>
                <w:bCs/>
                <w:szCs w:val="21"/>
              </w:rPr>
            </w:pPr>
          </w:p>
        </w:tc>
        <w:tc>
          <w:tcPr>
            <w:tcW w:w="2121" w:type="dxa"/>
            <w:vAlign w:val="center"/>
          </w:tcPr>
          <w:p w14:paraId="7E935410">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道路交通</w:t>
            </w:r>
          </w:p>
        </w:tc>
        <w:tc>
          <w:tcPr>
            <w:tcW w:w="2979" w:type="dxa"/>
            <w:vAlign w:val="center"/>
          </w:tcPr>
          <w:p w14:paraId="750CD3AF">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c>
          <w:tcPr>
            <w:tcW w:w="2979" w:type="dxa"/>
            <w:vAlign w:val="center"/>
          </w:tcPr>
          <w:p w14:paraId="0821D3BE">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r>
      <w:tr w14:paraId="68EF0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14:paraId="2DFF21D3">
            <w:pPr>
              <w:jc w:val="center"/>
              <w:rPr>
                <w:rFonts w:asciiTheme="minorEastAsia" w:hAnsiTheme="minorEastAsia" w:eastAsiaTheme="minorEastAsia" w:cstheme="minorEastAsia"/>
                <w:b/>
                <w:bCs/>
                <w:szCs w:val="21"/>
              </w:rPr>
            </w:pPr>
          </w:p>
        </w:tc>
        <w:tc>
          <w:tcPr>
            <w:tcW w:w="2121" w:type="dxa"/>
            <w:vAlign w:val="center"/>
          </w:tcPr>
          <w:p w14:paraId="2FC17412">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公共设施</w:t>
            </w:r>
          </w:p>
        </w:tc>
        <w:tc>
          <w:tcPr>
            <w:tcW w:w="2979" w:type="dxa"/>
            <w:vAlign w:val="center"/>
          </w:tcPr>
          <w:p w14:paraId="2B8E96E7">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c>
          <w:tcPr>
            <w:tcW w:w="2979" w:type="dxa"/>
            <w:vAlign w:val="center"/>
          </w:tcPr>
          <w:p w14:paraId="183FF6E2">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r>
      <w:tr w14:paraId="16B45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7" w:type="dxa"/>
            <w:gridSpan w:val="2"/>
            <w:vAlign w:val="center"/>
          </w:tcPr>
          <w:p w14:paraId="744CDDBC">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广场用地</w:t>
            </w:r>
          </w:p>
        </w:tc>
        <w:tc>
          <w:tcPr>
            <w:tcW w:w="2979" w:type="dxa"/>
            <w:vAlign w:val="center"/>
          </w:tcPr>
          <w:p w14:paraId="43E36457">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c>
          <w:tcPr>
            <w:tcW w:w="2979" w:type="dxa"/>
            <w:vAlign w:val="center"/>
          </w:tcPr>
          <w:p w14:paraId="058D3EF1">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r>
      <w:tr w14:paraId="7D4DC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restart"/>
            <w:vAlign w:val="center"/>
          </w:tcPr>
          <w:p w14:paraId="7F9092B8">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区域绿地</w:t>
            </w:r>
          </w:p>
        </w:tc>
        <w:tc>
          <w:tcPr>
            <w:tcW w:w="2121" w:type="dxa"/>
            <w:vAlign w:val="center"/>
          </w:tcPr>
          <w:p w14:paraId="6859A729">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风景游憩</w:t>
            </w:r>
          </w:p>
        </w:tc>
        <w:tc>
          <w:tcPr>
            <w:tcW w:w="2979" w:type="dxa"/>
            <w:vAlign w:val="center"/>
          </w:tcPr>
          <w:p w14:paraId="526EB5B9">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c>
          <w:tcPr>
            <w:tcW w:w="2979" w:type="dxa"/>
            <w:vAlign w:val="center"/>
          </w:tcPr>
          <w:p w14:paraId="7C3E4E46">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r>
      <w:tr w14:paraId="08D8F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14:paraId="080BF926">
            <w:pPr>
              <w:jc w:val="center"/>
              <w:rPr>
                <w:rFonts w:asciiTheme="minorEastAsia" w:hAnsiTheme="minorEastAsia" w:eastAsiaTheme="minorEastAsia" w:cstheme="minorEastAsia"/>
                <w:b/>
                <w:bCs/>
                <w:szCs w:val="21"/>
              </w:rPr>
            </w:pPr>
          </w:p>
        </w:tc>
        <w:tc>
          <w:tcPr>
            <w:tcW w:w="2121" w:type="dxa"/>
            <w:vAlign w:val="center"/>
          </w:tcPr>
          <w:p w14:paraId="4E61D6FC">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生态保育</w:t>
            </w:r>
          </w:p>
        </w:tc>
        <w:tc>
          <w:tcPr>
            <w:tcW w:w="2979" w:type="dxa"/>
            <w:vAlign w:val="center"/>
          </w:tcPr>
          <w:p w14:paraId="1A815385">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c>
          <w:tcPr>
            <w:tcW w:w="2979" w:type="dxa"/>
            <w:vAlign w:val="center"/>
          </w:tcPr>
          <w:p w14:paraId="6E6DE437">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r>
      <w:tr w14:paraId="24ECC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14:paraId="77648386">
            <w:pPr>
              <w:jc w:val="center"/>
              <w:rPr>
                <w:rFonts w:asciiTheme="minorEastAsia" w:hAnsiTheme="minorEastAsia" w:eastAsiaTheme="minorEastAsia" w:cstheme="minorEastAsia"/>
                <w:b/>
                <w:bCs/>
                <w:szCs w:val="21"/>
              </w:rPr>
            </w:pPr>
          </w:p>
        </w:tc>
        <w:tc>
          <w:tcPr>
            <w:tcW w:w="2121" w:type="dxa"/>
            <w:vAlign w:val="center"/>
          </w:tcPr>
          <w:p w14:paraId="6616A01E">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区域设施防护</w:t>
            </w:r>
          </w:p>
        </w:tc>
        <w:tc>
          <w:tcPr>
            <w:tcW w:w="2979" w:type="dxa"/>
            <w:vAlign w:val="center"/>
          </w:tcPr>
          <w:p w14:paraId="0D09833B">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c>
          <w:tcPr>
            <w:tcW w:w="2979" w:type="dxa"/>
            <w:vAlign w:val="center"/>
          </w:tcPr>
          <w:p w14:paraId="40FC2A3A">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r>
      <w:tr w14:paraId="13494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14:paraId="79684F1D">
            <w:pPr>
              <w:jc w:val="center"/>
              <w:rPr>
                <w:rFonts w:asciiTheme="minorEastAsia" w:hAnsiTheme="minorEastAsia" w:eastAsiaTheme="minorEastAsia" w:cstheme="minorEastAsia"/>
                <w:b/>
                <w:bCs/>
                <w:szCs w:val="21"/>
              </w:rPr>
            </w:pPr>
          </w:p>
        </w:tc>
        <w:tc>
          <w:tcPr>
            <w:tcW w:w="2121" w:type="dxa"/>
            <w:vAlign w:val="center"/>
          </w:tcPr>
          <w:p w14:paraId="31B012B5">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生产</w:t>
            </w:r>
          </w:p>
        </w:tc>
        <w:tc>
          <w:tcPr>
            <w:tcW w:w="2979" w:type="dxa"/>
            <w:vAlign w:val="center"/>
          </w:tcPr>
          <w:p w14:paraId="4ACA774E">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c>
          <w:tcPr>
            <w:tcW w:w="2979" w:type="dxa"/>
            <w:vAlign w:val="center"/>
          </w:tcPr>
          <w:p w14:paraId="544FC519">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w:t>
            </w:r>
          </w:p>
        </w:tc>
      </w:tr>
    </w:tbl>
    <w:p w14:paraId="31BB1786">
      <w:pPr>
        <w:widowControl/>
        <w:spacing w:line="360" w:lineRule="auto"/>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注：“</w:t>
      </w:r>
      <w:r>
        <w:rPr>
          <w:rFonts w:hint="eastAsia" w:asciiTheme="minorEastAsia" w:hAnsiTheme="minorEastAsia" w:eastAsiaTheme="minorEastAsia" w:cstheme="minorEastAsia"/>
          <w:bCs/>
          <w:szCs w:val="21"/>
          <w:lang w:bidi="ar"/>
        </w:rPr>
        <w:t>●</w:t>
      </w:r>
      <w:r>
        <w:rPr>
          <w:rFonts w:hint="eastAsia" w:asciiTheme="minorEastAsia" w:hAnsiTheme="minorEastAsia" w:eastAsiaTheme="minorEastAsia" w:cstheme="minorEastAsia"/>
          <w:szCs w:val="21"/>
        </w:rPr>
        <w:t>”表示应设；“</w:t>
      </w:r>
      <w:r>
        <w:rPr>
          <w:rFonts w:hint="eastAsia" w:asciiTheme="minorEastAsia" w:hAnsiTheme="minorEastAsia" w:eastAsiaTheme="minorEastAsia" w:cstheme="minorEastAsia"/>
          <w:bCs/>
          <w:szCs w:val="21"/>
          <w:lang w:bidi="ar"/>
        </w:rPr>
        <w:t>○</w:t>
      </w:r>
      <w:r>
        <w:rPr>
          <w:rFonts w:hint="eastAsia" w:asciiTheme="minorEastAsia" w:hAnsiTheme="minorEastAsia" w:eastAsiaTheme="minorEastAsia" w:cstheme="minorEastAsia"/>
          <w:szCs w:val="21"/>
        </w:rPr>
        <w:t>”表示宜设；“—”表示不需要设置。</w:t>
      </w:r>
    </w:p>
    <w:p w14:paraId="5FD1AEED">
      <w:pPr>
        <w:widowControl/>
        <w:jc w:val="left"/>
        <w:rPr>
          <w:rFonts w:asciiTheme="minorEastAsia" w:hAnsiTheme="minorEastAsia" w:eastAsiaTheme="minorEastAsia" w:cstheme="minorEastAsia"/>
          <w:szCs w:val="21"/>
        </w:rPr>
      </w:pPr>
      <w:bookmarkStart w:id="142" w:name="_Toc1915"/>
      <w:r>
        <w:rPr>
          <w:b/>
          <w:bCs/>
          <w:szCs w:val="21"/>
        </w:rPr>
        <w:br w:type="page"/>
      </w:r>
    </w:p>
    <w:p w14:paraId="156D72A8">
      <w:pPr>
        <w:pStyle w:val="34"/>
        <w:rPr>
          <w:shd w:val="clear" w:color="auto" w:fill="FFFFFF"/>
        </w:rPr>
      </w:pPr>
      <w:bookmarkStart w:id="143" w:name="_Toc31464"/>
      <w:r>
        <w:rPr>
          <w:rFonts w:hint="eastAsia"/>
          <w:shd w:val="clear" w:color="auto" w:fill="FFFFFF"/>
        </w:rPr>
        <w:t>10　要素设计</w:t>
      </w:r>
      <w:bookmarkEnd w:id="142"/>
      <w:bookmarkEnd w:id="143"/>
    </w:p>
    <w:p w14:paraId="22D45BE4">
      <w:pPr>
        <w:pStyle w:val="40"/>
        <w:outlineLvl w:val="1"/>
        <w:rPr>
          <w:b w:val="0"/>
        </w:rPr>
      </w:pPr>
      <w:bookmarkStart w:id="144" w:name="_Toc8262"/>
      <w:bookmarkStart w:id="145" w:name="_Toc20884"/>
      <w:r>
        <w:rPr>
          <w:rFonts w:hint="eastAsia"/>
          <w:b w:val="0"/>
        </w:rPr>
        <w:t>10.1</w:t>
      </w:r>
      <w:r>
        <w:rPr>
          <w:rFonts w:hint="eastAsia" w:asciiTheme="minorEastAsia" w:hAnsiTheme="minorEastAsia" w:eastAsiaTheme="minorEastAsia"/>
          <w:b w:val="0"/>
          <w:sz w:val="24"/>
          <w:szCs w:val="24"/>
        </w:rPr>
        <w:t>　</w:t>
      </w:r>
      <w:r>
        <w:rPr>
          <w:rFonts w:hint="eastAsia"/>
          <w:b w:val="0"/>
        </w:rPr>
        <w:t>一般规定</w:t>
      </w:r>
      <w:bookmarkEnd w:id="144"/>
      <w:bookmarkEnd w:id="145"/>
    </w:p>
    <w:p w14:paraId="47D610E5">
      <w:pPr>
        <w:widowControl/>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10.1.1</w:t>
      </w:r>
      <w:r>
        <w:rPr>
          <w:rFonts w:hint="eastAsia" w:asciiTheme="minorEastAsia" w:hAnsiTheme="minorEastAsia" w:eastAsiaTheme="minorEastAsia" w:cstheme="minorEastAsia"/>
          <w:sz w:val="24"/>
          <w:szCs w:val="24"/>
        </w:rPr>
        <w:t>　城市绿地的要素设计应包括竖向地形、土壤、水体、植物、道路、台阶、铺装场地、桥梁、建（构）筑物、配套设施、给水排水、电气的设计。</w:t>
      </w:r>
    </w:p>
    <w:p w14:paraId="7A52FD93">
      <w:pPr>
        <w:widowControl/>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10.1.2</w:t>
      </w:r>
      <w:r>
        <w:rPr>
          <w:rFonts w:hint="eastAsia" w:asciiTheme="minorEastAsia" w:hAnsiTheme="minorEastAsia" w:eastAsiaTheme="minorEastAsia" w:cstheme="minorEastAsia"/>
          <w:sz w:val="24"/>
          <w:szCs w:val="24"/>
        </w:rPr>
        <w:t>　城市绿地设计应以植物为主要设计要素。</w:t>
      </w:r>
    </w:p>
    <w:p w14:paraId="5CD6EF2E">
      <w:pPr>
        <w:widowControl/>
        <w:spacing w:line="360" w:lineRule="auto"/>
        <w:jc w:val="left"/>
        <w:rPr>
          <w:rFonts w:asciiTheme="minorEastAsia" w:hAnsiTheme="minorEastAsia" w:eastAsiaTheme="minorEastAsia" w:cstheme="minorEastAsia"/>
          <w:sz w:val="24"/>
          <w:szCs w:val="24"/>
          <w:lang w:eastAsia="zh-Hans"/>
        </w:rPr>
      </w:pPr>
      <w:r>
        <w:rPr>
          <w:rFonts w:hint="eastAsia" w:asciiTheme="minorEastAsia" w:hAnsiTheme="minorEastAsia" w:eastAsiaTheme="minorEastAsia" w:cstheme="minorEastAsia"/>
          <w:b/>
          <w:sz w:val="24"/>
          <w:szCs w:val="24"/>
        </w:rPr>
        <w:t>10.1.</w:t>
      </w:r>
      <w:r>
        <w:rPr>
          <w:rFonts w:hint="eastAsia" w:asciiTheme="minorEastAsia" w:hAnsiTheme="minorEastAsia" w:eastAsiaTheme="minorEastAsia" w:cstheme="minorEastAsia"/>
          <w:b/>
          <w:sz w:val="24"/>
          <w:szCs w:val="24"/>
          <w:lang w:eastAsia="zh-Hans"/>
        </w:rPr>
        <w:t>3</w:t>
      </w:r>
      <w:r>
        <w:rPr>
          <w:rFonts w:hint="eastAsia" w:asciiTheme="minorEastAsia" w:hAnsiTheme="minorEastAsia" w:eastAsiaTheme="minorEastAsia" w:cstheme="minorEastAsia"/>
          <w:sz w:val="24"/>
          <w:szCs w:val="24"/>
        </w:rPr>
        <w:t>　城市绿地设计应统筹协调地形、水体、植物、道路、建（构）筑物及各类设施等要素，形成有机整体。</w:t>
      </w:r>
    </w:p>
    <w:p w14:paraId="3CA29E70">
      <w:pPr>
        <w:pStyle w:val="40"/>
        <w:outlineLvl w:val="1"/>
        <w:rPr>
          <w:b w:val="0"/>
        </w:rPr>
      </w:pPr>
      <w:bookmarkStart w:id="146" w:name="_Toc15760"/>
      <w:bookmarkStart w:id="147" w:name="_Toc15547"/>
      <w:r>
        <w:rPr>
          <w:b w:val="0"/>
        </w:rPr>
        <w:t>10</w:t>
      </w:r>
      <w:r>
        <w:rPr>
          <w:rFonts w:hint="eastAsia"/>
          <w:b w:val="0"/>
        </w:rPr>
        <w:t>.2　竖向地形、土壤、水体</w:t>
      </w:r>
      <w:bookmarkEnd w:id="146"/>
      <w:bookmarkEnd w:id="147"/>
    </w:p>
    <w:p w14:paraId="45A509A7">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10.2.1</w:t>
      </w:r>
      <w:r>
        <w:rPr>
          <w:rFonts w:hint="eastAsia" w:asciiTheme="minorEastAsia" w:hAnsiTheme="minorEastAsia" w:eastAsiaTheme="minorEastAsia" w:cstheme="minorEastAsia"/>
          <w:sz w:val="24"/>
          <w:szCs w:val="24"/>
        </w:rPr>
        <w:t>　城市绿地的竖向设计应以总体设计布局及控制高程为依据，营造有利于雨水</w:t>
      </w:r>
      <w:r>
        <w:rPr>
          <w:rFonts w:hint="eastAsia" w:asciiTheme="minorEastAsia" w:hAnsiTheme="minorEastAsia" w:eastAsiaTheme="minorEastAsia" w:cstheme="minorEastAsia"/>
          <w:sz w:val="24"/>
          <w:szCs w:val="24"/>
          <w:lang w:eastAsia="zh-Hans"/>
        </w:rPr>
        <w:t>排蓄及</w:t>
      </w:r>
      <w:r>
        <w:rPr>
          <w:rFonts w:hint="eastAsia" w:asciiTheme="minorEastAsia" w:hAnsiTheme="minorEastAsia" w:eastAsiaTheme="minorEastAsia" w:cstheme="minorEastAsia"/>
          <w:sz w:val="24"/>
          <w:szCs w:val="24"/>
        </w:rPr>
        <w:t>就地消纳的地形并应与相邻用地标高相协调。</w:t>
      </w:r>
    </w:p>
    <w:p w14:paraId="677012C6">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10.2.2</w:t>
      </w:r>
      <w:r>
        <w:rPr>
          <w:rFonts w:hint="eastAsia" w:asciiTheme="minorEastAsia" w:hAnsiTheme="minorEastAsia" w:eastAsiaTheme="minorEastAsia" w:cstheme="minorEastAsia"/>
          <w:sz w:val="24"/>
          <w:szCs w:val="24"/>
        </w:rPr>
        <w:t>　当城市绿地的场地标高低于市政道路标高时，应有防止水进入场地的措施。</w:t>
      </w:r>
    </w:p>
    <w:p w14:paraId="518D1E3B">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10.2.3</w:t>
      </w:r>
      <w:r>
        <w:rPr>
          <w:rFonts w:hint="eastAsia" w:asciiTheme="minorEastAsia" w:hAnsiTheme="minorEastAsia" w:eastAsiaTheme="minorEastAsia" w:cstheme="minorEastAsia"/>
          <w:sz w:val="24"/>
          <w:szCs w:val="24"/>
        </w:rPr>
        <w:t>　竖向设计应满足植物的生态习性要求，有观赏要求的城市绿地竖向设计应有利于创造多种地貌和多种园林空间，丰富景观层次。</w:t>
      </w:r>
    </w:p>
    <w:p w14:paraId="2DCD9148">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10.2.4</w:t>
      </w:r>
      <w:r>
        <w:rPr>
          <w:rFonts w:hint="eastAsia" w:asciiTheme="minorEastAsia" w:hAnsiTheme="minorEastAsia" w:eastAsiaTheme="minorEastAsia" w:cstheme="minorEastAsia"/>
          <w:sz w:val="24"/>
          <w:szCs w:val="24"/>
        </w:rPr>
        <w:t>　基地内原有的地形地貌、水系宜保护、利用；地形改造应因地制宜并</w:t>
      </w:r>
      <w:r>
        <w:rPr>
          <w:rFonts w:asciiTheme="minorEastAsia" w:hAnsiTheme="minorEastAsia" w:eastAsiaTheme="minorEastAsia" w:cstheme="minorEastAsia"/>
          <w:sz w:val="24"/>
          <w:szCs w:val="24"/>
        </w:rPr>
        <w:t>就</w:t>
      </w:r>
      <w:r>
        <w:rPr>
          <w:rFonts w:hint="eastAsia" w:asciiTheme="minorEastAsia" w:hAnsiTheme="minorEastAsia" w:eastAsiaTheme="minorEastAsia" w:cstheme="minorEastAsia"/>
          <w:sz w:val="24"/>
          <w:szCs w:val="24"/>
        </w:rPr>
        <w:t>地平衡土方。</w:t>
      </w:r>
    </w:p>
    <w:p w14:paraId="424B3473">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10.2.5</w:t>
      </w:r>
      <w:r>
        <w:rPr>
          <w:rFonts w:hint="eastAsia" w:asciiTheme="minorEastAsia" w:hAnsiTheme="minorEastAsia" w:eastAsiaTheme="minorEastAsia" w:cstheme="minorEastAsia"/>
          <w:sz w:val="24"/>
          <w:szCs w:val="24"/>
        </w:rPr>
        <w:t>　应对原地表层适宜栽植的土壤加以保护并有效利用，不适宜栽植的土壤，应以客土更换。</w:t>
      </w:r>
    </w:p>
    <w:p w14:paraId="5A27E995">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10.2.6</w:t>
      </w:r>
      <w:r>
        <w:rPr>
          <w:rFonts w:hint="eastAsia" w:asciiTheme="minorEastAsia" w:hAnsiTheme="minorEastAsia" w:eastAsiaTheme="minorEastAsia" w:cstheme="minorEastAsia"/>
          <w:sz w:val="24"/>
          <w:szCs w:val="24"/>
        </w:rPr>
        <w:t>　种植土壤应疏松、肥沃，种植土理化性质及土壤厚度应符合现行行业标准《绿化种植土壤》CJ/T</w:t>
      </w:r>
      <w:r>
        <w:rPr>
          <w:rFonts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t>340的有关规定。</w:t>
      </w:r>
    </w:p>
    <w:p w14:paraId="4838CFBF">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10.2.7</w:t>
      </w:r>
      <w:r>
        <w:rPr>
          <w:rFonts w:hint="eastAsia" w:asciiTheme="minorEastAsia" w:hAnsiTheme="minorEastAsia" w:eastAsiaTheme="minorEastAsia" w:cstheme="minorEastAsia"/>
          <w:sz w:val="24"/>
          <w:szCs w:val="24"/>
        </w:rPr>
        <w:t>　若用填充物堆置土山时，其上部覆盖土厚度应符合植物正常生长的要求。</w:t>
      </w:r>
    </w:p>
    <w:p w14:paraId="4686AB54">
      <w:pPr>
        <w:widowControl/>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10.2.8</w:t>
      </w:r>
      <w:r>
        <w:rPr>
          <w:rFonts w:hint="eastAsia" w:asciiTheme="minorEastAsia" w:hAnsiTheme="minorEastAsia" w:eastAsiaTheme="minorEastAsia" w:cstheme="minorEastAsia"/>
          <w:sz w:val="24"/>
          <w:szCs w:val="24"/>
        </w:rPr>
        <w:t>　宜利用竖向设计营造不同深度的水体空间，满足植物及相关动物的生存需求。</w:t>
      </w:r>
    </w:p>
    <w:p w14:paraId="3767804B">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10.2.9</w:t>
      </w:r>
      <w:r>
        <w:rPr>
          <w:rFonts w:hint="eastAsia" w:asciiTheme="minorEastAsia" w:hAnsiTheme="minorEastAsia" w:eastAsiaTheme="minorEastAsia" w:cstheme="minorEastAsia"/>
          <w:sz w:val="24"/>
          <w:szCs w:val="24"/>
        </w:rPr>
        <w:t>　绿地中的水体应有充足的水源和水量，宜以雨、雪、地下水等作为水源。有观赏要求的城市绿地水体的常水位与</w:t>
      </w:r>
      <w:r>
        <w:rPr>
          <w:rFonts w:hint="eastAsia" w:asciiTheme="minorEastAsia" w:hAnsiTheme="minorEastAsia" w:eastAsiaTheme="minorEastAsia" w:cstheme="minorEastAsia"/>
          <w:sz w:val="24"/>
          <w:szCs w:val="24"/>
          <w:lang w:eastAsia="zh-Hans"/>
        </w:rPr>
        <w:t>水</w:t>
      </w:r>
      <w:r>
        <w:rPr>
          <w:rFonts w:hint="eastAsia" w:asciiTheme="minorEastAsia" w:hAnsiTheme="minorEastAsia" w:eastAsiaTheme="minorEastAsia" w:cstheme="minorEastAsia"/>
          <w:sz w:val="24"/>
          <w:szCs w:val="24"/>
        </w:rPr>
        <w:t>岸顶边的高差宜</w:t>
      </w:r>
      <w:r>
        <w:rPr>
          <w:rFonts w:hint="eastAsia" w:asciiTheme="minorEastAsia" w:hAnsiTheme="minorEastAsia" w:eastAsiaTheme="minorEastAsia" w:cstheme="minorEastAsia"/>
          <w:sz w:val="24"/>
          <w:szCs w:val="24"/>
          <w:lang w:eastAsia="zh-Hans"/>
        </w:rPr>
        <w:t>为</w:t>
      </w:r>
      <w:r>
        <w:rPr>
          <w:rFonts w:hint="eastAsia" w:asciiTheme="minorEastAsia" w:hAnsiTheme="minorEastAsia" w:eastAsiaTheme="minorEastAsia" w:cstheme="minorEastAsia"/>
          <w:sz w:val="24"/>
          <w:szCs w:val="24"/>
        </w:rPr>
        <w:t>0.3m～0.5m。水体</w:t>
      </w:r>
      <w:r>
        <w:rPr>
          <w:rFonts w:hint="eastAsia" w:asciiTheme="minorEastAsia" w:hAnsiTheme="minorEastAsia" w:eastAsiaTheme="minorEastAsia" w:cstheme="minorEastAsia"/>
          <w:sz w:val="24"/>
          <w:szCs w:val="24"/>
          <w:lang w:eastAsia="zh-Hans"/>
        </w:rPr>
        <w:t>应设</w:t>
      </w:r>
      <w:r>
        <w:rPr>
          <w:rFonts w:hint="eastAsia" w:asciiTheme="minorEastAsia" w:hAnsiTheme="minorEastAsia" w:eastAsiaTheme="minorEastAsia" w:cstheme="minorEastAsia"/>
          <w:sz w:val="24"/>
          <w:szCs w:val="24"/>
        </w:rPr>
        <w:t>控制水位</w:t>
      </w:r>
      <w:r>
        <w:rPr>
          <w:rFonts w:hint="eastAsia" w:asciiTheme="minorEastAsia" w:hAnsiTheme="minorEastAsia" w:eastAsiaTheme="minorEastAsia" w:cstheme="minorEastAsia"/>
          <w:sz w:val="24"/>
          <w:szCs w:val="24"/>
          <w:lang w:eastAsia="zh-Hans"/>
        </w:rPr>
        <w:t>的措施</w:t>
      </w:r>
      <w:r>
        <w:rPr>
          <w:rFonts w:hint="eastAsia" w:asciiTheme="minorEastAsia" w:hAnsiTheme="minorEastAsia" w:eastAsiaTheme="minorEastAsia" w:cstheme="minorEastAsia"/>
          <w:sz w:val="24"/>
          <w:szCs w:val="24"/>
        </w:rPr>
        <w:t>。</w:t>
      </w:r>
    </w:p>
    <w:p w14:paraId="18B1A1BA">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10.2.10</w:t>
      </w:r>
      <w:r>
        <w:rPr>
          <w:rFonts w:hint="eastAsia" w:asciiTheme="minorEastAsia" w:hAnsiTheme="minorEastAsia" w:eastAsiaTheme="minorEastAsia" w:cstheme="minorEastAsia"/>
          <w:sz w:val="24"/>
          <w:szCs w:val="24"/>
        </w:rPr>
        <w:t>　水体深度应满足城市绿地的实际使用功能，栽植水生植物及营造人工湿地时，水深宜为0.1</w:t>
      </w:r>
      <w:r>
        <w:rPr>
          <w:rFonts w:hint="eastAsia" w:asciiTheme="minorEastAsia" w:hAnsiTheme="minorEastAsia" w:eastAsiaTheme="minorEastAsia" w:cstheme="minorEastAsia"/>
          <w:kern w:val="0"/>
          <w:sz w:val="24"/>
          <w:szCs w:val="24"/>
        </w:rPr>
        <w:t xml:space="preserve"> m</w:t>
      </w:r>
      <w:r>
        <w:rPr>
          <w:rFonts w:hint="eastAsia" w:asciiTheme="minorEastAsia" w:hAnsiTheme="minorEastAsia" w:eastAsiaTheme="minorEastAsia" w:cstheme="minorEastAsia"/>
          <w:sz w:val="24"/>
          <w:szCs w:val="24"/>
        </w:rPr>
        <w:t>～1.2 m。</w:t>
      </w:r>
    </w:p>
    <w:p w14:paraId="7196264C">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10.2.11</w:t>
      </w:r>
      <w:r>
        <w:rPr>
          <w:rFonts w:hint="eastAsia" w:asciiTheme="minorEastAsia" w:hAnsiTheme="minorEastAsia" w:eastAsiaTheme="minorEastAsia" w:cstheme="minorEastAsia"/>
          <w:sz w:val="24"/>
          <w:szCs w:val="24"/>
        </w:rPr>
        <w:t>　水体应以原土构筑池底并采用种植水生植物等生态措施，促进水体自净。</w:t>
      </w:r>
      <w:r>
        <w:rPr>
          <w:rFonts w:hint="eastAsia" w:asciiTheme="minorEastAsia" w:hAnsiTheme="minorEastAsia" w:eastAsiaTheme="minorEastAsia" w:cstheme="minorEastAsia"/>
          <w:sz w:val="24"/>
          <w:szCs w:val="24"/>
          <w:lang w:eastAsia="zh-Hans"/>
        </w:rPr>
        <w:t>水体应有</w:t>
      </w:r>
      <w:r>
        <w:rPr>
          <w:rFonts w:hint="eastAsia" w:asciiTheme="minorEastAsia" w:hAnsiTheme="minorEastAsia" w:eastAsiaTheme="minorEastAsia" w:cstheme="minorEastAsia"/>
          <w:sz w:val="24"/>
          <w:szCs w:val="24"/>
        </w:rPr>
        <w:t>防渗漏措施。</w:t>
      </w:r>
    </w:p>
    <w:p w14:paraId="284827A0">
      <w:pPr>
        <w:spacing w:line="360" w:lineRule="auto"/>
        <w:jc w:val="left"/>
        <w:rPr>
          <w:rFonts w:ascii="黑体" w:hAnsi="黑体" w:eastAsia="黑体" w:cs="黑体"/>
          <w:b/>
          <w:bCs/>
          <w:sz w:val="28"/>
          <w:szCs w:val="28"/>
        </w:rPr>
      </w:pPr>
      <w:r>
        <w:rPr>
          <w:rFonts w:hint="eastAsia" w:asciiTheme="minorEastAsia" w:hAnsiTheme="minorEastAsia" w:eastAsiaTheme="minorEastAsia" w:cstheme="minorEastAsia"/>
          <w:b/>
          <w:sz w:val="24"/>
          <w:szCs w:val="24"/>
        </w:rPr>
        <w:t>10.2.12</w:t>
      </w:r>
      <w:r>
        <w:rPr>
          <w:rFonts w:hint="eastAsia" w:asciiTheme="minorEastAsia" w:hAnsiTheme="minorEastAsia" w:eastAsiaTheme="minorEastAsia" w:cstheme="minorEastAsia"/>
          <w:sz w:val="24"/>
          <w:szCs w:val="24"/>
        </w:rPr>
        <w:t>　水体的驳岸、护坡应确保稳定、安全，并宜栽种护岸植物。</w:t>
      </w:r>
    </w:p>
    <w:p w14:paraId="7324DBE5">
      <w:pPr>
        <w:pStyle w:val="40"/>
        <w:outlineLvl w:val="1"/>
        <w:rPr>
          <w:b w:val="0"/>
        </w:rPr>
      </w:pPr>
      <w:bookmarkStart w:id="148" w:name="_Toc2789"/>
      <w:bookmarkStart w:id="149" w:name="_Toc29361"/>
      <w:r>
        <w:rPr>
          <w:b w:val="0"/>
        </w:rPr>
        <w:t>10</w:t>
      </w:r>
      <w:r>
        <w:rPr>
          <w:rFonts w:hint="eastAsia"/>
          <w:b w:val="0"/>
        </w:rPr>
        <w:t>.3　植物</w:t>
      </w:r>
      <w:bookmarkEnd w:id="148"/>
      <w:bookmarkEnd w:id="149"/>
    </w:p>
    <w:p w14:paraId="6814D7ED">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10.3.1</w:t>
      </w:r>
      <w:r>
        <w:rPr>
          <w:rFonts w:hint="eastAsia" w:asciiTheme="minorEastAsia" w:hAnsiTheme="minorEastAsia" w:eastAsiaTheme="minorEastAsia" w:cstheme="minorEastAsia"/>
          <w:sz w:val="24"/>
          <w:szCs w:val="24"/>
        </w:rPr>
        <w:t>　植物的选择应符合下列规定：</w:t>
      </w:r>
    </w:p>
    <w:p w14:paraId="02AC8322">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w:t>
      </w:r>
      <w:r>
        <w:rPr>
          <w:rFonts w:hint="eastAsia" w:asciiTheme="minorEastAsia" w:hAnsiTheme="minorEastAsia" w:eastAsiaTheme="minorEastAsia" w:cstheme="minorEastAsia"/>
          <w:sz w:val="24"/>
          <w:szCs w:val="24"/>
        </w:rPr>
        <w:t>　植物选择应适地适树，优先选用乡土植物和在本地适生多年的引种驯化植物，慎用外来物种；</w:t>
      </w:r>
    </w:p>
    <w:p w14:paraId="2F2F4F46">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2</w:t>
      </w:r>
      <w:r>
        <w:rPr>
          <w:rFonts w:hint="eastAsia" w:asciiTheme="minorEastAsia" w:hAnsiTheme="minorEastAsia" w:eastAsiaTheme="minorEastAsia" w:cstheme="minorEastAsia"/>
          <w:sz w:val="24"/>
          <w:szCs w:val="24"/>
        </w:rPr>
        <w:t>　近人尺度范围内不应选择有毒、有刺、危及人健康和生命安全的植物，不宜栽植致敏性植物；</w:t>
      </w:r>
    </w:p>
    <w:p w14:paraId="4500F272">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3</w:t>
      </w:r>
      <w:r>
        <w:rPr>
          <w:rFonts w:hint="eastAsia" w:asciiTheme="minorEastAsia" w:hAnsiTheme="minorEastAsia" w:eastAsiaTheme="minorEastAsia" w:cstheme="minorEastAsia"/>
          <w:sz w:val="24"/>
          <w:szCs w:val="24"/>
        </w:rPr>
        <w:t>　应以病虫害少、抗性强、成活率高的青壮年苗木为主；</w:t>
      </w:r>
    </w:p>
    <w:p w14:paraId="5061CADE">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4</w:t>
      </w:r>
      <w:r>
        <w:rPr>
          <w:rFonts w:hint="eastAsia" w:asciiTheme="minorEastAsia" w:hAnsiTheme="minorEastAsia" w:eastAsiaTheme="minorEastAsia" w:cstheme="minorEastAsia"/>
          <w:sz w:val="24"/>
          <w:szCs w:val="24"/>
        </w:rPr>
        <w:t>　花境应以生长势旺、姿态叶形优美、抗性强和易养护管理的多年生花灌木为主；</w:t>
      </w:r>
    </w:p>
    <w:p w14:paraId="52B07D1D">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5</w:t>
      </w:r>
      <w:r>
        <w:rPr>
          <w:rFonts w:hint="eastAsia" w:asciiTheme="minorEastAsia" w:hAnsiTheme="minorEastAsia" w:eastAsiaTheme="minorEastAsia" w:cstheme="minorEastAsia"/>
          <w:sz w:val="24"/>
          <w:szCs w:val="24"/>
        </w:rPr>
        <w:t>　立体空间绿化应以抗性强、生长势旺、易养护管理的浅根性多年生乡土植物为主；</w:t>
      </w:r>
    </w:p>
    <w:p w14:paraId="57BCB2E7">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6</w:t>
      </w:r>
      <w:r>
        <w:rPr>
          <w:rFonts w:hint="eastAsia" w:asciiTheme="minorEastAsia" w:hAnsiTheme="minorEastAsia" w:eastAsiaTheme="minorEastAsia" w:cstheme="minorEastAsia"/>
          <w:sz w:val="24"/>
          <w:szCs w:val="24"/>
        </w:rPr>
        <w:t>　有雨水滞蓄净化功能的绿地，应选择耐短期水淹、耐旱、耐污染的植物；</w:t>
      </w:r>
    </w:p>
    <w:p w14:paraId="7D281AEF">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7</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eastAsia="zh-Hans"/>
        </w:rPr>
        <w:t>应</w:t>
      </w:r>
      <w:r>
        <w:rPr>
          <w:rFonts w:hint="eastAsia" w:asciiTheme="minorEastAsia" w:hAnsiTheme="minorEastAsia" w:eastAsiaTheme="minorEastAsia" w:cstheme="minorEastAsia"/>
          <w:sz w:val="24"/>
          <w:szCs w:val="24"/>
        </w:rPr>
        <w:t>根据草坪使用功能的不同选择相应的草种。运动和游憩草坪</w:t>
      </w:r>
      <w:r>
        <w:rPr>
          <w:rFonts w:hint="eastAsia" w:asciiTheme="minorEastAsia" w:hAnsiTheme="minorEastAsia" w:eastAsiaTheme="minorEastAsia" w:cstheme="minorEastAsia"/>
          <w:sz w:val="24"/>
          <w:szCs w:val="24"/>
          <w:lang w:eastAsia="zh-Hans"/>
        </w:rPr>
        <w:t>宜</w:t>
      </w:r>
      <w:r>
        <w:rPr>
          <w:rFonts w:hint="eastAsia" w:asciiTheme="minorEastAsia" w:hAnsiTheme="minorEastAsia" w:eastAsiaTheme="minorEastAsia" w:cstheme="minorEastAsia"/>
          <w:sz w:val="24"/>
          <w:szCs w:val="24"/>
        </w:rPr>
        <w:t>选择耐践踏的草种；观赏草坪</w:t>
      </w:r>
      <w:r>
        <w:rPr>
          <w:rFonts w:hint="eastAsia" w:asciiTheme="minorEastAsia" w:hAnsiTheme="minorEastAsia" w:eastAsiaTheme="minorEastAsia" w:cstheme="minorEastAsia"/>
          <w:sz w:val="24"/>
          <w:szCs w:val="24"/>
          <w:lang w:eastAsia="zh-Hans"/>
        </w:rPr>
        <w:t>宜</w:t>
      </w:r>
      <w:r>
        <w:rPr>
          <w:rFonts w:hint="eastAsia" w:asciiTheme="minorEastAsia" w:hAnsiTheme="minorEastAsia" w:eastAsiaTheme="minorEastAsia" w:cstheme="minorEastAsia"/>
          <w:sz w:val="24"/>
          <w:szCs w:val="24"/>
        </w:rPr>
        <w:t>选择绿期较长的草种；有护坡要求的</w:t>
      </w:r>
      <w:r>
        <w:rPr>
          <w:rFonts w:hint="eastAsia" w:asciiTheme="minorEastAsia" w:hAnsiTheme="minorEastAsia" w:eastAsiaTheme="minorEastAsia" w:cstheme="minorEastAsia"/>
          <w:sz w:val="24"/>
          <w:szCs w:val="24"/>
          <w:lang w:eastAsia="zh-Hans"/>
        </w:rPr>
        <w:t>宜</w:t>
      </w:r>
      <w:r>
        <w:rPr>
          <w:rFonts w:hint="eastAsia" w:asciiTheme="minorEastAsia" w:hAnsiTheme="minorEastAsia" w:eastAsiaTheme="minorEastAsia" w:cstheme="minorEastAsia"/>
          <w:sz w:val="24"/>
          <w:szCs w:val="24"/>
        </w:rPr>
        <w:t>选择根系发达、生长迅速的草种；</w:t>
      </w:r>
    </w:p>
    <w:p w14:paraId="069E4CEC">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8</w:t>
      </w:r>
      <w:r>
        <w:rPr>
          <w:rFonts w:hint="eastAsia" w:asciiTheme="minorEastAsia" w:hAnsiTheme="minorEastAsia" w:eastAsiaTheme="minorEastAsia" w:cstheme="minorEastAsia"/>
          <w:sz w:val="24"/>
          <w:szCs w:val="24"/>
        </w:rPr>
        <w:t>　林下空间应选择耐阴或喜阴植物；</w:t>
      </w:r>
    </w:p>
    <w:p w14:paraId="01F9A439">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　</w:t>
      </w:r>
      <w:r>
        <w:rPr>
          <w:rFonts w:hint="eastAsia" w:asciiTheme="minorEastAsia" w:hAnsiTheme="minorEastAsia" w:eastAsiaTheme="minorEastAsia" w:cstheme="minorEastAsia"/>
          <w:sz w:val="24"/>
          <w:szCs w:val="24"/>
        </w:rPr>
        <w:t>道路、停车场不宜选用有浆果或分泌物坠地的植物，且庇荫乔木枝下净空高度应符合现行强制性工程</w:t>
      </w:r>
      <w:r>
        <w:rPr>
          <w:rFonts w:hint="eastAsia" w:cs="宋体" w:asciiTheme="minorEastAsia" w:hAnsiTheme="minorEastAsia" w:eastAsiaTheme="minorEastAsia"/>
          <w:sz w:val="24"/>
        </w:rPr>
        <w:t>建设</w:t>
      </w:r>
      <w:r>
        <w:rPr>
          <w:rFonts w:hint="eastAsia" w:asciiTheme="minorEastAsia" w:hAnsiTheme="minorEastAsia" w:eastAsiaTheme="minorEastAsia" w:cstheme="minorEastAsia"/>
          <w:sz w:val="24"/>
          <w:szCs w:val="24"/>
        </w:rPr>
        <w:t>规范《城市道路交通工程项目规范》G</w:t>
      </w:r>
      <w:r>
        <w:rPr>
          <w:rFonts w:asciiTheme="minorEastAsia" w:hAnsiTheme="minorEastAsia" w:eastAsiaTheme="minorEastAsia" w:cstheme="minorEastAsia"/>
          <w:sz w:val="24"/>
          <w:szCs w:val="24"/>
        </w:rPr>
        <w:t>B 55011</w:t>
      </w:r>
      <w:r>
        <w:rPr>
          <w:rFonts w:hint="eastAsia" w:asciiTheme="minorEastAsia" w:hAnsiTheme="minorEastAsia" w:eastAsiaTheme="minorEastAsia" w:cstheme="minorEastAsia"/>
          <w:sz w:val="24"/>
          <w:szCs w:val="24"/>
        </w:rPr>
        <w:t>以及现行行业标准《城市道路绿化设计标准》C</w:t>
      </w:r>
      <w:r>
        <w:rPr>
          <w:rFonts w:asciiTheme="minorEastAsia" w:hAnsiTheme="minorEastAsia" w:eastAsiaTheme="minorEastAsia" w:cstheme="minorEastAsia"/>
          <w:sz w:val="24"/>
          <w:szCs w:val="24"/>
        </w:rPr>
        <w:t>JJ/T 75</w:t>
      </w:r>
      <w:r>
        <w:rPr>
          <w:rFonts w:hint="eastAsia" w:asciiTheme="minorEastAsia" w:hAnsiTheme="minorEastAsia" w:eastAsiaTheme="minorEastAsia" w:cstheme="minorEastAsia"/>
          <w:sz w:val="24"/>
          <w:szCs w:val="24"/>
        </w:rPr>
        <w:t>有关规定。</w:t>
      </w:r>
    </w:p>
    <w:p w14:paraId="611DD1CE">
      <w:pPr>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10.3.2　</w:t>
      </w:r>
      <w:r>
        <w:rPr>
          <w:rFonts w:hint="eastAsia" w:asciiTheme="minorEastAsia" w:hAnsiTheme="minorEastAsia" w:eastAsiaTheme="minorEastAsia" w:cstheme="minorEastAsia"/>
          <w:sz w:val="24"/>
          <w:szCs w:val="24"/>
        </w:rPr>
        <w:t>植物配置应符合生态、游憩、景观、安全等功能要求，应便于养护管理，并应符合下列规定：</w:t>
      </w:r>
    </w:p>
    <w:p w14:paraId="5006C765">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w:t>
      </w:r>
      <w:r>
        <w:rPr>
          <w:rFonts w:hint="eastAsia" w:asciiTheme="minorEastAsia" w:hAnsiTheme="minorEastAsia" w:eastAsiaTheme="minorEastAsia" w:cstheme="minorEastAsia"/>
          <w:sz w:val="24"/>
          <w:szCs w:val="24"/>
        </w:rPr>
        <w:t>　应兼顾科学性和艺术性，做到科学、美观、经济；</w:t>
      </w:r>
    </w:p>
    <w:p w14:paraId="2F1C4C54">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2</w:t>
      </w:r>
      <w:r>
        <w:rPr>
          <w:rFonts w:hint="eastAsia" w:asciiTheme="minorEastAsia" w:hAnsiTheme="minorEastAsia" w:eastAsiaTheme="minorEastAsia" w:cstheme="minorEastAsia"/>
          <w:sz w:val="24"/>
          <w:szCs w:val="24"/>
        </w:rPr>
        <w:t>　应根据场地所在的不同地域和气候带，以乡土植物为主，模拟地带性植物群落进行设计，反映场地的地带性特色，形成与本土地区气候相适应、相对稳定、结构合理的城市绿地生态系统；</w:t>
      </w:r>
    </w:p>
    <w:p w14:paraId="6BA8F5CD">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3</w:t>
      </w:r>
      <w:r>
        <w:rPr>
          <w:rFonts w:hint="eastAsia" w:asciiTheme="minorEastAsia" w:hAnsiTheme="minorEastAsia" w:eastAsiaTheme="minorEastAsia" w:cstheme="minorEastAsia"/>
          <w:sz w:val="24"/>
          <w:szCs w:val="24"/>
        </w:rPr>
        <w:t>　应注意多样性植物的应用，避免千篇一律；应布局合理、疏密有致；应注意园林植物自身的文化性与周围环境相融合；</w:t>
      </w:r>
    </w:p>
    <w:p w14:paraId="4BEA97A8">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4</w:t>
      </w:r>
      <w:r>
        <w:rPr>
          <w:rFonts w:hint="eastAsia" w:asciiTheme="minorEastAsia" w:hAnsiTheme="minorEastAsia" w:eastAsiaTheme="minorEastAsia" w:cstheme="minorEastAsia"/>
          <w:sz w:val="24"/>
          <w:szCs w:val="24"/>
        </w:rPr>
        <w:t>　应体现整体与局部、统一与变化、主景与配景、基调与骨干、色彩与季相变化等关系。应充分利用植物的枝、花、叶、果等形态和色彩，合理配置植物，形成群落结构多样、季相变化丰富的植物景观；</w:t>
      </w:r>
    </w:p>
    <w:p w14:paraId="01C8EE50">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5</w:t>
      </w:r>
      <w:r>
        <w:rPr>
          <w:rFonts w:hint="eastAsia" w:asciiTheme="minorEastAsia" w:hAnsiTheme="minorEastAsia" w:eastAsiaTheme="minorEastAsia" w:cstheme="minorEastAsia"/>
          <w:sz w:val="24"/>
          <w:szCs w:val="24"/>
        </w:rPr>
        <w:t>　应因地制宜，并以常绿树与落叶树相结合，速生树与慢长树相结合，乔、灌、草相结合；</w:t>
      </w:r>
    </w:p>
    <w:p w14:paraId="146B2438">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6</w:t>
      </w:r>
      <w:r>
        <w:rPr>
          <w:rFonts w:hint="eastAsia" w:asciiTheme="minorEastAsia" w:hAnsiTheme="minorEastAsia" w:eastAsiaTheme="minorEastAsia" w:cstheme="minorEastAsia"/>
          <w:sz w:val="24"/>
          <w:szCs w:val="24"/>
        </w:rPr>
        <w:t>　应合理控制栽植密度，有近、中、远期不同的植物景观要求，重要地段应兼顾近、远期景观效果。</w:t>
      </w:r>
    </w:p>
    <w:p w14:paraId="6D5931D0">
      <w:pPr>
        <w:pStyle w:val="40"/>
        <w:outlineLvl w:val="1"/>
        <w:rPr>
          <w:b w:val="0"/>
        </w:rPr>
      </w:pPr>
      <w:bookmarkStart w:id="150" w:name="_Toc24248"/>
      <w:bookmarkStart w:id="151" w:name="_Toc23487"/>
      <w:r>
        <w:rPr>
          <w:b w:val="0"/>
        </w:rPr>
        <w:t>10</w:t>
      </w:r>
      <w:r>
        <w:rPr>
          <w:rFonts w:hint="eastAsia"/>
          <w:b w:val="0"/>
        </w:rPr>
        <w:t>.4　道路、台阶、铺装场地、桥梁</w:t>
      </w:r>
      <w:bookmarkEnd w:id="150"/>
      <w:bookmarkEnd w:id="151"/>
    </w:p>
    <w:p w14:paraId="11D8F59F">
      <w:pPr>
        <w:pStyle w:val="20"/>
        <w:widowControl/>
        <w:shd w:val="clear" w:color="auto" w:fill="FFFFFF"/>
        <w:spacing w:line="360" w:lineRule="auto"/>
        <w:rPr>
          <w:rFonts w:asciiTheme="minorEastAsia" w:hAnsiTheme="minorEastAsia" w:eastAsiaTheme="minorEastAsia" w:cstheme="minorEastAsia"/>
          <w:szCs w:val="24"/>
        </w:rPr>
      </w:pPr>
      <w:r>
        <w:rPr>
          <w:rStyle w:val="25"/>
          <w:rFonts w:hint="eastAsia" w:asciiTheme="minorEastAsia" w:hAnsiTheme="minorEastAsia" w:eastAsiaTheme="minorEastAsia" w:cstheme="minorEastAsia"/>
          <w:szCs w:val="24"/>
          <w:shd w:val="clear" w:color="auto" w:fill="FFFFFF"/>
        </w:rPr>
        <w:t>10.4.1</w:t>
      </w:r>
      <w:r>
        <w:rPr>
          <w:rStyle w:val="25"/>
          <w:rFonts w:hint="eastAsia" w:asciiTheme="minorEastAsia" w:hAnsiTheme="minorEastAsia" w:eastAsiaTheme="minorEastAsia" w:cstheme="minorEastAsia"/>
          <w:b w:val="0"/>
          <w:szCs w:val="24"/>
          <w:shd w:val="clear" w:color="auto" w:fill="FFFFFF"/>
        </w:rPr>
        <w:t>　城市绿地</w:t>
      </w:r>
      <w:r>
        <w:rPr>
          <w:rStyle w:val="25"/>
          <w:rFonts w:hint="eastAsia" w:asciiTheme="minorEastAsia" w:hAnsiTheme="minorEastAsia" w:eastAsiaTheme="minorEastAsia" w:cstheme="minorEastAsia"/>
          <w:b w:val="0"/>
          <w:szCs w:val="24"/>
          <w:shd w:val="clear" w:color="auto" w:fill="FFFFFF"/>
          <w:lang w:eastAsia="zh-Hans"/>
        </w:rPr>
        <w:t>内的</w:t>
      </w:r>
      <w:r>
        <w:rPr>
          <w:rFonts w:hint="eastAsia" w:asciiTheme="minorEastAsia" w:hAnsiTheme="minorEastAsia" w:eastAsiaTheme="minorEastAsia" w:cstheme="minorEastAsia"/>
          <w:szCs w:val="24"/>
          <w:shd w:val="clear" w:color="auto" w:fill="FFFFFF"/>
        </w:rPr>
        <w:t>道路、活动场地及桥梁的布局应与城市绿地总体设计及外部交通顺畅衔接，</w:t>
      </w:r>
      <w:r>
        <w:rPr>
          <w:rStyle w:val="25"/>
          <w:rFonts w:hint="eastAsia" w:asciiTheme="minorEastAsia" w:hAnsiTheme="minorEastAsia" w:eastAsiaTheme="minorEastAsia" w:cstheme="minorEastAsia"/>
          <w:b w:val="0"/>
          <w:szCs w:val="24"/>
          <w:shd w:val="clear" w:color="auto" w:fill="FFFFFF"/>
        </w:rPr>
        <w:t>形成有序的游览与集散系统，并与场地景观相协调。</w:t>
      </w:r>
    </w:p>
    <w:p w14:paraId="4B538E62">
      <w:pPr>
        <w:pStyle w:val="20"/>
        <w:widowControl/>
        <w:shd w:val="clear" w:color="auto" w:fill="FFFFFF"/>
        <w:spacing w:line="360" w:lineRule="auto"/>
        <w:rPr>
          <w:rFonts w:asciiTheme="minorEastAsia" w:hAnsiTheme="minorEastAsia" w:eastAsiaTheme="minorEastAsia" w:cstheme="minorEastAsia"/>
          <w:szCs w:val="24"/>
          <w:shd w:val="clear" w:color="auto" w:fill="FFFFFF"/>
        </w:rPr>
      </w:pPr>
      <w:r>
        <w:rPr>
          <w:rStyle w:val="25"/>
          <w:rFonts w:hint="eastAsia" w:asciiTheme="minorEastAsia" w:hAnsiTheme="minorEastAsia" w:eastAsiaTheme="minorEastAsia" w:cstheme="minorEastAsia"/>
          <w:szCs w:val="24"/>
          <w:shd w:val="clear" w:color="auto" w:fill="FFFFFF"/>
        </w:rPr>
        <w:t>10.4.2</w:t>
      </w:r>
      <w:r>
        <w:rPr>
          <w:rStyle w:val="25"/>
          <w:rFonts w:hint="eastAsia" w:asciiTheme="minorEastAsia" w:hAnsiTheme="minorEastAsia" w:eastAsiaTheme="minorEastAsia" w:cstheme="minorEastAsia"/>
          <w:b w:val="0"/>
          <w:szCs w:val="24"/>
          <w:shd w:val="clear" w:color="auto" w:fill="FFFFFF"/>
        </w:rPr>
        <w:t>　城市绿地内的</w:t>
      </w:r>
      <w:r>
        <w:rPr>
          <w:rFonts w:hint="eastAsia" w:asciiTheme="minorEastAsia" w:hAnsiTheme="minorEastAsia" w:eastAsiaTheme="minorEastAsia" w:cstheme="minorEastAsia"/>
          <w:szCs w:val="24"/>
          <w:shd w:val="clear" w:color="auto" w:fill="FFFFFF"/>
        </w:rPr>
        <w:t>道路宜按功能分级设置。主路</w:t>
      </w:r>
      <w:r>
        <w:rPr>
          <w:rFonts w:hint="eastAsia" w:asciiTheme="minorEastAsia" w:hAnsiTheme="minorEastAsia" w:eastAsiaTheme="minorEastAsia" w:cstheme="minorEastAsia"/>
          <w:szCs w:val="24"/>
          <w:shd w:val="clear" w:color="auto" w:fill="FFFFFF"/>
          <w:lang w:eastAsia="zh-Hans"/>
        </w:rPr>
        <w:t>不宜</w:t>
      </w:r>
      <w:r>
        <w:rPr>
          <w:rStyle w:val="25"/>
          <w:rFonts w:hint="eastAsia" w:asciiTheme="minorEastAsia" w:hAnsiTheme="minorEastAsia" w:eastAsiaTheme="minorEastAsia" w:cstheme="minorEastAsia"/>
          <w:b w:val="0"/>
          <w:szCs w:val="24"/>
          <w:shd w:val="clear" w:color="auto" w:fill="FFFFFF"/>
        </w:rPr>
        <w:t>设置台阶，纵坡宜控制在8%以内</w:t>
      </w:r>
      <w:r>
        <w:rPr>
          <w:rFonts w:hint="eastAsia" w:asciiTheme="minorEastAsia" w:hAnsiTheme="minorEastAsia" w:eastAsiaTheme="minorEastAsia" w:cstheme="minorEastAsia"/>
          <w:szCs w:val="24"/>
          <w:shd w:val="clear" w:color="auto" w:fill="FFFFFF"/>
        </w:rPr>
        <w:t>；山地道路纵坡超过12%时</w:t>
      </w:r>
      <w:r>
        <w:rPr>
          <w:rStyle w:val="25"/>
          <w:rFonts w:hint="eastAsia" w:asciiTheme="minorEastAsia" w:hAnsiTheme="minorEastAsia" w:eastAsiaTheme="minorEastAsia" w:cstheme="minorEastAsia"/>
          <w:b w:val="0"/>
          <w:szCs w:val="24"/>
          <w:shd w:val="clear" w:color="auto" w:fill="FFFFFF"/>
        </w:rPr>
        <w:t>应采取防滑措施</w:t>
      </w:r>
      <w:r>
        <w:rPr>
          <w:rFonts w:hint="eastAsia" w:asciiTheme="minorEastAsia" w:hAnsiTheme="minorEastAsia" w:eastAsiaTheme="minorEastAsia" w:cstheme="minorEastAsia"/>
          <w:szCs w:val="24"/>
          <w:shd w:val="clear" w:color="auto" w:fill="FFFFFF"/>
        </w:rPr>
        <w:t>；支路与小路的纵坡超过18%时</w:t>
      </w:r>
      <w:r>
        <w:rPr>
          <w:rStyle w:val="25"/>
          <w:rFonts w:hint="eastAsia" w:asciiTheme="minorEastAsia" w:hAnsiTheme="minorEastAsia" w:eastAsiaTheme="minorEastAsia" w:cstheme="minorEastAsia"/>
          <w:b w:val="0"/>
          <w:szCs w:val="24"/>
          <w:shd w:val="clear" w:color="auto" w:fill="FFFFFF"/>
        </w:rPr>
        <w:t>宜采用梯道形式</w:t>
      </w:r>
      <w:r>
        <w:rPr>
          <w:rFonts w:hint="eastAsia" w:asciiTheme="minorEastAsia" w:hAnsiTheme="minorEastAsia" w:eastAsiaTheme="minorEastAsia" w:cstheme="minorEastAsia"/>
          <w:szCs w:val="24"/>
          <w:shd w:val="clear" w:color="auto" w:fill="FFFFFF"/>
        </w:rPr>
        <w:t>。</w:t>
      </w:r>
    </w:p>
    <w:p w14:paraId="5F8A133A">
      <w:pPr>
        <w:pStyle w:val="20"/>
        <w:widowControl/>
        <w:shd w:val="clear" w:color="auto" w:fill="FFFFFF"/>
        <w:spacing w:line="360" w:lineRule="auto"/>
        <w:rPr>
          <w:rStyle w:val="25"/>
          <w:rFonts w:asciiTheme="minorEastAsia" w:hAnsiTheme="minorEastAsia" w:eastAsiaTheme="minorEastAsia" w:cstheme="minorEastAsia"/>
          <w:b w:val="0"/>
          <w:szCs w:val="24"/>
          <w:shd w:val="clear" w:color="auto" w:fill="FFFFFF"/>
        </w:rPr>
      </w:pPr>
      <w:r>
        <w:rPr>
          <w:rStyle w:val="25"/>
          <w:rFonts w:hint="eastAsia" w:asciiTheme="minorEastAsia" w:hAnsiTheme="minorEastAsia" w:eastAsiaTheme="minorEastAsia" w:cstheme="minorEastAsia"/>
          <w:szCs w:val="24"/>
          <w:shd w:val="clear" w:color="auto" w:fill="FFFFFF"/>
        </w:rPr>
        <w:t>10.4.3</w:t>
      </w:r>
      <w:r>
        <w:rPr>
          <w:rStyle w:val="25"/>
          <w:rFonts w:hint="eastAsia" w:asciiTheme="minorEastAsia" w:hAnsiTheme="minorEastAsia" w:eastAsiaTheme="minorEastAsia" w:cstheme="minorEastAsia"/>
          <w:b w:val="0"/>
          <w:szCs w:val="24"/>
          <w:shd w:val="clear" w:color="auto" w:fill="FFFFFF"/>
        </w:rPr>
        <w:t>　城市绿地内车行道路应符合下列规定：</w:t>
      </w:r>
    </w:p>
    <w:p w14:paraId="4F1078CD">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w:t>
      </w:r>
      <w:r>
        <w:rPr>
          <w:rFonts w:hint="eastAsia" w:asciiTheme="minorEastAsia" w:hAnsiTheme="minorEastAsia" w:eastAsiaTheme="minorEastAsia" w:cstheme="minorEastAsia"/>
          <w:sz w:val="24"/>
          <w:szCs w:val="24"/>
        </w:rPr>
        <w:t>　单车道宽度不应小于3.0m，兼做消防车道时不应小于4.0m；</w:t>
      </w:r>
    </w:p>
    <w:p w14:paraId="45F73D6B">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2</w:t>
      </w:r>
      <w:r>
        <w:rPr>
          <w:rFonts w:hint="eastAsia" w:asciiTheme="minorEastAsia" w:hAnsiTheme="minorEastAsia" w:eastAsiaTheme="minorEastAsia" w:cstheme="minorEastAsia"/>
          <w:sz w:val="24"/>
          <w:szCs w:val="24"/>
        </w:rPr>
        <w:t>　双车道宽度不应小于6.0m；</w:t>
      </w:r>
    </w:p>
    <w:p w14:paraId="38FC0FC2">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3</w:t>
      </w:r>
      <w:r>
        <w:rPr>
          <w:rFonts w:hint="eastAsia" w:asciiTheme="minorEastAsia" w:hAnsiTheme="minorEastAsia" w:eastAsiaTheme="minorEastAsia" w:cstheme="minorEastAsia"/>
          <w:sz w:val="24"/>
          <w:szCs w:val="24"/>
        </w:rPr>
        <w:t>　尽端式道路长度大于120m时，应设置回车场地。</w:t>
      </w:r>
    </w:p>
    <w:p w14:paraId="38F54FCE">
      <w:pPr>
        <w:pStyle w:val="20"/>
        <w:widowControl/>
        <w:shd w:val="clear" w:color="auto" w:fill="FFFFFF"/>
        <w:spacing w:line="360" w:lineRule="auto"/>
        <w:rPr>
          <w:rFonts w:asciiTheme="minorEastAsia" w:hAnsiTheme="minorEastAsia" w:eastAsiaTheme="minorEastAsia" w:cstheme="minorEastAsia"/>
          <w:szCs w:val="24"/>
          <w:shd w:val="clear" w:color="auto" w:fill="FFFFFF"/>
        </w:rPr>
      </w:pPr>
      <w:r>
        <w:rPr>
          <w:rStyle w:val="25"/>
          <w:rFonts w:hint="eastAsia" w:asciiTheme="minorEastAsia" w:hAnsiTheme="minorEastAsia" w:eastAsiaTheme="minorEastAsia" w:cstheme="minorEastAsia"/>
          <w:szCs w:val="24"/>
          <w:shd w:val="clear" w:color="auto" w:fill="FFFFFF"/>
        </w:rPr>
        <w:t>10.4.4</w:t>
      </w:r>
      <w:r>
        <w:rPr>
          <w:rStyle w:val="25"/>
          <w:rFonts w:hint="eastAsia" w:asciiTheme="minorEastAsia" w:hAnsiTheme="minorEastAsia" w:eastAsiaTheme="minorEastAsia" w:cstheme="minorEastAsia"/>
          <w:b w:val="0"/>
          <w:szCs w:val="24"/>
          <w:shd w:val="clear" w:color="auto" w:fill="FFFFFF"/>
        </w:rPr>
        <w:t>　道</w:t>
      </w:r>
      <w:r>
        <w:rPr>
          <w:rFonts w:hint="eastAsia" w:asciiTheme="minorEastAsia" w:hAnsiTheme="minorEastAsia" w:eastAsiaTheme="minorEastAsia" w:cstheme="minorEastAsia"/>
          <w:szCs w:val="24"/>
          <w:shd w:val="clear" w:color="auto" w:fill="FFFFFF"/>
        </w:rPr>
        <w:t>路与活动场地的铺装应</w:t>
      </w:r>
      <w:r>
        <w:rPr>
          <w:rStyle w:val="25"/>
          <w:rFonts w:hint="eastAsia" w:asciiTheme="minorEastAsia" w:hAnsiTheme="minorEastAsia" w:eastAsiaTheme="minorEastAsia" w:cstheme="minorEastAsia"/>
          <w:b w:val="0"/>
          <w:szCs w:val="24"/>
          <w:shd w:val="clear" w:color="auto" w:fill="FFFFFF"/>
        </w:rPr>
        <w:t>确保安全、耐久、排水顺畅，并与周边环境协调</w:t>
      </w:r>
      <w:r>
        <w:rPr>
          <w:rFonts w:hint="eastAsia" w:asciiTheme="minorEastAsia" w:hAnsiTheme="minorEastAsia" w:eastAsiaTheme="minorEastAsia" w:cstheme="minorEastAsia"/>
          <w:szCs w:val="24"/>
          <w:shd w:val="clear" w:color="auto" w:fill="FFFFFF"/>
        </w:rPr>
        <w:t>。游人主要活动区域、广场及步道等</w:t>
      </w:r>
      <w:r>
        <w:rPr>
          <w:rStyle w:val="25"/>
          <w:rFonts w:hint="eastAsia" w:asciiTheme="minorEastAsia" w:hAnsiTheme="minorEastAsia" w:eastAsiaTheme="minorEastAsia" w:cstheme="minorEastAsia"/>
          <w:b w:val="0"/>
          <w:szCs w:val="24"/>
          <w:shd w:val="clear" w:color="auto" w:fill="FFFFFF"/>
        </w:rPr>
        <w:t>宜优先选用透水材料</w:t>
      </w:r>
      <w:r>
        <w:rPr>
          <w:rStyle w:val="25"/>
          <w:rFonts w:hint="eastAsia" w:asciiTheme="minorEastAsia" w:hAnsiTheme="minorEastAsia" w:eastAsiaTheme="minorEastAsia" w:cstheme="minorEastAsia"/>
          <w:b w:val="0"/>
          <w:szCs w:val="24"/>
          <w:shd w:val="clear" w:color="auto" w:fill="FFFFFF"/>
          <w:lang w:eastAsia="zh-Hans"/>
        </w:rPr>
        <w:t>及构造</w:t>
      </w:r>
      <w:r>
        <w:rPr>
          <w:rFonts w:hint="eastAsia" w:asciiTheme="minorEastAsia" w:hAnsiTheme="minorEastAsia" w:eastAsiaTheme="minorEastAsia" w:cstheme="minorEastAsia"/>
          <w:szCs w:val="24"/>
          <w:shd w:val="clear" w:color="auto" w:fill="FFFFFF"/>
        </w:rPr>
        <w:t>。特殊地质区域</w:t>
      </w:r>
      <w:r>
        <w:rPr>
          <w:rStyle w:val="25"/>
          <w:rFonts w:hint="eastAsia" w:asciiTheme="minorEastAsia" w:hAnsiTheme="minorEastAsia" w:eastAsiaTheme="minorEastAsia" w:cstheme="minorEastAsia"/>
          <w:b w:val="0"/>
          <w:szCs w:val="24"/>
          <w:shd w:val="clear" w:color="auto" w:fill="FFFFFF"/>
        </w:rPr>
        <w:t>应选择相适应的结构与材料</w:t>
      </w:r>
      <w:r>
        <w:rPr>
          <w:rFonts w:hint="eastAsia" w:asciiTheme="minorEastAsia" w:hAnsiTheme="minorEastAsia" w:eastAsiaTheme="minorEastAsia" w:cstheme="minorEastAsia"/>
          <w:szCs w:val="24"/>
          <w:shd w:val="clear" w:color="auto" w:fill="FFFFFF"/>
        </w:rPr>
        <w:t>。</w:t>
      </w:r>
    </w:p>
    <w:p w14:paraId="360372DE">
      <w:pPr>
        <w:pStyle w:val="20"/>
        <w:widowControl/>
        <w:shd w:val="clear" w:color="auto" w:fill="FFFFFF"/>
        <w:spacing w:line="360" w:lineRule="auto"/>
        <w:rPr>
          <w:rFonts w:asciiTheme="minorEastAsia" w:hAnsiTheme="minorEastAsia" w:eastAsiaTheme="minorEastAsia" w:cstheme="minorEastAsia"/>
          <w:szCs w:val="24"/>
          <w:shd w:val="clear" w:color="auto" w:fill="FFFFFF"/>
        </w:rPr>
      </w:pPr>
      <w:r>
        <w:rPr>
          <w:rFonts w:hint="eastAsia" w:asciiTheme="minorEastAsia" w:hAnsiTheme="minorEastAsia" w:eastAsiaTheme="minorEastAsia" w:cstheme="minorEastAsia"/>
          <w:b/>
          <w:szCs w:val="24"/>
          <w:shd w:val="clear" w:color="auto" w:fill="FFFFFF"/>
        </w:rPr>
        <w:t>10.4.5</w:t>
      </w:r>
      <w:r>
        <w:rPr>
          <w:rFonts w:hint="eastAsia" w:asciiTheme="minorEastAsia" w:hAnsiTheme="minorEastAsia" w:eastAsiaTheme="minorEastAsia" w:cstheme="minorEastAsia"/>
          <w:szCs w:val="24"/>
          <w:shd w:val="clear" w:color="auto" w:fill="FFFFFF"/>
        </w:rPr>
        <w:t>　允许车辆通行的广场应满足车辆行驶、停放和载重要求，且地面铺装面层应平整、防滑、耐磨。</w:t>
      </w:r>
    </w:p>
    <w:p w14:paraId="3D5A911B">
      <w:pPr>
        <w:pStyle w:val="20"/>
        <w:widowControl/>
        <w:shd w:val="clear" w:color="auto" w:fill="FFFFFF"/>
        <w:spacing w:line="360" w:lineRule="auto"/>
        <w:rPr>
          <w:rFonts w:asciiTheme="minorEastAsia" w:hAnsiTheme="minorEastAsia" w:eastAsiaTheme="minorEastAsia" w:cstheme="minorEastAsia"/>
          <w:szCs w:val="24"/>
          <w:shd w:val="clear" w:color="auto" w:fill="FFFFFF"/>
        </w:rPr>
      </w:pPr>
      <w:r>
        <w:rPr>
          <w:rFonts w:hint="eastAsia" w:asciiTheme="minorEastAsia" w:hAnsiTheme="minorEastAsia" w:eastAsiaTheme="minorEastAsia" w:cstheme="minorEastAsia"/>
          <w:b/>
          <w:szCs w:val="24"/>
          <w:shd w:val="clear" w:color="auto" w:fill="FFFFFF"/>
        </w:rPr>
        <w:t>10.4.6</w:t>
      </w:r>
      <w:r>
        <w:rPr>
          <w:rFonts w:hint="eastAsia" w:asciiTheme="minorEastAsia" w:hAnsiTheme="minorEastAsia" w:eastAsiaTheme="minorEastAsia" w:cstheme="minorEastAsia"/>
          <w:szCs w:val="24"/>
          <w:shd w:val="clear" w:color="auto" w:fill="FFFFFF"/>
        </w:rPr>
        <w:t>　人行道路宽度不应小于1.5m。人行道在各路口、入口处的设计应符合现行国家标准《无障碍设计标准》</w:t>
      </w:r>
      <w:r>
        <w:rPr>
          <w:rStyle w:val="25"/>
          <w:rFonts w:hint="eastAsia" w:asciiTheme="minorEastAsia" w:hAnsiTheme="minorEastAsia" w:eastAsiaTheme="minorEastAsia" w:cstheme="minorEastAsia"/>
          <w:b w:val="0"/>
          <w:szCs w:val="24"/>
        </w:rPr>
        <w:t>GB 50763</w:t>
      </w:r>
      <w:r>
        <w:rPr>
          <w:rFonts w:hint="eastAsia" w:asciiTheme="minorEastAsia" w:hAnsiTheme="minorEastAsia" w:eastAsiaTheme="minorEastAsia" w:cstheme="minorEastAsia"/>
          <w:szCs w:val="24"/>
          <w:shd w:val="clear" w:color="auto" w:fill="FFFFFF"/>
        </w:rPr>
        <w:t>的</w:t>
      </w:r>
      <w:r>
        <w:rPr>
          <w:rFonts w:hint="eastAsia" w:asciiTheme="minorEastAsia" w:hAnsiTheme="minorEastAsia" w:eastAsiaTheme="minorEastAsia" w:cstheme="minorEastAsia"/>
          <w:szCs w:val="24"/>
        </w:rPr>
        <w:t>有关</w:t>
      </w:r>
      <w:r>
        <w:rPr>
          <w:rFonts w:hint="eastAsia" w:asciiTheme="minorEastAsia" w:hAnsiTheme="minorEastAsia" w:eastAsiaTheme="minorEastAsia" w:cstheme="minorEastAsia"/>
          <w:szCs w:val="24"/>
          <w:shd w:val="clear" w:color="auto" w:fill="FFFFFF"/>
        </w:rPr>
        <w:t>规定。</w:t>
      </w:r>
    </w:p>
    <w:p w14:paraId="390E6714">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shd w:val="clear" w:color="auto" w:fill="FFFFFF"/>
        </w:rPr>
        <w:t>10.4.7　</w:t>
      </w:r>
      <w:r>
        <w:rPr>
          <w:rFonts w:hint="eastAsia" w:asciiTheme="minorEastAsia" w:hAnsiTheme="minorEastAsia" w:eastAsiaTheme="minorEastAsia" w:cstheme="minorEastAsia"/>
          <w:sz w:val="24"/>
          <w:szCs w:val="24"/>
        </w:rPr>
        <w:t>对公众开放的城市绿地的台阶、人行坡道等竖向交通设施</w:t>
      </w:r>
      <w:r>
        <w:rPr>
          <w:rStyle w:val="25"/>
          <w:rFonts w:hint="eastAsia" w:asciiTheme="minorEastAsia" w:hAnsiTheme="minorEastAsia" w:eastAsiaTheme="minorEastAsia" w:cstheme="minorEastAsia"/>
          <w:b w:val="0"/>
          <w:sz w:val="24"/>
          <w:szCs w:val="24"/>
        </w:rPr>
        <w:t>应保障通行安全与舒适</w:t>
      </w:r>
      <w:r>
        <w:rPr>
          <w:rFonts w:hint="eastAsia" w:asciiTheme="minorEastAsia" w:hAnsiTheme="minorEastAsia" w:eastAsiaTheme="minorEastAsia" w:cstheme="minorEastAsia"/>
          <w:sz w:val="24"/>
          <w:szCs w:val="24"/>
        </w:rPr>
        <w:t>。台阶连续升高超过5.0m时</w:t>
      </w:r>
      <w:r>
        <w:rPr>
          <w:rStyle w:val="25"/>
          <w:rFonts w:hint="eastAsia" w:asciiTheme="minorEastAsia" w:hAnsiTheme="minorEastAsia" w:eastAsiaTheme="minorEastAsia" w:cstheme="minorEastAsia"/>
          <w:b w:val="0"/>
          <w:sz w:val="24"/>
          <w:szCs w:val="24"/>
        </w:rPr>
        <w:t>宜设休息平台</w:t>
      </w:r>
      <w:r>
        <w:rPr>
          <w:rFonts w:hint="eastAsia" w:asciiTheme="minorEastAsia" w:hAnsiTheme="minorEastAsia" w:eastAsiaTheme="minorEastAsia" w:cstheme="minorEastAsia"/>
          <w:sz w:val="24"/>
          <w:szCs w:val="24"/>
        </w:rPr>
        <w:t>；无障碍坡道的设置</w:t>
      </w:r>
      <w:r>
        <w:rPr>
          <w:rStyle w:val="25"/>
          <w:rFonts w:hint="eastAsia" w:asciiTheme="minorEastAsia" w:hAnsiTheme="minorEastAsia" w:eastAsiaTheme="minorEastAsia" w:cstheme="minorEastAsia"/>
          <w:b w:val="0"/>
          <w:sz w:val="24"/>
          <w:szCs w:val="24"/>
        </w:rPr>
        <w:t>应符合现行国家标准《无障碍设计标准》GB 50763的</w:t>
      </w:r>
      <w:r>
        <w:rPr>
          <w:rFonts w:hint="eastAsia" w:asciiTheme="minorEastAsia" w:hAnsiTheme="minorEastAsia" w:eastAsiaTheme="minorEastAsia" w:cstheme="minorEastAsia"/>
          <w:sz w:val="24"/>
          <w:szCs w:val="24"/>
        </w:rPr>
        <w:t>有关</w:t>
      </w:r>
      <w:r>
        <w:rPr>
          <w:rStyle w:val="25"/>
          <w:rFonts w:hint="eastAsia" w:asciiTheme="minorEastAsia" w:hAnsiTheme="minorEastAsia" w:eastAsiaTheme="minorEastAsia" w:cstheme="minorEastAsia"/>
          <w:b w:val="0"/>
          <w:sz w:val="24"/>
          <w:szCs w:val="24"/>
        </w:rPr>
        <w:t>规定</w:t>
      </w:r>
      <w:r>
        <w:rPr>
          <w:rFonts w:hint="eastAsia" w:asciiTheme="minorEastAsia" w:hAnsiTheme="minorEastAsia" w:eastAsiaTheme="minorEastAsia" w:cstheme="minorEastAsia"/>
          <w:sz w:val="24"/>
          <w:szCs w:val="24"/>
        </w:rPr>
        <w:t>。</w:t>
      </w:r>
    </w:p>
    <w:p w14:paraId="2C325CBC">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shd w:val="clear" w:color="auto" w:fill="FFFFFF"/>
        </w:rPr>
        <w:t>10.4.8</w:t>
      </w:r>
      <w:r>
        <w:rPr>
          <w:rFonts w:hint="eastAsia" w:asciiTheme="minorEastAsia" w:hAnsiTheme="minorEastAsia" w:eastAsiaTheme="minorEastAsia" w:cstheme="minorEastAsia"/>
          <w:sz w:val="24"/>
          <w:szCs w:val="24"/>
        </w:rPr>
        <w:t>　对公众开放的城市绿地的台阶、人行坡道应符合以下规定：</w:t>
      </w:r>
    </w:p>
    <w:p w14:paraId="37EDA0CB">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w:t>
      </w:r>
      <w:r>
        <w:rPr>
          <w:rFonts w:hint="eastAsia" w:asciiTheme="minorEastAsia" w:hAnsiTheme="minorEastAsia" w:eastAsiaTheme="minorEastAsia" w:cstheme="minorEastAsia"/>
          <w:sz w:val="24"/>
          <w:szCs w:val="24"/>
        </w:rPr>
        <w:t>　当台阶、人行坡道总高度达到或者超过0.70m时，应在临空面采取防护措施；</w:t>
      </w:r>
    </w:p>
    <w:p w14:paraId="24252869">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2</w:t>
      </w:r>
      <w:r>
        <w:rPr>
          <w:rFonts w:hint="eastAsia" w:asciiTheme="minorEastAsia" w:hAnsiTheme="minorEastAsia" w:eastAsiaTheme="minorEastAsia" w:cstheme="minorEastAsia"/>
          <w:sz w:val="24"/>
          <w:szCs w:val="24"/>
        </w:rPr>
        <w:t>　主入口的室外台阶踏步宽度不应小于0.30m，踏步高度不应大于0.15m；</w:t>
      </w:r>
    </w:p>
    <w:p w14:paraId="04817411">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3</w:t>
      </w:r>
      <w:r>
        <w:rPr>
          <w:rFonts w:hint="eastAsia" w:asciiTheme="minorEastAsia" w:hAnsiTheme="minorEastAsia" w:eastAsiaTheme="minorEastAsia" w:cstheme="minorEastAsia"/>
          <w:sz w:val="24"/>
          <w:szCs w:val="24"/>
        </w:rPr>
        <w:t>　台阶踏步数不应少于2级，当踏步数不足2级时，应按人行坡道设置；</w:t>
      </w:r>
    </w:p>
    <w:p w14:paraId="2CFA40F5">
      <w:pPr>
        <w:widowControl/>
        <w:numPr>
          <w:ilvl w:val="255"/>
          <w:numId w:val="0"/>
        </w:numPr>
        <w:shd w:val="clear" w:color="auto" w:fill="FFFFFF"/>
        <w:adjustRightInd w:val="0"/>
        <w:snapToGrid w:val="0"/>
        <w:ind w:firstLine="482" w:firstLineChars="200"/>
        <w:textAlignment w:val="baseline"/>
        <w:rPr>
          <w:rFonts w:asciiTheme="minorEastAsia" w:hAnsiTheme="minorEastAsia" w:eastAsiaTheme="minorEastAsia" w:cstheme="minorEastAsia"/>
          <w:szCs w:val="24"/>
          <w:shd w:val="clear" w:color="auto" w:fill="FFFFFF"/>
        </w:rPr>
      </w:pPr>
      <w:r>
        <w:rPr>
          <w:rFonts w:hint="eastAsia" w:asciiTheme="minorEastAsia" w:hAnsiTheme="minorEastAsia" w:eastAsiaTheme="minorEastAsia" w:cstheme="minorEastAsia"/>
          <w:b/>
          <w:sz w:val="24"/>
          <w:szCs w:val="24"/>
        </w:rPr>
        <w:t>4</w:t>
      </w:r>
      <w:r>
        <w:rPr>
          <w:rFonts w:hint="eastAsia" w:asciiTheme="minorEastAsia" w:hAnsiTheme="minorEastAsia" w:eastAsiaTheme="minorEastAsia" w:cstheme="minorEastAsia"/>
          <w:sz w:val="24"/>
          <w:szCs w:val="24"/>
        </w:rPr>
        <w:t>　台阶、人行坡道的铺装面层应采取防滑措施。</w:t>
      </w:r>
    </w:p>
    <w:p w14:paraId="567D8635">
      <w:pPr>
        <w:pStyle w:val="20"/>
        <w:widowControl/>
        <w:shd w:val="clear" w:color="auto" w:fill="FFFFFF"/>
        <w:spacing w:line="360" w:lineRule="auto"/>
        <w:rPr>
          <w:rFonts w:asciiTheme="minorEastAsia" w:hAnsiTheme="minorEastAsia" w:eastAsiaTheme="minorEastAsia" w:cstheme="minorEastAsia"/>
          <w:szCs w:val="24"/>
        </w:rPr>
      </w:pPr>
      <w:r>
        <w:rPr>
          <w:rStyle w:val="25"/>
          <w:rFonts w:hint="eastAsia" w:asciiTheme="minorEastAsia" w:hAnsiTheme="minorEastAsia" w:eastAsiaTheme="minorEastAsia" w:cstheme="minorEastAsia"/>
          <w:szCs w:val="24"/>
          <w:shd w:val="clear" w:color="auto" w:fill="FFFFFF"/>
        </w:rPr>
        <w:t>1</w:t>
      </w:r>
      <w:r>
        <w:rPr>
          <w:rStyle w:val="25"/>
          <w:rFonts w:asciiTheme="minorEastAsia" w:hAnsiTheme="minorEastAsia" w:eastAsiaTheme="minorEastAsia" w:cstheme="minorEastAsia"/>
          <w:szCs w:val="24"/>
          <w:shd w:val="clear" w:color="auto" w:fill="FFFFFF"/>
        </w:rPr>
        <w:t>0.4.</w:t>
      </w:r>
      <w:r>
        <w:rPr>
          <w:rStyle w:val="25"/>
          <w:rFonts w:hint="eastAsia" w:asciiTheme="minorEastAsia" w:hAnsiTheme="minorEastAsia" w:eastAsiaTheme="minorEastAsia" w:cstheme="minorEastAsia"/>
          <w:szCs w:val="24"/>
          <w:shd w:val="clear" w:color="auto" w:fill="FFFFFF"/>
        </w:rPr>
        <w:t>9</w:t>
      </w:r>
      <w:r>
        <w:rPr>
          <w:rStyle w:val="25"/>
          <w:rFonts w:hint="eastAsia" w:asciiTheme="minorEastAsia" w:hAnsiTheme="minorEastAsia" w:eastAsiaTheme="minorEastAsia" w:cstheme="minorEastAsia"/>
          <w:b w:val="0"/>
          <w:szCs w:val="24"/>
          <w:shd w:val="clear" w:color="auto" w:fill="FFFFFF"/>
        </w:rPr>
        <w:t>　</w:t>
      </w:r>
      <w:r>
        <w:rPr>
          <w:rFonts w:hint="eastAsia" w:asciiTheme="minorEastAsia" w:hAnsiTheme="minorEastAsia" w:eastAsiaTheme="minorEastAsia" w:cstheme="minorEastAsia"/>
          <w:szCs w:val="24"/>
          <w:shd w:val="clear" w:color="auto" w:fill="FFFFFF"/>
        </w:rPr>
        <w:t>游人集中活动场地</w:t>
      </w:r>
      <w:r>
        <w:rPr>
          <w:rStyle w:val="25"/>
          <w:rFonts w:hint="eastAsia" w:asciiTheme="minorEastAsia" w:hAnsiTheme="minorEastAsia" w:eastAsiaTheme="minorEastAsia" w:cstheme="minorEastAsia"/>
          <w:b w:val="0"/>
          <w:szCs w:val="24"/>
          <w:shd w:val="clear" w:color="auto" w:fill="FFFFFF"/>
        </w:rPr>
        <w:t>宜通过乔木或构筑物提供遮荫</w:t>
      </w:r>
      <w:r>
        <w:rPr>
          <w:rFonts w:hint="eastAsia" w:asciiTheme="minorEastAsia" w:hAnsiTheme="minorEastAsia" w:eastAsiaTheme="minorEastAsia" w:cstheme="minorEastAsia"/>
          <w:szCs w:val="24"/>
          <w:shd w:val="clear" w:color="auto" w:fill="FFFFFF"/>
        </w:rPr>
        <w:t>。儿童活动区及临空、临水边缘</w:t>
      </w:r>
      <w:r>
        <w:rPr>
          <w:rStyle w:val="25"/>
          <w:rFonts w:hint="eastAsia" w:asciiTheme="minorEastAsia" w:hAnsiTheme="minorEastAsia" w:eastAsiaTheme="minorEastAsia" w:cstheme="minorEastAsia"/>
          <w:b w:val="0"/>
          <w:szCs w:val="24"/>
          <w:shd w:val="clear" w:color="auto" w:fill="FFFFFF"/>
        </w:rPr>
        <w:t>应设置安全防护设施，其构件不应有尖角或锐边</w:t>
      </w:r>
      <w:r>
        <w:rPr>
          <w:rFonts w:hint="eastAsia" w:asciiTheme="minorEastAsia" w:hAnsiTheme="minorEastAsia" w:eastAsiaTheme="minorEastAsia" w:cstheme="minorEastAsia"/>
          <w:szCs w:val="24"/>
          <w:shd w:val="clear" w:color="auto" w:fill="FFFFFF"/>
        </w:rPr>
        <w:t>。</w:t>
      </w:r>
    </w:p>
    <w:p w14:paraId="28929172">
      <w:pPr>
        <w:pStyle w:val="20"/>
        <w:widowControl/>
        <w:shd w:val="clear" w:color="auto" w:fill="FFFFFF"/>
        <w:spacing w:line="360" w:lineRule="auto"/>
        <w:rPr>
          <w:rFonts w:asciiTheme="minorEastAsia" w:hAnsiTheme="minorEastAsia" w:eastAsiaTheme="minorEastAsia" w:cstheme="minorEastAsia"/>
          <w:szCs w:val="24"/>
          <w:shd w:val="clear" w:color="auto" w:fill="FFFFFF"/>
        </w:rPr>
      </w:pPr>
      <w:r>
        <w:rPr>
          <w:rFonts w:asciiTheme="minorEastAsia" w:hAnsiTheme="minorEastAsia" w:eastAsiaTheme="minorEastAsia" w:cstheme="minorEastAsia"/>
          <w:b/>
          <w:szCs w:val="24"/>
          <w:shd w:val="clear" w:color="auto" w:fill="FFFFFF"/>
        </w:rPr>
        <w:t>10.4.</w:t>
      </w:r>
      <w:r>
        <w:rPr>
          <w:rFonts w:hint="eastAsia" w:asciiTheme="minorEastAsia" w:hAnsiTheme="minorEastAsia" w:eastAsiaTheme="minorEastAsia" w:cstheme="minorEastAsia"/>
          <w:b/>
          <w:szCs w:val="24"/>
          <w:shd w:val="clear" w:color="auto" w:fill="FFFFFF"/>
        </w:rPr>
        <w:t>10</w:t>
      </w:r>
      <w:r>
        <w:rPr>
          <w:rFonts w:hint="eastAsia" w:asciiTheme="minorEastAsia" w:hAnsiTheme="minorEastAsia" w:eastAsiaTheme="minorEastAsia" w:cstheme="minorEastAsia"/>
          <w:szCs w:val="24"/>
          <w:shd w:val="clear" w:color="auto" w:fill="FFFFFF"/>
        </w:rPr>
        <w:t>　</w:t>
      </w:r>
      <w:r>
        <w:rPr>
          <w:rStyle w:val="25"/>
          <w:rFonts w:hint="eastAsia" w:asciiTheme="minorEastAsia" w:hAnsiTheme="minorEastAsia" w:eastAsiaTheme="minorEastAsia" w:cstheme="minorEastAsia"/>
          <w:b w:val="0"/>
          <w:szCs w:val="24"/>
          <w:shd w:val="clear" w:color="auto" w:fill="FFFFFF"/>
          <w:lang w:eastAsia="zh-Hans"/>
        </w:rPr>
        <w:t>城市绿地内的桥梁</w:t>
      </w:r>
      <w:r>
        <w:rPr>
          <w:rFonts w:hint="eastAsia" w:asciiTheme="minorEastAsia" w:hAnsiTheme="minorEastAsia" w:eastAsiaTheme="minorEastAsia" w:cstheme="minorEastAsia"/>
          <w:szCs w:val="24"/>
          <w:shd w:val="clear" w:color="auto" w:fill="FFFFFF"/>
        </w:rPr>
        <w:t>设计应</w:t>
      </w:r>
      <w:r>
        <w:rPr>
          <w:rStyle w:val="25"/>
          <w:rFonts w:hint="eastAsia" w:asciiTheme="minorEastAsia" w:hAnsiTheme="minorEastAsia" w:eastAsiaTheme="minorEastAsia" w:cstheme="minorEastAsia"/>
          <w:b w:val="0"/>
          <w:szCs w:val="24"/>
          <w:shd w:val="clear" w:color="auto" w:fill="FFFFFF"/>
        </w:rPr>
        <w:t>满足安全、通行、观景及水域生态要求，结构安全耐久，桥型与尺度应与环境协调</w:t>
      </w:r>
      <w:r>
        <w:rPr>
          <w:rFonts w:hint="eastAsia" w:asciiTheme="minorEastAsia" w:hAnsiTheme="minorEastAsia" w:eastAsiaTheme="minorEastAsia" w:cstheme="minorEastAsia"/>
          <w:szCs w:val="24"/>
          <w:shd w:val="clear" w:color="auto" w:fill="FFFFFF"/>
        </w:rPr>
        <w:t>。非通行车辆的</w:t>
      </w:r>
      <w:r>
        <w:rPr>
          <w:rFonts w:hint="eastAsia" w:asciiTheme="minorEastAsia" w:hAnsiTheme="minorEastAsia" w:eastAsiaTheme="minorEastAsia" w:cstheme="minorEastAsia"/>
          <w:szCs w:val="24"/>
          <w:shd w:val="clear" w:color="auto" w:fill="FFFFFF"/>
          <w:lang w:eastAsia="zh-Hans"/>
        </w:rPr>
        <w:t>桥梁</w:t>
      </w:r>
      <w:r>
        <w:rPr>
          <w:rStyle w:val="25"/>
          <w:rFonts w:hint="eastAsia" w:asciiTheme="minorEastAsia" w:hAnsiTheme="minorEastAsia" w:eastAsiaTheme="minorEastAsia" w:cstheme="minorEastAsia"/>
          <w:b w:val="0"/>
          <w:szCs w:val="24"/>
          <w:shd w:val="clear" w:color="auto" w:fill="FFFFFF"/>
        </w:rPr>
        <w:t>均布活荷载标准值宜按4.5kN/m²考虑</w:t>
      </w:r>
      <w:r>
        <w:rPr>
          <w:rFonts w:hint="eastAsia" w:asciiTheme="minorEastAsia" w:hAnsiTheme="minorEastAsia" w:eastAsiaTheme="minorEastAsia" w:cstheme="minorEastAsia"/>
          <w:szCs w:val="24"/>
          <w:shd w:val="clear" w:color="auto" w:fill="FFFFFF"/>
        </w:rPr>
        <w:t>。通游船的桥梁</w:t>
      </w:r>
      <w:r>
        <w:rPr>
          <w:rStyle w:val="25"/>
          <w:rFonts w:hint="eastAsia" w:asciiTheme="minorEastAsia" w:hAnsiTheme="minorEastAsia" w:eastAsiaTheme="minorEastAsia" w:cstheme="minorEastAsia"/>
          <w:b w:val="0"/>
          <w:szCs w:val="24"/>
          <w:shd w:val="clear" w:color="auto" w:fill="FFFFFF"/>
        </w:rPr>
        <w:t>桥下净空应满足安全通行要求</w:t>
      </w:r>
      <w:r>
        <w:rPr>
          <w:rFonts w:hint="eastAsia" w:asciiTheme="minorEastAsia" w:hAnsiTheme="minorEastAsia" w:eastAsiaTheme="minorEastAsia" w:cstheme="minorEastAsia"/>
          <w:szCs w:val="24"/>
          <w:shd w:val="clear" w:color="auto" w:fill="FFFFFF"/>
        </w:rPr>
        <w:t>。</w:t>
      </w:r>
    </w:p>
    <w:p w14:paraId="33B35295">
      <w:pPr>
        <w:pStyle w:val="20"/>
        <w:widowControl/>
        <w:shd w:val="clear" w:color="auto" w:fill="FFFFFF"/>
        <w:spacing w:line="360" w:lineRule="auto"/>
        <w:rPr>
          <w:rFonts w:asciiTheme="minorEastAsia" w:hAnsiTheme="minorEastAsia" w:eastAsiaTheme="minorEastAsia" w:cstheme="minorEastAsia"/>
          <w:szCs w:val="24"/>
          <w:shd w:val="clear" w:color="auto" w:fill="FFFFFF"/>
        </w:rPr>
      </w:pPr>
      <w:r>
        <w:rPr>
          <w:rFonts w:asciiTheme="minorEastAsia" w:hAnsiTheme="minorEastAsia" w:eastAsiaTheme="minorEastAsia" w:cstheme="minorEastAsia"/>
          <w:b/>
          <w:szCs w:val="24"/>
          <w:shd w:val="clear" w:color="auto" w:fill="FFFFFF"/>
        </w:rPr>
        <w:t>10.4.11</w:t>
      </w:r>
      <w:r>
        <w:rPr>
          <w:rFonts w:hint="eastAsia" w:ascii="宋体" w:hAnsi="宋体" w:cs="宋体"/>
          <w:color w:val="0F1115"/>
          <w:szCs w:val="24"/>
          <w:shd w:val="clear" w:color="auto" w:fill="FFFFFF"/>
        </w:rPr>
        <w:t>未安装护栏的桥梁、亲水平台应确保安全，其临水区域应设置宽度</w:t>
      </w:r>
      <w:r>
        <w:rPr>
          <w:rFonts w:ascii="宋体" w:hAnsi="宋体" w:cs="宋体"/>
          <w:color w:val="0F1115"/>
          <w:szCs w:val="24"/>
          <w:shd w:val="clear" w:color="auto" w:fill="FFFFFF"/>
        </w:rPr>
        <w:t>2.00m</w:t>
      </w:r>
      <w:r>
        <w:rPr>
          <w:rFonts w:hint="eastAsia" w:ascii="宋体" w:hAnsi="宋体" w:cs="宋体"/>
          <w:color w:val="0F1115"/>
          <w:szCs w:val="24"/>
          <w:shd w:val="clear" w:color="auto" w:fill="FFFFFF"/>
        </w:rPr>
        <w:t>以上的水下安全区，且该区域内的水深不得超过</w:t>
      </w:r>
      <w:r>
        <w:rPr>
          <w:rFonts w:ascii="宋体" w:hAnsi="宋体" w:cs="宋体"/>
          <w:color w:val="0F1115"/>
          <w:szCs w:val="24"/>
          <w:shd w:val="clear" w:color="auto" w:fill="FFFFFF"/>
        </w:rPr>
        <w:t>0.70m</w:t>
      </w:r>
      <w:r>
        <w:rPr>
          <w:rFonts w:hint="eastAsia" w:ascii="宋体" w:hAnsi="宋体" w:cs="宋体"/>
          <w:color w:val="0F1115"/>
          <w:szCs w:val="24"/>
          <w:shd w:val="clear" w:color="auto" w:fill="FFFFFF"/>
        </w:rPr>
        <w:t>。汀步两侧的水深不得超过</w:t>
      </w:r>
      <w:r>
        <w:rPr>
          <w:rFonts w:ascii="宋体" w:hAnsi="宋体" w:cs="宋体"/>
          <w:color w:val="0F1115"/>
          <w:szCs w:val="24"/>
          <w:shd w:val="clear" w:color="auto" w:fill="FFFFFF"/>
        </w:rPr>
        <w:t>0.50m</w:t>
      </w:r>
      <w:r>
        <w:rPr>
          <w:rFonts w:hint="eastAsia" w:ascii="宋体" w:hAnsi="宋体" w:cs="宋体"/>
          <w:color w:val="0F1115"/>
          <w:szCs w:val="24"/>
          <w:shd w:val="clear" w:color="auto" w:fill="FFFFFF"/>
        </w:rPr>
        <w:t>。</w:t>
      </w:r>
    </w:p>
    <w:p w14:paraId="2488C72F">
      <w:pPr>
        <w:pStyle w:val="40"/>
        <w:outlineLvl w:val="1"/>
        <w:rPr>
          <w:b w:val="0"/>
        </w:rPr>
      </w:pPr>
      <w:bookmarkStart w:id="152" w:name="_Toc28021"/>
      <w:bookmarkStart w:id="153" w:name="_Toc27699"/>
      <w:r>
        <w:rPr>
          <w:b w:val="0"/>
        </w:rPr>
        <w:t>10</w:t>
      </w:r>
      <w:r>
        <w:rPr>
          <w:rFonts w:hint="eastAsia"/>
          <w:b w:val="0"/>
        </w:rPr>
        <w:t>.5　建（构）筑物</w:t>
      </w:r>
      <w:bookmarkEnd w:id="152"/>
      <w:bookmarkEnd w:id="153"/>
    </w:p>
    <w:p w14:paraId="2E4E2AF8">
      <w:pPr>
        <w:pStyle w:val="20"/>
        <w:widowControl/>
        <w:shd w:val="clear" w:color="auto" w:fill="FFFFFF"/>
        <w:spacing w:line="360" w:lineRule="auto"/>
        <w:rPr>
          <w:rFonts w:asciiTheme="minorEastAsia" w:hAnsiTheme="minorEastAsia" w:eastAsiaTheme="minorEastAsia" w:cstheme="minorEastAsia"/>
          <w:szCs w:val="24"/>
        </w:rPr>
      </w:pPr>
      <w:r>
        <w:rPr>
          <w:rFonts w:hint="eastAsia" w:asciiTheme="minorEastAsia" w:hAnsiTheme="minorEastAsia" w:eastAsiaTheme="minorEastAsia" w:cstheme="minorEastAsia"/>
          <w:b/>
          <w:szCs w:val="24"/>
          <w:shd w:val="clear" w:color="auto" w:fill="FFFFFF"/>
        </w:rPr>
        <w:t>10</w:t>
      </w:r>
      <w:r>
        <w:rPr>
          <w:rStyle w:val="25"/>
          <w:rFonts w:hint="eastAsia" w:asciiTheme="minorEastAsia" w:hAnsiTheme="minorEastAsia" w:eastAsiaTheme="minorEastAsia" w:cstheme="minorEastAsia"/>
          <w:szCs w:val="24"/>
          <w:shd w:val="clear" w:color="auto" w:fill="FFFFFF"/>
        </w:rPr>
        <w:t>.5.1</w:t>
      </w:r>
      <w:r>
        <w:rPr>
          <w:rStyle w:val="25"/>
          <w:rFonts w:hint="eastAsia" w:asciiTheme="minorEastAsia" w:hAnsiTheme="minorEastAsia" w:eastAsiaTheme="minorEastAsia" w:cstheme="minorEastAsia"/>
          <w:b w:val="0"/>
          <w:szCs w:val="24"/>
          <w:shd w:val="clear" w:color="auto" w:fill="FFFFFF"/>
        </w:rPr>
        <w:t>　</w:t>
      </w:r>
      <w:r>
        <w:rPr>
          <w:rFonts w:hint="eastAsia" w:asciiTheme="minorEastAsia" w:hAnsiTheme="minorEastAsia" w:eastAsiaTheme="minorEastAsia" w:cstheme="minorEastAsia"/>
          <w:szCs w:val="24"/>
          <w:shd w:val="clear" w:color="auto" w:fill="FFFFFF"/>
        </w:rPr>
        <w:t>城市绿地建（构）筑物设计应</w:t>
      </w:r>
      <w:r>
        <w:rPr>
          <w:rStyle w:val="25"/>
          <w:rFonts w:hint="eastAsia" w:asciiTheme="minorEastAsia" w:hAnsiTheme="minorEastAsia" w:eastAsiaTheme="minorEastAsia" w:cstheme="minorEastAsia"/>
          <w:b w:val="0"/>
          <w:szCs w:val="24"/>
          <w:shd w:val="clear" w:color="auto" w:fill="FFFFFF"/>
        </w:rPr>
        <w:t>以总体设计为依据，选址、体量、风格应与自然环境协调，宜优先选用可再生资源与地方材料，体现地域特色</w:t>
      </w:r>
      <w:r>
        <w:rPr>
          <w:rFonts w:hint="eastAsia" w:asciiTheme="minorEastAsia" w:hAnsiTheme="minorEastAsia" w:eastAsiaTheme="minorEastAsia" w:cstheme="minorEastAsia"/>
          <w:szCs w:val="24"/>
          <w:shd w:val="clear" w:color="auto" w:fill="FFFFFF"/>
        </w:rPr>
        <w:t>。</w:t>
      </w:r>
    </w:p>
    <w:p w14:paraId="07D33E38">
      <w:pPr>
        <w:pStyle w:val="20"/>
        <w:widowControl/>
        <w:shd w:val="clear" w:color="auto" w:fill="FFFFFF"/>
        <w:spacing w:line="360" w:lineRule="auto"/>
        <w:rPr>
          <w:rFonts w:asciiTheme="minorEastAsia" w:hAnsiTheme="minorEastAsia" w:eastAsiaTheme="minorEastAsia" w:cstheme="minorEastAsia"/>
          <w:szCs w:val="24"/>
        </w:rPr>
      </w:pPr>
      <w:r>
        <w:rPr>
          <w:rFonts w:hint="eastAsia" w:asciiTheme="minorEastAsia" w:hAnsiTheme="minorEastAsia" w:eastAsiaTheme="minorEastAsia" w:cstheme="minorEastAsia"/>
          <w:b/>
          <w:szCs w:val="24"/>
          <w:shd w:val="clear" w:color="auto" w:fill="FFFFFF"/>
        </w:rPr>
        <w:t>10</w:t>
      </w:r>
      <w:r>
        <w:rPr>
          <w:rStyle w:val="25"/>
          <w:rFonts w:hint="eastAsia" w:asciiTheme="minorEastAsia" w:hAnsiTheme="minorEastAsia" w:eastAsiaTheme="minorEastAsia" w:cstheme="minorEastAsia"/>
          <w:szCs w:val="24"/>
          <w:shd w:val="clear" w:color="auto" w:fill="FFFFFF"/>
        </w:rPr>
        <w:t>.5.2</w:t>
      </w:r>
      <w:r>
        <w:rPr>
          <w:rStyle w:val="25"/>
          <w:rFonts w:hint="eastAsia" w:asciiTheme="minorEastAsia" w:hAnsiTheme="minorEastAsia" w:eastAsiaTheme="minorEastAsia" w:cstheme="minorEastAsia"/>
          <w:b w:val="0"/>
          <w:szCs w:val="24"/>
          <w:shd w:val="clear" w:color="auto" w:fill="FFFFFF"/>
        </w:rPr>
        <w:t>　</w:t>
      </w:r>
      <w:r>
        <w:rPr>
          <w:rFonts w:hint="eastAsia" w:asciiTheme="minorEastAsia" w:hAnsiTheme="minorEastAsia" w:eastAsiaTheme="minorEastAsia" w:cstheme="minorEastAsia"/>
          <w:szCs w:val="24"/>
          <w:shd w:val="clear" w:color="auto" w:fill="FFFFFF"/>
        </w:rPr>
        <w:t>建（构）筑物体量</w:t>
      </w:r>
      <w:r>
        <w:rPr>
          <w:rStyle w:val="25"/>
          <w:rFonts w:hint="eastAsia" w:asciiTheme="minorEastAsia" w:hAnsiTheme="minorEastAsia" w:eastAsiaTheme="minorEastAsia" w:cstheme="minorEastAsia"/>
          <w:b w:val="0"/>
          <w:szCs w:val="24"/>
          <w:shd w:val="clear" w:color="auto" w:fill="FFFFFF"/>
        </w:rPr>
        <w:t>应适宜，其形式、色彩与细部处理应与周边景观融合，不应对主要景观视线造成遮挡或干扰</w:t>
      </w:r>
      <w:r>
        <w:rPr>
          <w:rFonts w:hint="eastAsia" w:asciiTheme="minorEastAsia" w:hAnsiTheme="minorEastAsia" w:eastAsiaTheme="minorEastAsia" w:cstheme="minorEastAsia"/>
          <w:szCs w:val="24"/>
          <w:shd w:val="clear" w:color="auto" w:fill="FFFFFF"/>
        </w:rPr>
        <w:t>。</w:t>
      </w:r>
    </w:p>
    <w:p w14:paraId="4E06A0D1">
      <w:pPr>
        <w:pStyle w:val="20"/>
        <w:widowControl/>
        <w:shd w:val="clear" w:color="auto" w:fill="FFFFFF"/>
        <w:spacing w:line="360" w:lineRule="auto"/>
        <w:rPr>
          <w:rFonts w:asciiTheme="minorEastAsia" w:hAnsiTheme="minorEastAsia" w:eastAsiaTheme="minorEastAsia" w:cstheme="minorEastAsia"/>
          <w:szCs w:val="24"/>
        </w:rPr>
      </w:pPr>
      <w:r>
        <w:rPr>
          <w:rFonts w:hint="eastAsia" w:asciiTheme="minorEastAsia" w:hAnsiTheme="minorEastAsia" w:eastAsiaTheme="minorEastAsia" w:cstheme="minorEastAsia"/>
          <w:b/>
          <w:szCs w:val="24"/>
          <w:shd w:val="clear" w:color="auto" w:fill="FFFFFF"/>
        </w:rPr>
        <w:t>10</w:t>
      </w:r>
      <w:r>
        <w:rPr>
          <w:rStyle w:val="25"/>
          <w:rFonts w:hint="eastAsia" w:asciiTheme="minorEastAsia" w:hAnsiTheme="minorEastAsia" w:eastAsiaTheme="minorEastAsia" w:cstheme="minorEastAsia"/>
          <w:szCs w:val="24"/>
          <w:shd w:val="clear" w:color="auto" w:fill="FFFFFF"/>
        </w:rPr>
        <w:t>.5.3</w:t>
      </w:r>
      <w:r>
        <w:rPr>
          <w:rStyle w:val="25"/>
          <w:rFonts w:hint="eastAsia" w:asciiTheme="minorEastAsia" w:hAnsiTheme="minorEastAsia" w:eastAsiaTheme="minorEastAsia" w:cstheme="minorEastAsia"/>
          <w:b w:val="0"/>
          <w:szCs w:val="24"/>
          <w:shd w:val="clear" w:color="auto" w:fill="FFFFFF"/>
        </w:rPr>
        <w:t>　</w:t>
      </w:r>
      <w:r>
        <w:rPr>
          <w:rFonts w:hint="eastAsia" w:asciiTheme="minorEastAsia" w:hAnsiTheme="minorEastAsia" w:eastAsiaTheme="minorEastAsia" w:cstheme="minorEastAsia"/>
          <w:szCs w:val="24"/>
          <w:shd w:val="clear" w:color="auto" w:fill="FFFFFF"/>
        </w:rPr>
        <w:t>建（构）筑物及其相连场地的铺装材料应</w:t>
      </w:r>
      <w:r>
        <w:rPr>
          <w:rStyle w:val="25"/>
          <w:rFonts w:hint="eastAsia" w:asciiTheme="minorEastAsia" w:hAnsiTheme="minorEastAsia" w:eastAsiaTheme="minorEastAsia" w:cstheme="minorEastAsia"/>
          <w:b w:val="0"/>
          <w:szCs w:val="24"/>
          <w:shd w:val="clear" w:color="auto" w:fill="FFFFFF"/>
        </w:rPr>
        <w:t>坚固耐久、防滑，与环境风格协调</w:t>
      </w:r>
      <w:r>
        <w:rPr>
          <w:rFonts w:hint="eastAsia" w:asciiTheme="minorEastAsia" w:hAnsiTheme="minorEastAsia" w:eastAsiaTheme="minorEastAsia" w:cstheme="minorEastAsia"/>
          <w:szCs w:val="24"/>
          <w:shd w:val="clear" w:color="auto" w:fill="FFFFFF"/>
        </w:rPr>
        <w:t>。寒冷地区</w:t>
      </w:r>
      <w:r>
        <w:rPr>
          <w:rStyle w:val="25"/>
          <w:rFonts w:hint="eastAsia" w:asciiTheme="minorEastAsia" w:hAnsiTheme="minorEastAsia" w:eastAsiaTheme="minorEastAsia" w:cstheme="minorEastAsia"/>
          <w:b w:val="0"/>
          <w:szCs w:val="24"/>
          <w:shd w:val="clear" w:color="auto" w:fill="FFFFFF"/>
        </w:rPr>
        <w:t>应考虑材料的抗冻融性能</w:t>
      </w:r>
      <w:r>
        <w:rPr>
          <w:rFonts w:hint="eastAsia" w:asciiTheme="minorEastAsia" w:hAnsiTheme="minorEastAsia" w:eastAsiaTheme="minorEastAsia" w:cstheme="minorEastAsia"/>
          <w:szCs w:val="24"/>
          <w:shd w:val="clear" w:color="auto" w:fill="FFFFFF"/>
        </w:rPr>
        <w:t>。</w:t>
      </w:r>
    </w:p>
    <w:p w14:paraId="6F544DC9">
      <w:pPr>
        <w:pStyle w:val="20"/>
        <w:widowControl/>
        <w:shd w:val="clear" w:color="auto" w:fill="FFFFFF"/>
        <w:spacing w:line="360" w:lineRule="auto"/>
        <w:rPr>
          <w:rFonts w:asciiTheme="minorEastAsia" w:hAnsiTheme="minorEastAsia" w:eastAsiaTheme="minorEastAsia" w:cstheme="minorEastAsia"/>
          <w:szCs w:val="24"/>
        </w:rPr>
      </w:pPr>
      <w:r>
        <w:rPr>
          <w:rFonts w:hint="eastAsia" w:asciiTheme="minorEastAsia" w:hAnsiTheme="minorEastAsia" w:eastAsiaTheme="minorEastAsia" w:cstheme="minorEastAsia"/>
          <w:b/>
          <w:szCs w:val="24"/>
          <w:shd w:val="clear" w:color="auto" w:fill="FFFFFF"/>
        </w:rPr>
        <w:t>10</w:t>
      </w:r>
      <w:r>
        <w:rPr>
          <w:rStyle w:val="25"/>
          <w:rFonts w:hint="eastAsia" w:asciiTheme="minorEastAsia" w:hAnsiTheme="minorEastAsia" w:eastAsiaTheme="minorEastAsia" w:cstheme="minorEastAsia"/>
          <w:szCs w:val="24"/>
          <w:shd w:val="clear" w:color="auto" w:fill="FFFFFF"/>
        </w:rPr>
        <w:t>.5.4</w:t>
      </w:r>
      <w:r>
        <w:rPr>
          <w:rStyle w:val="25"/>
          <w:rFonts w:hint="eastAsia" w:asciiTheme="minorEastAsia" w:hAnsiTheme="minorEastAsia" w:eastAsiaTheme="minorEastAsia" w:cstheme="minorEastAsia"/>
          <w:b w:val="0"/>
          <w:szCs w:val="24"/>
          <w:shd w:val="clear" w:color="auto" w:fill="FFFFFF"/>
        </w:rPr>
        <w:t>　</w:t>
      </w:r>
      <w:r>
        <w:rPr>
          <w:rFonts w:hint="eastAsia" w:asciiTheme="minorEastAsia" w:hAnsiTheme="minorEastAsia" w:eastAsiaTheme="minorEastAsia" w:cstheme="minorEastAsia"/>
          <w:szCs w:val="24"/>
          <w:shd w:val="clear" w:color="auto" w:fill="FFFFFF"/>
        </w:rPr>
        <w:t>游人服务建筑</w:t>
      </w:r>
      <w:r>
        <w:rPr>
          <w:rStyle w:val="25"/>
          <w:rFonts w:hint="eastAsia" w:asciiTheme="minorEastAsia" w:hAnsiTheme="minorEastAsia" w:eastAsiaTheme="minorEastAsia" w:cstheme="minorEastAsia"/>
          <w:b w:val="0"/>
          <w:szCs w:val="24"/>
          <w:shd w:val="clear" w:color="auto" w:fill="FFFFFF"/>
        </w:rPr>
        <w:t>布局应合理，宜优先设置于出入口、活动场地及游人集中区域</w:t>
      </w:r>
      <w:r>
        <w:rPr>
          <w:rFonts w:hint="eastAsia" w:asciiTheme="minorEastAsia" w:hAnsiTheme="minorEastAsia" w:eastAsiaTheme="minorEastAsia" w:cstheme="minorEastAsia"/>
          <w:szCs w:val="24"/>
          <w:shd w:val="clear" w:color="auto" w:fill="FFFFFF"/>
        </w:rPr>
        <w:t>。</w:t>
      </w:r>
      <w:r>
        <w:rPr>
          <w:rStyle w:val="25"/>
          <w:rFonts w:hint="eastAsia" w:asciiTheme="minorEastAsia" w:hAnsiTheme="minorEastAsia" w:eastAsiaTheme="minorEastAsia" w:cstheme="minorEastAsia"/>
          <w:b w:val="0"/>
          <w:szCs w:val="24"/>
          <w:shd w:val="clear" w:color="auto" w:fill="FFFFFF"/>
          <w:lang w:eastAsia="zh-Hans"/>
        </w:rPr>
        <w:t>厕所</w:t>
      </w:r>
      <w:r>
        <w:rPr>
          <w:rStyle w:val="25"/>
          <w:rFonts w:hint="eastAsia" w:asciiTheme="minorEastAsia" w:hAnsiTheme="minorEastAsia" w:eastAsiaTheme="minorEastAsia" w:cstheme="minorEastAsia"/>
          <w:b w:val="0"/>
          <w:szCs w:val="24"/>
          <w:shd w:val="clear" w:color="auto" w:fill="FFFFFF"/>
        </w:rPr>
        <w:t>服务半径不宜超过250m，</w:t>
      </w:r>
      <w:r>
        <w:rPr>
          <w:rFonts w:hint="eastAsia" w:asciiTheme="minorEastAsia" w:hAnsiTheme="minorEastAsia" w:eastAsiaTheme="minorEastAsia" w:cstheme="minorEastAsia"/>
          <w:szCs w:val="24"/>
          <w:shd w:val="clear" w:color="auto" w:fill="FFFFFF"/>
        </w:rPr>
        <w:t>区域绿地</w:t>
      </w:r>
      <w:r>
        <w:rPr>
          <w:rStyle w:val="25"/>
          <w:rFonts w:hint="eastAsia" w:asciiTheme="minorEastAsia" w:hAnsiTheme="minorEastAsia" w:eastAsiaTheme="minorEastAsia" w:cstheme="minorEastAsia"/>
          <w:b w:val="0"/>
          <w:szCs w:val="24"/>
          <w:shd w:val="clear" w:color="auto" w:fill="FFFFFF"/>
        </w:rPr>
        <w:t>可根据实际情况适当调整</w:t>
      </w:r>
      <w:r>
        <w:rPr>
          <w:rFonts w:hint="eastAsia" w:asciiTheme="minorEastAsia" w:hAnsiTheme="minorEastAsia" w:eastAsiaTheme="minorEastAsia" w:cstheme="minorEastAsia"/>
          <w:szCs w:val="24"/>
          <w:shd w:val="clear" w:color="auto" w:fill="FFFFFF"/>
        </w:rPr>
        <w:t>。</w:t>
      </w:r>
    </w:p>
    <w:p w14:paraId="10390C63">
      <w:pPr>
        <w:pStyle w:val="20"/>
        <w:widowControl/>
        <w:shd w:val="clear" w:color="auto" w:fill="FFFFFF"/>
        <w:spacing w:line="360" w:lineRule="auto"/>
        <w:rPr>
          <w:rFonts w:asciiTheme="minorEastAsia" w:hAnsiTheme="minorEastAsia" w:eastAsiaTheme="minorEastAsia" w:cstheme="minorEastAsia"/>
          <w:szCs w:val="24"/>
        </w:rPr>
      </w:pPr>
      <w:r>
        <w:rPr>
          <w:rFonts w:hint="eastAsia" w:asciiTheme="minorEastAsia" w:hAnsiTheme="minorEastAsia" w:eastAsiaTheme="minorEastAsia" w:cstheme="minorEastAsia"/>
          <w:b/>
          <w:szCs w:val="24"/>
          <w:shd w:val="clear" w:color="auto" w:fill="FFFFFF"/>
        </w:rPr>
        <w:t>10</w:t>
      </w:r>
      <w:r>
        <w:rPr>
          <w:rStyle w:val="25"/>
          <w:rFonts w:hint="eastAsia" w:asciiTheme="minorEastAsia" w:hAnsiTheme="minorEastAsia" w:eastAsiaTheme="minorEastAsia" w:cstheme="minorEastAsia"/>
          <w:szCs w:val="24"/>
          <w:shd w:val="clear" w:color="auto" w:fill="FFFFFF"/>
        </w:rPr>
        <w:t>.5.5</w:t>
      </w:r>
      <w:r>
        <w:rPr>
          <w:rStyle w:val="25"/>
          <w:rFonts w:hint="eastAsia" w:asciiTheme="minorEastAsia" w:hAnsiTheme="minorEastAsia" w:eastAsiaTheme="minorEastAsia" w:cstheme="minorEastAsia"/>
          <w:b w:val="0"/>
          <w:szCs w:val="24"/>
          <w:shd w:val="clear" w:color="auto" w:fill="FFFFFF"/>
        </w:rPr>
        <w:t>　</w:t>
      </w:r>
      <w:r>
        <w:rPr>
          <w:rFonts w:hint="eastAsia" w:asciiTheme="minorEastAsia" w:hAnsiTheme="minorEastAsia" w:eastAsiaTheme="minorEastAsia" w:cstheme="minorEastAsia"/>
          <w:szCs w:val="24"/>
          <w:shd w:val="clear" w:color="auto" w:fill="FFFFFF"/>
        </w:rPr>
        <w:t>临空、临水等存在安全隐患的建（构）筑物边缘</w:t>
      </w:r>
      <w:r>
        <w:rPr>
          <w:rStyle w:val="25"/>
          <w:rFonts w:hint="eastAsia" w:asciiTheme="minorEastAsia" w:hAnsiTheme="minorEastAsia" w:eastAsiaTheme="minorEastAsia" w:cstheme="minorEastAsia"/>
          <w:b w:val="0"/>
          <w:szCs w:val="24"/>
          <w:shd w:val="clear" w:color="auto" w:fill="FFFFFF"/>
        </w:rPr>
        <w:t>应设置牢固的防护设施，水电设备的建（构）筑物应符合安全规定，涉水区域应采取漏电保护等措施</w:t>
      </w:r>
      <w:r>
        <w:rPr>
          <w:rFonts w:hint="eastAsia" w:asciiTheme="minorEastAsia" w:hAnsiTheme="minorEastAsia" w:eastAsiaTheme="minorEastAsia" w:cstheme="minorEastAsia"/>
          <w:szCs w:val="24"/>
          <w:shd w:val="clear" w:color="auto" w:fill="FFFFFF"/>
        </w:rPr>
        <w:t>。</w:t>
      </w:r>
    </w:p>
    <w:p w14:paraId="779CE8E2">
      <w:pPr>
        <w:pStyle w:val="20"/>
        <w:widowControl/>
        <w:shd w:val="clear" w:color="auto" w:fill="FFFFFF"/>
        <w:spacing w:line="360" w:lineRule="auto"/>
        <w:rPr>
          <w:rFonts w:asciiTheme="minorEastAsia" w:hAnsiTheme="minorEastAsia" w:eastAsiaTheme="minorEastAsia" w:cstheme="minorEastAsia"/>
          <w:szCs w:val="24"/>
        </w:rPr>
      </w:pPr>
      <w:r>
        <w:rPr>
          <w:rFonts w:hint="eastAsia" w:asciiTheme="minorEastAsia" w:hAnsiTheme="minorEastAsia" w:eastAsiaTheme="minorEastAsia" w:cstheme="minorEastAsia"/>
          <w:b/>
          <w:szCs w:val="24"/>
          <w:shd w:val="clear" w:color="auto" w:fill="FFFFFF"/>
        </w:rPr>
        <w:t>10</w:t>
      </w:r>
      <w:r>
        <w:rPr>
          <w:rStyle w:val="25"/>
          <w:rFonts w:hint="eastAsia" w:asciiTheme="minorEastAsia" w:hAnsiTheme="minorEastAsia" w:eastAsiaTheme="minorEastAsia" w:cstheme="minorEastAsia"/>
          <w:szCs w:val="24"/>
          <w:shd w:val="clear" w:color="auto" w:fill="FFFFFF"/>
        </w:rPr>
        <w:t>.5.6</w:t>
      </w:r>
      <w:r>
        <w:rPr>
          <w:rStyle w:val="25"/>
          <w:rFonts w:hint="eastAsia" w:asciiTheme="minorEastAsia" w:hAnsiTheme="minorEastAsia" w:eastAsiaTheme="minorEastAsia" w:cstheme="minorEastAsia"/>
          <w:b w:val="0"/>
          <w:szCs w:val="24"/>
          <w:shd w:val="clear" w:color="auto" w:fill="FFFFFF"/>
        </w:rPr>
        <w:t>　</w:t>
      </w:r>
      <w:r>
        <w:rPr>
          <w:rFonts w:hint="eastAsia" w:asciiTheme="minorEastAsia" w:hAnsiTheme="minorEastAsia" w:eastAsiaTheme="minorEastAsia" w:cstheme="minorEastAsia"/>
          <w:szCs w:val="24"/>
          <w:shd w:val="clear" w:color="auto" w:fill="FFFFFF"/>
        </w:rPr>
        <w:t>建（构）筑物的出入口、通道</w:t>
      </w:r>
      <w:r>
        <w:rPr>
          <w:rFonts w:hint="eastAsia" w:asciiTheme="minorEastAsia" w:hAnsiTheme="minorEastAsia" w:eastAsiaTheme="minorEastAsia" w:cstheme="minorEastAsia"/>
          <w:szCs w:val="24"/>
          <w:shd w:val="clear" w:color="auto" w:fill="FFFFFF"/>
          <w:lang w:eastAsia="zh-Hans"/>
        </w:rPr>
        <w:t>及其</w:t>
      </w:r>
      <w:r>
        <w:rPr>
          <w:rFonts w:hint="eastAsia" w:asciiTheme="minorEastAsia" w:hAnsiTheme="minorEastAsia" w:eastAsiaTheme="minorEastAsia" w:cstheme="minorEastAsia"/>
          <w:szCs w:val="24"/>
          <w:shd w:val="clear" w:color="auto" w:fill="FFFFFF"/>
        </w:rPr>
        <w:t>与</w:t>
      </w:r>
      <w:r>
        <w:rPr>
          <w:rFonts w:hint="eastAsia" w:asciiTheme="minorEastAsia" w:hAnsiTheme="minorEastAsia" w:eastAsiaTheme="minorEastAsia" w:cstheme="minorEastAsia"/>
          <w:szCs w:val="24"/>
          <w:shd w:val="clear" w:color="auto" w:fill="FFFFFF"/>
          <w:lang w:eastAsia="zh-Hans"/>
        </w:rPr>
        <w:t>道</w:t>
      </w:r>
      <w:r>
        <w:rPr>
          <w:rFonts w:hint="eastAsia" w:asciiTheme="minorEastAsia" w:hAnsiTheme="minorEastAsia" w:eastAsiaTheme="minorEastAsia" w:cstheme="minorEastAsia"/>
          <w:szCs w:val="24"/>
          <w:shd w:val="clear" w:color="auto" w:fill="FFFFFF"/>
        </w:rPr>
        <w:t>路的衔接，</w:t>
      </w:r>
      <w:r>
        <w:rPr>
          <w:rStyle w:val="25"/>
          <w:rFonts w:hint="eastAsia" w:asciiTheme="minorEastAsia" w:hAnsiTheme="minorEastAsia" w:eastAsiaTheme="minorEastAsia" w:cstheme="minorEastAsia"/>
          <w:b w:val="0"/>
          <w:szCs w:val="24"/>
          <w:shd w:val="clear" w:color="auto" w:fill="FFFFFF"/>
        </w:rPr>
        <w:t>应符合现行国家标准《无障碍设计标准》GB 50763的</w:t>
      </w:r>
      <w:r>
        <w:rPr>
          <w:rFonts w:hint="eastAsia" w:asciiTheme="minorEastAsia" w:hAnsiTheme="minorEastAsia" w:eastAsiaTheme="minorEastAsia" w:cstheme="minorEastAsia"/>
          <w:szCs w:val="24"/>
        </w:rPr>
        <w:t>有关</w:t>
      </w:r>
      <w:r>
        <w:rPr>
          <w:rStyle w:val="25"/>
          <w:rFonts w:hint="eastAsia" w:asciiTheme="minorEastAsia" w:hAnsiTheme="minorEastAsia" w:eastAsiaTheme="minorEastAsia" w:cstheme="minorEastAsia"/>
          <w:b w:val="0"/>
          <w:szCs w:val="24"/>
          <w:shd w:val="clear" w:color="auto" w:fill="FFFFFF"/>
        </w:rPr>
        <w:t>规定</w:t>
      </w:r>
      <w:r>
        <w:rPr>
          <w:rFonts w:hint="eastAsia" w:asciiTheme="minorEastAsia" w:hAnsiTheme="minorEastAsia" w:eastAsiaTheme="minorEastAsia" w:cstheme="minorEastAsia"/>
          <w:szCs w:val="24"/>
          <w:shd w:val="clear" w:color="auto" w:fill="FFFFFF"/>
        </w:rPr>
        <w:t>。</w:t>
      </w:r>
    </w:p>
    <w:p w14:paraId="5D4B930F">
      <w:pPr>
        <w:pStyle w:val="40"/>
        <w:outlineLvl w:val="1"/>
        <w:rPr>
          <w:b w:val="0"/>
        </w:rPr>
      </w:pPr>
      <w:bookmarkStart w:id="154" w:name="_Toc26493"/>
      <w:bookmarkStart w:id="155" w:name="_Toc21165"/>
      <w:r>
        <w:rPr>
          <w:b w:val="0"/>
        </w:rPr>
        <w:t>10</w:t>
      </w:r>
      <w:r>
        <w:rPr>
          <w:rFonts w:hint="eastAsia"/>
          <w:b w:val="0"/>
        </w:rPr>
        <w:t>.6　配套设施</w:t>
      </w:r>
      <w:bookmarkEnd w:id="154"/>
      <w:bookmarkEnd w:id="155"/>
    </w:p>
    <w:p w14:paraId="37559C9D">
      <w:pPr>
        <w:pStyle w:val="20"/>
        <w:widowControl/>
        <w:shd w:val="clear" w:color="auto" w:fill="FFFFFF"/>
        <w:spacing w:line="360" w:lineRule="auto"/>
        <w:rPr>
          <w:rFonts w:asciiTheme="minorEastAsia" w:hAnsiTheme="minorEastAsia" w:eastAsiaTheme="minorEastAsia" w:cstheme="minorEastAsia"/>
          <w:szCs w:val="24"/>
          <w:shd w:val="clear" w:color="auto" w:fill="FFFFFF"/>
        </w:rPr>
      </w:pPr>
      <w:r>
        <w:rPr>
          <w:rFonts w:hint="eastAsia" w:asciiTheme="minorEastAsia" w:hAnsiTheme="minorEastAsia" w:eastAsiaTheme="minorEastAsia" w:cstheme="minorEastAsia"/>
          <w:b/>
          <w:szCs w:val="24"/>
          <w:shd w:val="clear" w:color="auto" w:fill="FFFFFF"/>
        </w:rPr>
        <w:t>10.6.1</w:t>
      </w:r>
      <w:r>
        <w:rPr>
          <w:rFonts w:hint="eastAsia" w:asciiTheme="minorEastAsia" w:hAnsiTheme="minorEastAsia" w:eastAsiaTheme="minorEastAsia" w:cstheme="minorEastAsia"/>
          <w:szCs w:val="24"/>
          <w:shd w:val="clear" w:color="auto" w:fill="FFFFFF"/>
        </w:rPr>
        <w:t>　城市绿地的配套设施可包括游憩设施、服务设施和管理设施。</w:t>
      </w:r>
    </w:p>
    <w:p w14:paraId="6A65F7AB">
      <w:pPr>
        <w:pStyle w:val="20"/>
        <w:widowControl/>
        <w:shd w:val="clear" w:color="auto" w:fill="FFFFFF"/>
        <w:spacing w:line="360" w:lineRule="auto"/>
        <w:rPr>
          <w:rFonts w:asciiTheme="minorEastAsia" w:hAnsiTheme="minorEastAsia" w:eastAsiaTheme="minorEastAsia" w:cstheme="minorEastAsia"/>
          <w:szCs w:val="24"/>
          <w:shd w:val="clear" w:color="auto" w:fill="FFFFFF"/>
        </w:rPr>
      </w:pPr>
      <w:r>
        <w:rPr>
          <w:rFonts w:hint="eastAsia" w:asciiTheme="minorEastAsia" w:hAnsiTheme="minorEastAsia" w:eastAsiaTheme="minorEastAsia" w:cstheme="minorEastAsia"/>
          <w:b/>
          <w:szCs w:val="24"/>
          <w:shd w:val="clear" w:color="auto" w:fill="FFFFFF"/>
        </w:rPr>
        <w:t>10.6.2</w:t>
      </w:r>
      <w:r>
        <w:rPr>
          <w:rFonts w:hint="eastAsia" w:asciiTheme="minorEastAsia" w:hAnsiTheme="minorEastAsia" w:eastAsiaTheme="minorEastAsia" w:cstheme="minorEastAsia"/>
          <w:szCs w:val="24"/>
          <w:shd w:val="clear" w:color="auto" w:fill="FFFFFF"/>
        </w:rPr>
        <w:t>　城市绿地的配套设施应在确保安全的前提下统筹布局，其设计应满足不同时间段使用需求，并应确保其规模和品质的合理性、适宜性、实用性和舒适性。</w:t>
      </w:r>
    </w:p>
    <w:p w14:paraId="64DB43A5">
      <w:pPr>
        <w:pStyle w:val="20"/>
        <w:widowControl/>
        <w:shd w:val="clear" w:color="auto" w:fill="FFFFFF"/>
        <w:spacing w:line="360" w:lineRule="auto"/>
        <w:rPr>
          <w:rFonts w:asciiTheme="minorEastAsia" w:hAnsiTheme="minorEastAsia" w:eastAsiaTheme="minorEastAsia" w:cstheme="minorEastAsia"/>
          <w:szCs w:val="24"/>
          <w:shd w:val="clear" w:color="auto" w:fill="FFFFFF"/>
        </w:rPr>
      </w:pPr>
      <w:r>
        <w:rPr>
          <w:rFonts w:hint="eastAsia" w:asciiTheme="minorEastAsia" w:hAnsiTheme="minorEastAsia" w:eastAsiaTheme="minorEastAsia" w:cstheme="minorEastAsia"/>
          <w:b/>
          <w:szCs w:val="24"/>
          <w:shd w:val="clear" w:color="auto" w:fill="FFFFFF"/>
        </w:rPr>
        <w:t>10.6.3</w:t>
      </w:r>
      <w:r>
        <w:rPr>
          <w:rFonts w:hint="eastAsia" w:asciiTheme="minorEastAsia" w:hAnsiTheme="minorEastAsia" w:eastAsiaTheme="minorEastAsia" w:cstheme="minorEastAsia"/>
          <w:szCs w:val="24"/>
          <w:shd w:val="clear" w:color="auto" w:fill="FFFFFF"/>
        </w:rPr>
        <w:t>　城市绿地配套设施的设计风格和布局应与周围环境相协调，并应体现地域特征。</w:t>
      </w:r>
    </w:p>
    <w:p w14:paraId="4ABEF9B1">
      <w:pPr>
        <w:pStyle w:val="20"/>
        <w:widowControl/>
        <w:shd w:val="clear" w:color="auto" w:fill="FFFFFF"/>
        <w:spacing w:line="360" w:lineRule="auto"/>
        <w:rPr>
          <w:rFonts w:asciiTheme="minorEastAsia" w:hAnsiTheme="minorEastAsia" w:eastAsiaTheme="minorEastAsia" w:cstheme="minorEastAsia"/>
          <w:szCs w:val="24"/>
          <w:shd w:val="clear" w:color="auto" w:fill="FFFFFF"/>
        </w:rPr>
      </w:pPr>
      <w:r>
        <w:rPr>
          <w:rFonts w:hint="eastAsia" w:asciiTheme="minorEastAsia" w:hAnsiTheme="minorEastAsia" w:eastAsiaTheme="minorEastAsia" w:cstheme="minorEastAsia"/>
          <w:b/>
          <w:szCs w:val="24"/>
          <w:shd w:val="clear" w:color="auto" w:fill="FFFFFF"/>
        </w:rPr>
        <w:t>10.6.4</w:t>
      </w:r>
      <w:r>
        <w:rPr>
          <w:rFonts w:hint="eastAsia" w:asciiTheme="minorEastAsia" w:hAnsiTheme="minorEastAsia" w:eastAsiaTheme="minorEastAsia" w:cstheme="minorEastAsia"/>
          <w:szCs w:val="24"/>
          <w:shd w:val="clear" w:color="auto" w:fill="FFFFFF"/>
        </w:rPr>
        <w:t>　新建、扩建城市绿地的配套设施宜采用新技术、新材料、新设备；更新改造的城市绿地的配套设施的规模、材料、颜色等应与原有设施相协调。</w:t>
      </w:r>
    </w:p>
    <w:p w14:paraId="1B7DD298">
      <w:pPr>
        <w:pStyle w:val="20"/>
        <w:widowControl/>
        <w:shd w:val="clear" w:color="auto" w:fill="FFFFFF"/>
        <w:spacing w:line="360" w:lineRule="auto"/>
        <w:ind w:right="210" w:rightChars="100"/>
        <w:rPr>
          <w:rFonts w:asciiTheme="minorEastAsia" w:hAnsiTheme="minorEastAsia" w:eastAsiaTheme="minorEastAsia" w:cstheme="minorEastAsia"/>
          <w:szCs w:val="24"/>
          <w:shd w:val="clear" w:color="auto" w:fill="FFFFFF"/>
        </w:rPr>
      </w:pPr>
      <w:r>
        <w:rPr>
          <w:rFonts w:hint="eastAsia" w:asciiTheme="minorEastAsia" w:hAnsiTheme="minorEastAsia" w:eastAsiaTheme="minorEastAsia" w:cstheme="minorEastAsia"/>
          <w:b/>
          <w:szCs w:val="24"/>
          <w:shd w:val="clear" w:color="auto" w:fill="FFFFFF"/>
        </w:rPr>
        <w:t>10.6.5</w:t>
      </w:r>
      <w:r>
        <w:rPr>
          <w:rFonts w:hint="eastAsia" w:asciiTheme="minorEastAsia" w:hAnsiTheme="minorEastAsia" w:eastAsiaTheme="minorEastAsia" w:cstheme="minorEastAsia"/>
          <w:szCs w:val="24"/>
          <w:shd w:val="clear" w:color="auto" w:fill="FFFFFF"/>
        </w:rPr>
        <w:t>　游憩设施的设计和布局应遵循安全、舒适、美观的原则。</w:t>
      </w:r>
    </w:p>
    <w:p w14:paraId="4504DC26">
      <w:pPr>
        <w:pStyle w:val="20"/>
        <w:widowControl/>
        <w:shd w:val="clear" w:color="auto" w:fill="FFFFFF"/>
        <w:spacing w:line="360" w:lineRule="auto"/>
        <w:ind w:right="210" w:rightChars="100"/>
        <w:rPr>
          <w:rFonts w:asciiTheme="minorEastAsia" w:hAnsiTheme="minorEastAsia" w:eastAsiaTheme="minorEastAsia" w:cstheme="minorEastAsia"/>
          <w:szCs w:val="24"/>
          <w:shd w:val="clear" w:color="auto" w:fill="FFFFFF"/>
        </w:rPr>
      </w:pPr>
      <w:r>
        <w:rPr>
          <w:rFonts w:hint="eastAsia" w:asciiTheme="minorEastAsia" w:hAnsiTheme="minorEastAsia" w:eastAsiaTheme="minorEastAsia" w:cstheme="minorEastAsia"/>
          <w:b/>
          <w:szCs w:val="24"/>
          <w:shd w:val="clear" w:color="auto" w:fill="FFFFFF"/>
        </w:rPr>
        <w:t>10.6.6</w:t>
      </w:r>
      <w:r>
        <w:rPr>
          <w:rFonts w:hint="eastAsia" w:asciiTheme="minorEastAsia" w:hAnsiTheme="minorEastAsia" w:eastAsiaTheme="minorEastAsia" w:cstheme="minorEastAsia"/>
          <w:szCs w:val="24"/>
          <w:shd w:val="clear" w:color="auto" w:fill="FFFFFF"/>
        </w:rPr>
        <w:t>　服务设施应贯彻以人为本、全龄友好的理念，满足不同使用群体的需求。应充分考虑地形地貌因素对服务设施布局的影响，因地制宜地布设服务设施。</w:t>
      </w:r>
    </w:p>
    <w:p w14:paraId="667E69DB">
      <w:pPr>
        <w:pStyle w:val="20"/>
        <w:widowControl/>
        <w:shd w:val="clear" w:color="auto" w:fill="FFFFFF"/>
        <w:spacing w:line="360" w:lineRule="auto"/>
        <w:rPr>
          <w:rFonts w:asciiTheme="minorEastAsia" w:hAnsiTheme="minorEastAsia" w:eastAsiaTheme="minorEastAsia" w:cstheme="minorEastAsia"/>
          <w:szCs w:val="24"/>
          <w:shd w:val="clear" w:color="auto" w:fill="FFFFFF"/>
        </w:rPr>
      </w:pPr>
      <w:r>
        <w:rPr>
          <w:rFonts w:hint="eastAsia" w:asciiTheme="minorEastAsia" w:hAnsiTheme="minorEastAsia" w:eastAsiaTheme="minorEastAsia" w:cstheme="minorEastAsia"/>
          <w:b/>
          <w:szCs w:val="24"/>
          <w:shd w:val="clear" w:color="auto" w:fill="FFFFFF"/>
        </w:rPr>
        <w:t>10.6.7</w:t>
      </w:r>
      <w:r>
        <w:rPr>
          <w:rFonts w:hint="eastAsia" w:asciiTheme="minorEastAsia" w:hAnsiTheme="minorEastAsia" w:eastAsiaTheme="minorEastAsia" w:cstheme="minorEastAsia"/>
          <w:szCs w:val="24"/>
          <w:shd w:val="clear" w:color="auto" w:fill="FFFFFF"/>
        </w:rPr>
        <w:t>　管理设施的数量与面积应与绿地规模相匹配，其布局应符合城市绿地的总体规划布局要求。管理设施应加强信息化与智慧化建设。</w:t>
      </w:r>
    </w:p>
    <w:p w14:paraId="1AAFDE69">
      <w:pPr>
        <w:pStyle w:val="20"/>
        <w:widowControl/>
        <w:shd w:val="clear" w:color="auto" w:fill="FFFFFF"/>
        <w:adjustRightInd w:val="0"/>
        <w:snapToGrid w:val="0"/>
        <w:spacing w:line="360" w:lineRule="auto"/>
        <w:jc w:val="left"/>
        <w:rPr>
          <w:rFonts w:ascii="黑体" w:hAnsi="黑体" w:eastAsia="黑体" w:cs="黑体"/>
          <w:b/>
          <w:bCs/>
          <w:sz w:val="28"/>
          <w:szCs w:val="28"/>
        </w:rPr>
      </w:pPr>
      <w:r>
        <w:rPr>
          <w:rFonts w:hint="eastAsia" w:asciiTheme="minorEastAsia" w:hAnsiTheme="minorEastAsia" w:eastAsiaTheme="minorEastAsia" w:cstheme="minorEastAsia"/>
          <w:b/>
          <w:szCs w:val="24"/>
          <w:shd w:val="clear" w:color="auto" w:fill="FFFFFF"/>
        </w:rPr>
        <w:t>10.6.8</w:t>
      </w:r>
      <w:r>
        <w:rPr>
          <w:rFonts w:hint="eastAsia" w:asciiTheme="minorEastAsia" w:hAnsiTheme="minorEastAsia" w:eastAsiaTheme="minorEastAsia" w:cstheme="minorEastAsia"/>
          <w:szCs w:val="24"/>
          <w:shd w:val="clear" w:color="auto" w:fill="FFFFFF"/>
        </w:rPr>
        <w:t>　各类设施的设计与安装应确保结构安全和使用安全，</w:t>
      </w:r>
      <w:r>
        <w:rPr>
          <w:rFonts w:hint="eastAsia" w:asciiTheme="minorEastAsia" w:hAnsiTheme="minorEastAsia" w:eastAsiaTheme="minorEastAsia" w:cstheme="minorEastAsia"/>
          <w:szCs w:val="24"/>
          <w:shd w:val="clear" w:color="auto" w:fill="FFFFFF"/>
          <w:lang w:eastAsia="zh-Hans"/>
        </w:rPr>
        <w:t>不得</w:t>
      </w:r>
      <w:r>
        <w:rPr>
          <w:rFonts w:hint="eastAsia" w:asciiTheme="minorEastAsia" w:hAnsiTheme="minorEastAsia" w:eastAsiaTheme="minorEastAsia" w:cstheme="minorEastAsia"/>
          <w:szCs w:val="24"/>
          <w:shd w:val="clear" w:color="auto" w:fill="FFFFFF"/>
        </w:rPr>
        <w:t>出现锐角、尖刺等隐患。设置于儿童活动区及临空、临水等处的设施应采取有效防护措施。</w:t>
      </w:r>
    </w:p>
    <w:p w14:paraId="67F4328A">
      <w:pPr>
        <w:pStyle w:val="40"/>
        <w:outlineLvl w:val="1"/>
        <w:rPr>
          <w:b w:val="0"/>
        </w:rPr>
      </w:pPr>
      <w:bookmarkStart w:id="156" w:name="_Toc5485"/>
      <w:bookmarkStart w:id="157" w:name="_Toc10164"/>
      <w:r>
        <w:rPr>
          <w:b w:val="0"/>
        </w:rPr>
        <w:t>10</w:t>
      </w:r>
      <w:r>
        <w:rPr>
          <w:rFonts w:hint="eastAsia"/>
          <w:b w:val="0"/>
        </w:rPr>
        <w:t>.7　给水排水</w:t>
      </w:r>
      <w:bookmarkEnd w:id="156"/>
      <w:bookmarkEnd w:id="157"/>
    </w:p>
    <w:p w14:paraId="1E43D484">
      <w:pPr>
        <w:widowControl/>
        <w:spacing w:line="360" w:lineRule="auto"/>
        <w:jc w:val="center"/>
        <w:outlineLvl w:val="2"/>
        <w:rPr>
          <w:rFonts w:ascii="仿宋" w:hAnsi="仿宋" w:eastAsia="仿宋" w:cs="仿宋"/>
          <w:b/>
          <w:bCs/>
          <w:sz w:val="28"/>
          <w:szCs w:val="28"/>
        </w:rPr>
      </w:pPr>
      <w:r>
        <w:rPr>
          <w:rFonts w:hint="eastAsia" w:ascii="仿宋" w:hAnsi="仿宋" w:eastAsia="仿宋" w:cs="仿宋"/>
          <w:b/>
          <w:bCs/>
          <w:sz w:val="28"/>
          <w:szCs w:val="28"/>
        </w:rPr>
        <w:t>I　给水</w:t>
      </w:r>
    </w:p>
    <w:p w14:paraId="2B3C9383">
      <w:pPr>
        <w:adjustRightInd w:val="0"/>
        <w:snapToGrid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shd w:val="clear" w:color="auto" w:fill="FFFFFF"/>
        </w:rPr>
        <w:t>10.7.1</w:t>
      </w:r>
      <w:r>
        <w:rPr>
          <w:rFonts w:hint="eastAsia" w:asciiTheme="minorEastAsia" w:hAnsiTheme="minorEastAsia" w:eastAsiaTheme="minorEastAsia" w:cstheme="minorEastAsia"/>
          <w:sz w:val="24"/>
          <w:szCs w:val="24"/>
          <w:shd w:val="clear" w:color="auto" w:fill="FFFFFF"/>
        </w:rPr>
        <w:t>　</w:t>
      </w:r>
      <w:r>
        <w:rPr>
          <w:rFonts w:hint="eastAsia" w:asciiTheme="minorEastAsia" w:hAnsiTheme="minorEastAsia" w:eastAsiaTheme="minorEastAsia" w:cstheme="minorEastAsia"/>
          <w:sz w:val="24"/>
          <w:szCs w:val="24"/>
        </w:rPr>
        <w:t>城市绿地应配备供水水源及相关设施，其水量、水质、水压应满足绿地内生活用水、消防用水、场地和道路冲洗、植物灌溉、景观水体补水等需求。</w:t>
      </w:r>
    </w:p>
    <w:p w14:paraId="4DF3CDF9">
      <w:pPr>
        <w:adjustRightInd w:val="0"/>
        <w:snapToGrid w:val="0"/>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shd w:val="clear" w:color="auto" w:fill="FFFFFF"/>
        </w:rPr>
        <w:t>10.7.2</w:t>
      </w:r>
      <w:r>
        <w:rPr>
          <w:rFonts w:hint="eastAsia" w:asciiTheme="minorEastAsia" w:hAnsiTheme="minorEastAsia" w:eastAsiaTheme="minorEastAsia" w:cstheme="minorEastAsia"/>
          <w:sz w:val="24"/>
          <w:szCs w:val="24"/>
          <w:shd w:val="clear" w:color="auto" w:fill="FFFFFF"/>
        </w:rPr>
        <w:t>　</w:t>
      </w:r>
      <w:r>
        <w:rPr>
          <w:rFonts w:hint="eastAsia" w:asciiTheme="minorEastAsia" w:hAnsiTheme="minorEastAsia" w:eastAsiaTheme="minorEastAsia" w:cstheme="minorEastAsia"/>
          <w:sz w:val="24"/>
          <w:szCs w:val="24"/>
        </w:rPr>
        <w:t>给水设计用水量应根据生活用水、消防用水、道路和场地冲洗用水、绿化灌溉用水、景观水体补水、管网渗漏水和未预见用水等确定总用水量。各类用水量计算应符合下列规定：</w:t>
      </w:r>
    </w:p>
    <w:p w14:paraId="1D31AAF1">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w:t>
      </w:r>
      <w:r>
        <w:rPr>
          <w:rFonts w:hint="eastAsia" w:asciiTheme="minorEastAsia" w:hAnsiTheme="minorEastAsia" w:eastAsiaTheme="minorEastAsia" w:cstheme="minorEastAsia"/>
          <w:sz w:val="24"/>
          <w:szCs w:val="24"/>
        </w:rPr>
        <w:t>　公共厕所、卖品部等服务建筑的生活用水，可按每游客每天4.0L～8.0L计算，每天用水时间为8h～16h，小时变化系数为1.5～1.2；</w:t>
      </w:r>
    </w:p>
    <w:p w14:paraId="15779F18">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2</w:t>
      </w:r>
      <w:r>
        <w:rPr>
          <w:rFonts w:hint="eastAsia" w:asciiTheme="minorEastAsia" w:hAnsiTheme="minorEastAsia" w:eastAsiaTheme="minorEastAsia" w:cstheme="minorEastAsia"/>
          <w:sz w:val="24"/>
          <w:szCs w:val="24"/>
        </w:rPr>
        <w:t>　管理办公用房、游客中心、营业餐饮等管理与服务建筑，其生活用水量应按现行国家标准《建筑给水排水设计标准》GB</w:t>
      </w:r>
      <w:r>
        <w:rPr>
          <w:rFonts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t>50015、《民用建筑节水设计标准》GB</w:t>
      </w:r>
      <w:r>
        <w:rPr>
          <w:rFonts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t>50555另行计算并计入绿地生活总用水量；</w:t>
      </w:r>
    </w:p>
    <w:p w14:paraId="291F1065">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3</w:t>
      </w:r>
      <w:r>
        <w:rPr>
          <w:rFonts w:hint="eastAsia" w:asciiTheme="minorEastAsia" w:hAnsiTheme="minorEastAsia" w:eastAsiaTheme="minorEastAsia" w:cstheme="minorEastAsia"/>
          <w:sz w:val="24"/>
          <w:szCs w:val="24"/>
        </w:rPr>
        <w:t>　灌溉用水量应根据植物种类、气候条件、土壤类别、灌溉方式、养护等级等条件确定，无相关资料时，可按1.0L/（m</w:t>
      </w:r>
      <w:r>
        <w:rPr>
          <w:rFonts w:hint="eastAsia" w:asciiTheme="minorEastAsia" w:hAnsiTheme="minorEastAsia" w:eastAsiaTheme="minorEastAsia" w:cstheme="minorEastAsia"/>
          <w:sz w:val="24"/>
          <w:szCs w:val="24"/>
          <w:vertAlign w:val="superscript"/>
        </w:rPr>
        <w:t>2</w:t>
      </w:r>
      <w:r>
        <w:rPr>
          <w:rFonts w:hint="eastAsia" w:asciiTheme="minorEastAsia" w:hAnsiTheme="minorEastAsia" w:eastAsiaTheme="minorEastAsia" w:cstheme="minorEastAsia"/>
          <w:sz w:val="24"/>
          <w:szCs w:val="24"/>
        </w:rPr>
        <w:t>·d）～3.0 L/（m</w:t>
      </w:r>
      <w:r>
        <w:rPr>
          <w:rFonts w:hint="eastAsia" w:asciiTheme="minorEastAsia" w:hAnsiTheme="minorEastAsia" w:eastAsiaTheme="minorEastAsia" w:cstheme="minorEastAsia"/>
          <w:sz w:val="24"/>
          <w:szCs w:val="24"/>
          <w:vertAlign w:val="superscript"/>
        </w:rPr>
        <w:t>2</w:t>
      </w:r>
      <w:r>
        <w:rPr>
          <w:rFonts w:hint="eastAsia" w:asciiTheme="minorEastAsia" w:hAnsiTheme="minorEastAsia" w:eastAsiaTheme="minorEastAsia" w:cstheme="minorEastAsia"/>
          <w:sz w:val="24"/>
          <w:szCs w:val="24"/>
        </w:rPr>
        <w:t>·d）计算；</w:t>
      </w:r>
    </w:p>
    <w:p w14:paraId="27C4C0C5">
      <w:pPr>
        <w:numPr>
          <w:ilvl w:val="255"/>
          <w:numId w:val="0"/>
        </w:numPr>
        <w:adjustRightInd w:val="0"/>
        <w:snapToGrid w:val="0"/>
        <w:spacing w:line="360" w:lineRule="auto"/>
        <w:ind w:firstLine="482" w:firstLineChars="200"/>
        <w:textAlignment w:val="baseline"/>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4</w:t>
      </w:r>
      <w:r>
        <w:rPr>
          <w:rFonts w:hint="eastAsia" w:asciiTheme="minorEastAsia" w:hAnsiTheme="minorEastAsia" w:eastAsiaTheme="minorEastAsia" w:cstheme="minorEastAsia"/>
          <w:sz w:val="24"/>
          <w:szCs w:val="24"/>
        </w:rPr>
        <w:t>　冲洗场地、道路用水量应根据铺面种类确定，一般采用1.0（L/m</w:t>
      </w:r>
      <w:r>
        <w:rPr>
          <w:rFonts w:hint="eastAsia" w:asciiTheme="minorEastAsia" w:hAnsiTheme="minorEastAsia" w:eastAsiaTheme="minorEastAsia" w:cstheme="minorEastAsia"/>
          <w:sz w:val="24"/>
          <w:szCs w:val="24"/>
          <w:vertAlign w:val="superscript"/>
        </w:rPr>
        <w:t>2</w:t>
      </w:r>
      <w:r>
        <w:rPr>
          <w:rFonts w:hint="eastAsia" w:asciiTheme="minorEastAsia" w:hAnsiTheme="minorEastAsia" w:eastAsiaTheme="minorEastAsia" w:cstheme="minorEastAsia"/>
          <w:sz w:val="24"/>
          <w:szCs w:val="24"/>
        </w:rPr>
        <w:t>·d）～3.0（L/m</w:t>
      </w:r>
      <w:r>
        <w:rPr>
          <w:rFonts w:hint="eastAsia" w:asciiTheme="minorEastAsia" w:hAnsiTheme="minorEastAsia" w:eastAsiaTheme="minorEastAsia" w:cstheme="minorEastAsia"/>
          <w:sz w:val="24"/>
          <w:szCs w:val="24"/>
          <w:vertAlign w:val="superscript"/>
        </w:rPr>
        <w:t>2</w:t>
      </w:r>
      <w:r>
        <w:rPr>
          <w:rFonts w:hint="eastAsia" w:asciiTheme="minorEastAsia" w:hAnsiTheme="minorEastAsia" w:eastAsiaTheme="minorEastAsia" w:cstheme="minorEastAsia"/>
          <w:sz w:val="24"/>
          <w:szCs w:val="24"/>
        </w:rPr>
        <w:t>·d）；</w:t>
      </w:r>
    </w:p>
    <w:p w14:paraId="42240362">
      <w:pPr>
        <w:adjustRightInd w:val="0"/>
        <w:snapToGrid w:val="0"/>
        <w:spacing w:line="360" w:lineRule="auto"/>
        <w:ind w:firstLine="482"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5</w:t>
      </w:r>
      <w:r>
        <w:rPr>
          <w:rFonts w:hint="eastAsia" w:asciiTheme="minorEastAsia" w:hAnsiTheme="minorEastAsia" w:eastAsiaTheme="minorEastAsia" w:cstheme="minorEastAsia"/>
          <w:sz w:val="24"/>
          <w:szCs w:val="24"/>
        </w:rPr>
        <w:t>　景观水体用水应循环使用，其补水量应根据蒸发、飘失、渗漏、排污等损失确定，并应按实际发生分别计算。若景观水体除自身造景外还有他用，则补水量还应计入其它用途的水量；</w:t>
      </w:r>
    </w:p>
    <w:p w14:paraId="7AA29AD1">
      <w:pPr>
        <w:adjustRightInd w:val="0"/>
        <w:snapToGrid w:val="0"/>
        <w:spacing w:line="360" w:lineRule="auto"/>
        <w:ind w:firstLine="482"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6</w:t>
      </w:r>
      <w:r>
        <w:rPr>
          <w:rFonts w:hint="eastAsia" w:asciiTheme="minorEastAsia" w:hAnsiTheme="minorEastAsia" w:eastAsiaTheme="minorEastAsia" w:cstheme="minorEastAsia"/>
          <w:sz w:val="24"/>
          <w:szCs w:val="24"/>
        </w:rPr>
        <w:t>　管网漏失和未预见水量之和可分别按最高日用水量的10%～12%计算；</w:t>
      </w:r>
    </w:p>
    <w:p w14:paraId="4B1A4A6C">
      <w:pPr>
        <w:adjustRightInd w:val="0"/>
        <w:snapToGrid w:val="0"/>
        <w:spacing w:line="360" w:lineRule="auto"/>
        <w:ind w:firstLine="482"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7</w:t>
      </w:r>
      <w:r>
        <w:rPr>
          <w:rFonts w:hint="eastAsia" w:asciiTheme="minorEastAsia" w:hAnsiTheme="minorEastAsia" w:eastAsiaTheme="minorEastAsia" w:cstheme="minorEastAsia"/>
          <w:sz w:val="24"/>
          <w:szCs w:val="24"/>
        </w:rPr>
        <w:t>　植物灌溉、冲洗场地道路、水景用水量可按每天使用时间的平均小时用水量计入；</w:t>
      </w:r>
    </w:p>
    <w:p w14:paraId="4AA5ECDF">
      <w:pPr>
        <w:adjustRightInd w:val="0"/>
        <w:snapToGrid w:val="0"/>
        <w:spacing w:line="360" w:lineRule="auto"/>
        <w:ind w:firstLine="482"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8</w:t>
      </w:r>
      <w:r>
        <w:rPr>
          <w:rFonts w:hint="eastAsia" w:asciiTheme="minorEastAsia" w:hAnsiTheme="minorEastAsia" w:eastAsiaTheme="minorEastAsia" w:cstheme="minorEastAsia"/>
          <w:sz w:val="24"/>
          <w:szCs w:val="24"/>
        </w:rPr>
        <w:t>　园林建筑、停车场等的消防用水量应符合现行国家标准《建筑设计防火规范》GB 50016和《汽车库、修车库、停车场设计防火规范》GB 50067的有关规定。</w:t>
      </w:r>
    </w:p>
    <w:p w14:paraId="5A7D0678">
      <w:pPr>
        <w:adjustRightInd w:val="0"/>
        <w:snapToGrid w:val="0"/>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shd w:val="clear" w:color="auto" w:fill="FFFFFF"/>
        </w:rPr>
        <w:t>10.7.3</w:t>
      </w:r>
      <w:r>
        <w:rPr>
          <w:rFonts w:hint="eastAsia" w:asciiTheme="minorEastAsia" w:hAnsiTheme="minorEastAsia" w:eastAsiaTheme="minorEastAsia" w:cstheme="minorEastAsia"/>
          <w:sz w:val="24"/>
          <w:szCs w:val="24"/>
          <w:shd w:val="clear" w:color="auto" w:fill="FFFFFF"/>
        </w:rPr>
        <w:t>　</w:t>
      </w:r>
      <w:r>
        <w:rPr>
          <w:rFonts w:hint="eastAsia" w:asciiTheme="minorEastAsia" w:hAnsiTheme="minorEastAsia" w:eastAsiaTheme="minorEastAsia" w:cstheme="minorEastAsia"/>
          <w:sz w:val="24"/>
          <w:szCs w:val="24"/>
        </w:rPr>
        <w:t>绿地给水系统设计应综合利用各种水资源，根据不同用途实行分质供水，各类用水的水源和水质应符合下列规定：</w:t>
      </w:r>
    </w:p>
    <w:p w14:paraId="096E132C">
      <w:pPr>
        <w:adjustRightInd w:val="0"/>
        <w:snapToGrid w:val="0"/>
        <w:spacing w:line="360" w:lineRule="auto"/>
        <w:ind w:firstLine="482"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w:t>
      </w:r>
      <w:r>
        <w:rPr>
          <w:rFonts w:hint="eastAsia" w:asciiTheme="minorEastAsia" w:hAnsiTheme="minorEastAsia" w:eastAsiaTheme="minorEastAsia" w:cstheme="minorEastAsia"/>
          <w:sz w:val="24"/>
          <w:szCs w:val="24"/>
        </w:rPr>
        <w:t>　生活用水、雾喷用水和与人体直接接触的景观水体用水，其水质应符合现行国家标准《生活饮用水卫生标准》GB 5749的有关规定；</w:t>
      </w:r>
    </w:p>
    <w:p w14:paraId="5EE22FD6">
      <w:pPr>
        <w:adjustRightInd w:val="0"/>
        <w:snapToGrid w:val="0"/>
        <w:spacing w:line="360" w:lineRule="auto"/>
        <w:ind w:firstLine="482"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2</w:t>
      </w:r>
      <w:r>
        <w:rPr>
          <w:rFonts w:hint="eastAsia" w:asciiTheme="minorEastAsia" w:hAnsiTheme="minorEastAsia" w:eastAsiaTheme="minorEastAsia" w:cstheme="minorEastAsia"/>
          <w:sz w:val="24"/>
          <w:szCs w:val="24"/>
        </w:rPr>
        <w:t>　灌溉植物、冲洗场地、道路和补充景观水体用水应符合下列规定：</w:t>
      </w:r>
    </w:p>
    <w:p w14:paraId="26520F11">
      <w:pPr>
        <w:adjustRightInd w:val="0"/>
        <w:snapToGrid w:val="0"/>
        <w:spacing w:line="360" w:lineRule="auto"/>
        <w:ind w:left="630" w:leftChars="3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w:t>
      </w:r>
      <w:r>
        <w:rPr>
          <w:rFonts w:hint="eastAsia" w:asciiTheme="minorEastAsia" w:hAnsiTheme="minorEastAsia" w:eastAsiaTheme="minorEastAsia" w:cstheme="minorEastAsia"/>
          <w:sz w:val="24"/>
          <w:szCs w:val="24"/>
        </w:rPr>
        <w:t>应优先采用地表水、雨水作为水源，水质应符合现行国家标准《地表水环境质量标准》GB 3838的有关规定；</w:t>
      </w:r>
    </w:p>
    <w:p w14:paraId="3518CF5A">
      <w:pPr>
        <w:adjustRightInd w:val="0"/>
        <w:snapToGrid w:val="0"/>
        <w:spacing w:line="360" w:lineRule="auto"/>
        <w:ind w:left="630" w:leftChars="3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2）</w:t>
      </w:r>
      <w:r>
        <w:rPr>
          <w:rFonts w:hint="eastAsia" w:asciiTheme="minorEastAsia" w:hAnsiTheme="minorEastAsia" w:eastAsiaTheme="minorEastAsia" w:cstheme="minorEastAsia"/>
          <w:sz w:val="24"/>
          <w:szCs w:val="24"/>
        </w:rPr>
        <w:t>利用再生水作为灌溉和冲洗用水水源时，其水质应满足现行国家标准《城市污水再生利用 城市杂用水水质》GB/T 18920的有关规定；</w:t>
      </w:r>
    </w:p>
    <w:p w14:paraId="13D770D0">
      <w:pPr>
        <w:adjustRightInd w:val="0"/>
        <w:snapToGrid w:val="0"/>
        <w:spacing w:line="360" w:lineRule="auto"/>
        <w:ind w:left="630" w:leftChars="3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3）</w:t>
      </w:r>
      <w:r>
        <w:rPr>
          <w:rFonts w:hint="eastAsia" w:asciiTheme="minorEastAsia" w:hAnsiTheme="minorEastAsia" w:eastAsiaTheme="minorEastAsia" w:cstheme="minorEastAsia"/>
          <w:sz w:val="24"/>
          <w:szCs w:val="24"/>
        </w:rPr>
        <w:t>利用再生水作为水景补充用水水源时，其水质应满足现行国家标准《城市污水再生利用</w:t>
      </w:r>
      <w:r>
        <w:rPr>
          <w:rFonts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t>景观环境用水水质》GB/T 18921的有关规定。</w:t>
      </w:r>
    </w:p>
    <w:p w14:paraId="4B0F891E">
      <w:pPr>
        <w:adjustRightInd w:val="0"/>
        <w:snapToGrid w:val="0"/>
        <w:spacing w:line="360" w:lineRule="auto"/>
        <w:ind w:firstLine="482"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3</w:t>
      </w:r>
      <w:r>
        <w:rPr>
          <w:rFonts w:hint="eastAsia" w:asciiTheme="minorEastAsia" w:hAnsiTheme="minorEastAsia" w:eastAsiaTheme="minorEastAsia" w:cstheme="minorEastAsia"/>
          <w:sz w:val="24"/>
          <w:szCs w:val="24"/>
        </w:rPr>
        <w:t>　绿地中水体水质不应低于现行国家标准《地表水环境质量标准》GB 3838中的IV类水标准；</w:t>
      </w:r>
    </w:p>
    <w:p w14:paraId="2E0C2E86">
      <w:pPr>
        <w:adjustRightInd w:val="0"/>
        <w:snapToGrid w:val="0"/>
        <w:spacing w:line="360" w:lineRule="auto"/>
        <w:ind w:firstLine="482"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4</w:t>
      </w:r>
      <w:r>
        <w:rPr>
          <w:rFonts w:hint="eastAsia" w:asciiTheme="minorEastAsia" w:hAnsiTheme="minorEastAsia" w:eastAsiaTheme="minorEastAsia" w:cstheme="minorEastAsia"/>
          <w:sz w:val="24"/>
          <w:szCs w:val="24"/>
        </w:rPr>
        <w:t>　景观水体用水水源不应采用市政自来水。</w:t>
      </w:r>
    </w:p>
    <w:p w14:paraId="2461905D">
      <w:pPr>
        <w:adjustRightInd w:val="0"/>
        <w:snapToGrid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shd w:val="clear" w:color="auto" w:fill="FFFFFF"/>
        </w:rPr>
        <w:t>10.7.4</w:t>
      </w:r>
      <w:r>
        <w:rPr>
          <w:rFonts w:hint="eastAsia" w:asciiTheme="minorEastAsia" w:hAnsiTheme="minorEastAsia" w:eastAsiaTheme="minorEastAsia" w:cstheme="minorEastAsia"/>
          <w:sz w:val="24"/>
          <w:szCs w:val="24"/>
          <w:shd w:val="clear" w:color="auto" w:fill="FFFFFF"/>
        </w:rPr>
        <w:t>　</w:t>
      </w:r>
      <w:r>
        <w:rPr>
          <w:rFonts w:hint="eastAsia" w:asciiTheme="minorEastAsia" w:hAnsiTheme="minorEastAsia" w:eastAsiaTheme="minorEastAsia" w:cstheme="minorEastAsia"/>
          <w:sz w:val="24"/>
          <w:szCs w:val="24"/>
        </w:rPr>
        <w:t>绿地内生活给水系统不得与其他非生活给水系统连接。</w:t>
      </w:r>
    </w:p>
    <w:p w14:paraId="4DEC16C7">
      <w:pPr>
        <w:adjustRightInd w:val="0"/>
        <w:snapToGrid w:val="0"/>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shd w:val="clear" w:color="auto" w:fill="FFFFFF"/>
        </w:rPr>
        <w:t>10.7.5</w:t>
      </w:r>
      <w:r>
        <w:rPr>
          <w:rFonts w:hint="eastAsia" w:asciiTheme="minorEastAsia" w:hAnsiTheme="minorEastAsia" w:eastAsiaTheme="minorEastAsia" w:cstheme="minorEastAsia"/>
          <w:sz w:val="24"/>
          <w:szCs w:val="24"/>
          <w:shd w:val="clear" w:color="auto" w:fill="FFFFFF"/>
        </w:rPr>
        <w:t>　</w:t>
      </w:r>
      <w:r>
        <w:rPr>
          <w:rFonts w:hint="eastAsia" w:asciiTheme="minorEastAsia" w:hAnsiTheme="minorEastAsia" w:eastAsiaTheme="minorEastAsia" w:cstheme="minorEastAsia"/>
          <w:sz w:val="24"/>
          <w:szCs w:val="24"/>
        </w:rPr>
        <w:t>给水系统应保持适宜的工作压力，并应符合下列规定：</w:t>
      </w:r>
    </w:p>
    <w:p w14:paraId="7532A5B5">
      <w:pPr>
        <w:adjustRightInd w:val="0"/>
        <w:snapToGrid w:val="0"/>
        <w:spacing w:line="360" w:lineRule="auto"/>
        <w:ind w:firstLine="482"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w:t>
      </w:r>
      <w:r>
        <w:rPr>
          <w:rFonts w:hint="eastAsia" w:asciiTheme="minorEastAsia" w:hAnsiTheme="minorEastAsia" w:eastAsiaTheme="minorEastAsia" w:cstheme="minorEastAsia"/>
          <w:sz w:val="24"/>
          <w:szCs w:val="24"/>
        </w:rPr>
        <w:t>　绿地中的给水系统采用市政自来水供水时，应优先利用市政给水管网的水压直接供水，当市政管网的水压不能满足系统要求时，应进行加压设计；</w:t>
      </w:r>
    </w:p>
    <w:p w14:paraId="330C13A8">
      <w:pPr>
        <w:adjustRightInd w:val="0"/>
        <w:snapToGrid w:val="0"/>
        <w:spacing w:line="360" w:lineRule="auto"/>
        <w:ind w:firstLine="482"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2</w:t>
      </w:r>
      <w:r>
        <w:rPr>
          <w:rFonts w:hint="eastAsia" w:asciiTheme="minorEastAsia" w:hAnsiTheme="minorEastAsia" w:eastAsiaTheme="minorEastAsia" w:cstheme="minorEastAsia"/>
          <w:sz w:val="24"/>
          <w:szCs w:val="24"/>
        </w:rPr>
        <w:t>　绿化灌溉给水管网从地面算起最小服务水压不应小于0.10MPa，当绿地内有地形较高处需供水，或所选用的灌溉喷头和洒水栓有特定压力要求时，其最小服务水压应按实际要求计算；</w:t>
      </w:r>
    </w:p>
    <w:p w14:paraId="715AD418">
      <w:pPr>
        <w:adjustRightInd w:val="0"/>
        <w:snapToGrid w:val="0"/>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shd w:val="clear" w:color="auto" w:fill="FFFFFF"/>
        </w:rPr>
        <w:t>10.7.6</w:t>
      </w:r>
      <w:r>
        <w:rPr>
          <w:rFonts w:hint="eastAsia" w:asciiTheme="minorEastAsia" w:hAnsiTheme="minorEastAsia" w:eastAsiaTheme="minorEastAsia" w:cstheme="minorEastAsia"/>
          <w:sz w:val="24"/>
          <w:szCs w:val="24"/>
          <w:shd w:val="clear" w:color="auto" w:fill="FFFFFF"/>
        </w:rPr>
        <w:t>　</w:t>
      </w:r>
      <w:r>
        <w:rPr>
          <w:rFonts w:hint="eastAsia" w:asciiTheme="minorEastAsia" w:hAnsiTheme="minorEastAsia" w:eastAsiaTheme="minorEastAsia" w:cstheme="minorEastAsia"/>
          <w:sz w:val="24"/>
          <w:szCs w:val="24"/>
        </w:rPr>
        <w:t>景观水池应配置补水管、放空管和溢水管，并应符合下列规定：</w:t>
      </w:r>
    </w:p>
    <w:p w14:paraId="4487822C">
      <w:pPr>
        <w:widowControl/>
        <w:adjustRightInd w:val="0"/>
        <w:snapToGrid w:val="0"/>
        <w:spacing w:line="360" w:lineRule="auto"/>
        <w:ind w:firstLine="482"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w:t>
      </w:r>
      <w:r>
        <w:rPr>
          <w:rFonts w:hint="eastAsia" w:asciiTheme="minorEastAsia" w:hAnsiTheme="minorEastAsia" w:eastAsiaTheme="minorEastAsia" w:cstheme="minorEastAsia"/>
          <w:sz w:val="24"/>
          <w:szCs w:val="24"/>
        </w:rPr>
        <w:t>　放空宜采用重力放空方式，放空管上应设阀门，放空时间宜为12h～48h。排水条件不允许时，可设排水泵强制放空；</w:t>
      </w:r>
    </w:p>
    <w:p w14:paraId="1D99A9BA">
      <w:pPr>
        <w:widowControl/>
        <w:adjustRightInd w:val="0"/>
        <w:snapToGrid w:val="0"/>
        <w:spacing w:line="360" w:lineRule="auto"/>
        <w:ind w:firstLine="482"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2</w:t>
      </w:r>
      <w:r>
        <w:rPr>
          <w:rFonts w:hint="eastAsia" w:asciiTheme="minorEastAsia" w:hAnsiTheme="minorEastAsia" w:eastAsiaTheme="minorEastAsia" w:cstheme="minorEastAsia"/>
          <w:sz w:val="24"/>
          <w:szCs w:val="24"/>
        </w:rPr>
        <w:t>　室内水池，溢水管管径应大于补水管管径。室外水池，溢水管管径还应采用降雨量进行校核。</w:t>
      </w:r>
    </w:p>
    <w:p w14:paraId="2B1112F2">
      <w:pPr>
        <w:adjustRightInd w:val="0"/>
        <w:snapToGrid w:val="0"/>
        <w:spacing w:line="360" w:lineRule="auto"/>
        <w:rPr>
          <w:rFonts w:asciiTheme="minorEastAsia" w:hAnsiTheme="minorEastAsia" w:eastAsiaTheme="minorEastAsia" w:cstheme="minorEastAsia"/>
          <w:sz w:val="24"/>
          <w:szCs w:val="24"/>
          <w:shd w:val="clear" w:color="auto" w:fill="FFFFFF"/>
        </w:rPr>
      </w:pPr>
      <w:r>
        <w:rPr>
          <w:rFonts w:hint="eastAsia" w:asciiTheme="minorEastAsia" w:hAnsiTheme="minorEastAsia" w:eastAsiaTheme="minorEastAsia" w:cstheme="minorEastAsia"/>
          <w:b/>
          <w:sz w:val="24"/>
          <w:szCs w:val="24"/>
          <w:shd w:val="clear" w:color="auto" w:fill="FFFFFF"/>
        </w:rPr>
        <w:t>10.7.7</w:t>
      </w:r>
      <w:r>
        <w:rPr>
          <w:rFonts w:hint="eastAsia" w:asciiTheme="minorEastAsia" w:hAnsiTheme="minorEastAsia" w:eastAsiaTheme="minorEastAsia" w:cstheme="minorEastAsia"/>
          <w:sz w:val="24"/>
          <w:szCs w:val="24"/>
          <w:shd w:val="clear" w:color="auto" w:fill="FFFFFF"/>
        </w:rPr>
        <w:t>　</w:t>
      </w:r>
      <w:r>
        <w:rPr>
          <w:rFonts w:hint="eastAsia" w:asciiTheme="minorEastAsia" w:hAnsiTheme="minorEastAsia" w:eastAsiaTheme="minorEastAsia" w:cstheme="minorEastAsia"/>
          <w:sz w:val="24"/>
          <w:szCs w:val="24"/>
        </w:rPr>
        <w:t>绿地内给水系统管网设计和敷设应符合现行国家标准《建筑给水排水设计标准</w:t>
      </w:r>
      <w:r>
        <w:rPr>
          <w:rFonts w:hint="eastAsia" w:asciiTheme="minorEastAsia" w:hAnsiTheme="minorEastAsia" w:eastAsiaTheme="minorEastAsia" w:cstheme="minorEastAsia"/>
          <w:sz w:val="24"/>
          <w:szCs w:val="24"/>
          <w:shd w:val="clear" w:color="auto" w:fill="FFFFFF"/>
        </w:rPr>
        <w:t>》GB</w:t>
      </w:r>
      <w:r>
        <w:rPr>
          <w:rFonts w:asciiTheme="minorEastAsia" w:hAnsiTheme="minorEastAsia" w:eastAsiaTheme="minorEastAsia" w:cstheme="minorEastAsia"/>
          <w:sz w:val="24"/>
          <w:szCs w:val="24"/>
          <w:shd w:val="clear" w:color="auto" w:fill="FFFFFF"/>
        </w:rPr>
        <w:t xml:space="preserve"> </w:t>
      </w:r>
      <w:r>
        <w:rPr>
          <w:rFonts w:hint="eastAsia" w:asciiTheme="minorEastAsia" w:hAnsiTheme="minorEastAsia" w:eastAsiaTheme="minorEastAsia" w:cstheme="minorEastAsia"/>
          <w:sz w:val="24"/>
          <w:szCs w:val="24"/>
          <w:shd w:val="clear" w:color="auto" w:fill="FFFFFF"/>
        </w:rPr>
        <w:t>50015的</w:t>
      </w:r>
      <w:r>
        <w:rPr>
          <w:rFonts w:hint="eastAsia" w:asciiTheme="minorEastAsia" w:hAnsiTheme="minorEastAsia" w:eastAsiaTheme="minorEastAsia" w:cstheme="minorEastAsia"/>
          <w:sz w:val="24"/>
          <w:szCs w:val="24"/>
        </w:rPr>
        <w:t>有关</w:t>
      </w:r>
      <w:r>
        <w:rPr>
          <w:rFonts w:hint="eastAsia" w:asciiTheme="minorEastAsia" w:hAnsiTheme="minorEastAsia" w:eastAsiaTheme="minorEastAsia" w:cstheme="minorEastAsia"/>
          <w:sz w:val="24"/>
          <w:szCs w:val="24"/>
          <w:shd w:val="clear" w:color="auto" w:fill="FFFFFF"/>
        </w:rPr>
        <w:t>规定。</w:t>
      </w:r>
    </w:p>
    <w:p w14:paraId="4910A79A">
      <w:pPr>
        <w:adjustRightInd w:val="0"/>
        <w:snapToGrid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shd w:val="clear" w:color="auto" w:fill="FFFFFF"/>
        </w:rPr>
        <w:t>10.7.8</w:t>
      </w:r>
      <w:r>
        <w:rPr>
          <w:rFonts w:hint="eastAsia" w:asciiTheme="minorEastAsia" w:hAnsiTheme="minorEastAsia" w:eastAsiaTheme="minorEastAsia" w:cstheme="minorEastAsia"/>
          <w:sz w:val="24"/>
          <w:szCs w:val="24"/>
          <w:shd w:val="clear" w:color="auto" w:fill="FFFFFF"/>
        </w:rPr>
        <w:t>　</w:t>
      </w:r>
      <w:r>
        <w:rPr>
          <w:rFonts w:hint="eastAsia" w:asciiTheme="minorEastAsia" w:hAnsiTheme="minorEastAsia" w:eastAsiaTheme="minorEastAsia" w:cstheme="minorEastAsia"/>
          <w:sz w:val="24"/>
          <w:szCs w:val="24"/>
        </w:rPr>
        <w:t>采用洒水车等移动设施进行灌溉和冲洗的绿地，应设置方便车辆通行的生产便道。</w:t>
      </w:r>
    </w:p>
    <w:p w14:paraId="1EFAA90C">
      <w:pPr>
        <w:widowControl/>
        <w:spacing w:line="360" w:lineRule="auto"/>
        <w:jc w:val="center"/>
        <w:outlineLvl w:val="2"/>
        <w:rPr>
          <w:rFonts w:ascii="仿宋" w:hAnsi="仿宋" w:eastAsia="仿宋" w:cs="仿宋"/>
          <w:b/>
          <w:bCs/>
          <w:sz w:val="28"/>
          <w:szCs w:val="28"/>
        </w:rPr>
      </w:pPr>
      <w:r>
        <w:rPr>
          <w:rFonts w:hint="eastAsia" w:ascii="仿宋" w:hAnsi="仿宋" w:eastAsia="仿宋" w:cs="仿宋"/>
          <w:b/>
          <w:bCs/>
          <w:sz w:val="28"/>
          <w:szCs w:val="28"/>
        </w:rPr>
        <w:t>II　排水</w:t>
      </w:r>
    </w:p>
    <w:p w14:paraId="10DB07A3">
      <w:pPr>
        <w:adjustRightInd w:val="0"/>
        <w:snapToGrid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shd w:val="clear" w:color="auto" w:fill="FFFFFF"/>
        </w:rPr>
        <w:t>10.7.9</w:t>
      </w:r>
      <w:r>
        <w:rPr>
          <w:rFonts w:hint="eastAsia" w:asciiTheme="minorEastAsia" w:hAnsiTheme="minorEastAsia" w:eastAsiaTheme="minorEastAsia" w:cstheme="minorEastAsia"/>
          <w:sz w:val="24"/>
          <w:szCs w:val="24"/>
          <w:shd w:val="clear" w:color="auto" w:fill="FFFFFF"/>
        </w:rPr>
        <w:t>　</w:t>
      </w:r>
      <w:r>
        <w:rPr>
          <w:rFonts w:hint="eastAsia" w:asciiTheme="minorEastAsia" w:hAnsiTheme="minorEastAsia" w:eastAsiaTheme="minorEastAsia" w:cstheme="minorEastAsia"/>
          <w:sz w:val="24"/>
          <w:szCs w:val="24"/>
        </w:rPr>
        <w:t>绿地排水应采用雨水、污水分流制。</w:t>
      </w:r>
    </w:p>
    <w:p w14:paraId="1133ECA1">
      <w:pPr>
        <w:adjustRightInd w:val="0"/>
        <w:snapToGrid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shd w:val="clear" w:color="auto" w:fill="FFFFFF"/>
        </w:rPr>
        <w:t>10.7.10</w:t>
      </w:r>
      <w:r>
        <w:rPr>
          <w:rFonts w:hint="eastAsia" w:asciiTheme="minorEastAsia" w:hAnsiTheme="minorEastAsia" w:eastAsiaTheme="minorEastAsia" w:cstheme="minorEastAsia"/>
          <w:sz w:val="24"/>
          <w:szCs w:val="24"/>
          <w:shd w:val="clear" w:color="auto" w:fill="FFFFFF"/>
        </w:rPr>
        <w:t>　</w:t>
      </w:r>
      <w:r>
        <w:rPr>
          <w:rFonts w:hint="eastAsia" w:asciiTheme="minorEastAsia" w:hAnsiTheme="minorEastAsia" w:eastAsiaTheme="minorEastAsia" w:cstheme="minorEastAsia"/>
          <w:sz w:val="24"/>
          <w:szCs w:val="24"/>
        </w:rPr>
        <w:t>有生活污水产生的绿地应在绿地中建立污水管道系统，将生活污水收集并直接排入绿地周围的市政污水管网。当绿地周围无市政污水管网时，应设置相应的污水处理设施。</w:t>
      </w:r>
    </w:p>
    <w:p w14:paraId="0C21F863">
      <w:pPr>
        <w:adjustRightInd w:val="0"/>
        <w:snapToGrid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shd w:val="clear" w:color="auto" w:fill="FFFFFF"/>
        </w:rPr>
        <w:t>10.7.1</w:t>
      </w:r>
      <w:r>
        <w:rPr>
          <w:rFonts w:asciiTheme="minorEastAsia" w:hAnsiTheme="minorEastAsia" w:eastAsiaTheme="minorEastAsia" w:cstheme="minorEastAsia"/>
          <w:b/>
          <w:sz w:val="24"/>
          <w:szCs w:val="24"/>
          <w:shd w:val="clear" w:color="auto" w:fill="FFFFFF"/>
        </w:rPr>
        <w:t>1</w:t>
      </w:r>
      <w:r>
        <w:rPr>
          <w:rFonts w:hint="eastAsia" w:asciiTheme="minorEastAsia" w:hAnsiTheme="minorEastAsia" w:eastAsiaTheme="minorEastAsia" w:cstheme="minorEastAsia"/>
          <w:sz w:val="24"/>
          <w:szCs w:val="24"/>
          <w:shd w:val="clear" w:color="auto" w:fill="FFFFFF"/>
        </w:rPr>
        <w:t>　</w:t>
      </w:r>
      <w:r>
        <w:rPr>
          <w:rFonts w:hint="eastAsia" w:asciiTheme="minorEastAsia" w:hAnsiTheme="minorEastAsia" w:eastAsiaTheme="minorEastAsia" w:cstheme="minorEastAsia"/>
          <w:sz w:val="24"/>
          <w:szCs w:val="24"/>
        </w:rPr>
        <w:t>宜分散隐蔽设置小型、生态型污水处理设施，污水处理后应达到现行国家标准《城镇污水处理厂污染物排放标准》GB 18918的有关规定。绿地污水处理后应优先考虑资源化利用，并应符合以下规定：</w:t>
      </w:r>
    </w:p>
    <w:p w14:paraId="0E42AC02">
      <w:pPr>
        <w:widowControl/>
        <w:adjustRightInd w:val="0"/>
        <w:snapToGrid w:val="0"/>
        <w:spacing w:line="360" w:lineRule="auto"/>
        <w:ind w:firstLine="482"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w:t>
      </w:r>
      <w:r>
        <w:rPr>
          <w:rFonts w:hint="eastAsia" w:asciiTheme="minorEastAsia" w:hAnsiTheme="minorEastAsia" w:eastAsiaTheme="minorEastAsia" w:cstheme="minorEastAsia"/>
          <w:sz w:val="24"/>
          <w:szCs w:val="24"/>
        </w:rPr>
        <w:t>　当作为灌溉水源时，水质还应满足现行国家标准《城市污水再生利用 城市杂用水水质》GB/T 18920的要求；</w:t>
      </w:r>
    </w:p>
    <w:p w14:paraId="1009A9F8">
      <w:pPr>
        <w:widowControl/>
        <w:adjustRightInd w:val="0"/>
        <w:snapToGrid w:val="0"/>
        <w:spacing w:line="360" w:lineRule="auto"/>
        <w:ind w:firstLine="482" w:firstLineChars="200"/>
        <w:jc w:val="left"/>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
          <w:sz w:val="24"/>
          <w:szCs w:val="24"/>
        </w:rPr>
        <w:t>2</w:t>
      </w:r>
      <w:r>
        <w:rPr>
          <w:rFonts w:hint="eastAsia" w:asciiTheme="minorEastAsia" w:hAnsiTheme="minorEastAsia" w:eastAsiaTheme="minorEastAsia" w:cstheme="minorEastAsia"/>
          <w:sz w:val="24"/>
          <w:szCs w:val="24"/>
        </w:rPr>
        <w:t>　当作为绿地水体补充水源时，其水质还应满足现行国家标准《城市污水再生利用 景观环境用水水质》GB/T 18921的有关要求和受纳水体的水质要求。</w:t>
      </w:r>
    </w:p>
    <w:p w14:paraId="325A78DE">
      <w:pPr>
        <w:adjustRightInd w:val="0"/>
        <w:snapToGrid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kern w:val="0"/>
          <w:sz w:val="24"/>
          <w:szCs w:val="24"/>
          <w:lang w:val="zh-CN"/>
        </w:rPr>
        <w:t>10.</w:t>
      </w:r>
      <w:r>
        <w:rPr>
          <w:rFonts w:hint="eastAsia" w:asciiTheme="minorEastAsia" w:hAnsiTheme="minorEastAsia" w:eastAsiaTheme="minorEastAsia" w:cstheme="minorEastAsia"/>
          <w:b/>
          <w:kern w:val="0"/>
          <w:sz w:val="24"/>
          <w:szCs w:val="24"/>
        </w:rPr>
        <w:t>7</w:t>
      </w:r>
      <w:r>
        <w:rPr>
          <w:rFonts w:hint="eastAsia" w:asciiTheme="minorEastAsia" w:hAnsiTheme="minorEastAsia" w:eastAsiaTheme="minorEastAsia" w:cstheme="minorEastAsia"/>
          <w:b/>
          <w:kern w:val="0"/>
          <w:sz w:val="24"/>
          <w:szCs w:val="24"/>
          <w:lang w:val="zh-CN"/>
        </w:rPr>
        <w:t>.12</w:t>
      </w:r>
      <w:r>
        <w:rPr>
          <w:rFonts w:hint="eastAsia" w:asciiTheme="minorEastAsia" w:hAnsiTheme="minorEastAsia" w:eastAsiaTheme="minorEastAsia" w:cstheme="minorEastAsia"/>
          <w:sz w:val="24"/>
          <w:szCs w:val="24"/>
          <w:shd w:val="clear" w:color="auto" w:fill="FFFFFF"/>
        </w:rPr>
        <w:t>　</w:t>
      </w:r>
      <w:r>
        <w:rPr>
          <w:rFonts w:hint="eastAsia" w:asciiTheme="minorEastAsia" w:hAnsiTheme="minorEastAsia" w:eastAsiaTheme="minorEastAsia" w:cstheme="minorEastAsia"/>
          <w:kern w:val="0"/>
          <w:sz w:val="24"/>
          <w:szCs w:val="24"/>
          <w:lang w:val="zh-CN"/>
        </w:rPr>
        <w:t>绿地中雨水排水设计应根据地区差异和不同的绿地功能，选择相应的雨水径流控制和利用的技术措施。</w:t>
      </w:r>
      <w:r>
        <w:rPr>
          <w:rFonts w:hint="eastAsia" w:asciiTheme="minorEastAsia" w:hAnsiTheme="minorEastAsia" w:eastAsiaTheme="minorEastAsia" w:cstheme="minorEastAsia"/>
          <w:sz w:val="24"/>
          <w:szCs w:val="24"/>
        </w:rPr>
        <w:t>应对接城市排水防涝规划和绿地系统规划，明确绿地在城市排水防涝系统中的建设要求及客水消纳需求。</w:t>
      </w:r>
    </w:p>
    <w:p w14:paraId="53DBB9C9">
      <w:pPr>
        <w:adjustRightInd w:val="0"/>
        <w:snapToGrid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kern w:val="0"/>
          <w:sz w:val="24"/>
          <w:szCs w:val="24"/>
          <w:lang w:val="zh-CN"/>
        </w:rPr>
        <w:t>10.</w:t>
      </w:r>
      <w:r>
        <w:rPr>
          <w:rFonts w:hint="eastAsia" w:asciiTheme="minorEastAsia" w:hAnsiTheme="minorEastAsia" w:eastAsiaTheme="minorEastAsia" w:cstheme="minorEastAsia"/>
          <w:b/>
          <w:kern w:val="0"/>
          <w:sz w:val="24"/>
          <w:szCs w:val="24"/>
        </w:rPr>
        <w:t>7</w:t>
      </w:r>
      <w:r>
        <w:rPr>
          <w:rFonts w:hint="eastAsia" w:asciiTheme="minorEastAsia" w:hAnsiTheme="minorEastAsia" w:eastAsiaTheme="minorEastAsia" w:cstheme="minorEastAsia"/>
          <w:b/>
          <w:kern w:val="0"/>
          <w:sz w:val="24"/>
          <w:szCs w:val="24"/>
          <w:lang w:val="zh-CN"/>
        </w:rPr>
        <w:t>.13</w:t>
      </w:r>
      <w:r>
        <w:rPr>
          <w:rFonts w:hint="eastAsia" w:asciiTheme="minorEastAsia" w:hAnsiTheme="minorEastAsia" w:eastAsiaTheme="minorEastAsia" w:cstheme="minorEastAsia"/>
          <w:sz w:val="24"/>
          <w:szCs w:val="24"/>
          <w:shd w:val="clear" w:color="auto" w:fill="FFFFFF"/>
        </w:rPr>
        <w:t>　</w:t>
      </w:r>
      <w:r>
        <w:rPr>
          <w:rFonts w:hint="eastAsia" w:asciiTheme="minorEastAsia" w:hAnsiTheme="minorEastAsia" w:eastAsiaTheme="minorEastAsia" w:cstheme="minorEastAsia"/>
          <w:kern w:val="0"/>
          <w:sz w:val="24"/>
          <w:szCs w:val="24"/>
          <w:lang w:val="zh-CN"/>
        </w:rPr>
        <w:t>化工厂、医院、油库、加油站、污水处理厂等的附属绿地以及垃圾填埋场等其他绿地的雨水，不应采用下渗减排的方式，不应直接排入水体，应单独收集处理达标后方可排入市政雨水管网。</w:t>
      </w:r>
    </w:p>
    <w:p w14:paraId="2F732565">
      <w:pPr>
        <w:adjustRightInd w:val="0"/>
        <w:snapToGrid w:val="0"/>
        <w:spacing w:line="360" w:lineRule="auto"/>
        <w:rPr>
          <w:rFonts w:asciiTheme="minorEastAsia" w:hAnsiTheme="minorEastAsia" w:eastAsiaTheme="minorEastAsia" w:cstheme="minorEastAsia"/>
          <w:sz w:val="24"/>
          <w:szCs w:val="24"/>
          <w:shd w:val="pct10" w:color="auto" w:fill="FFFFFF"/>
        </w:rPr>
      </w:pPr>
      <w:r>
        <w:rPr>
          <w:rFonts w:hint="eastAsia" w:asciiTheme="minorEastAsia" w:hAnsiTheme="minorEastAsia" w:eastAsiaTheme="minorEastAsia" w:cstheme="minorEastAsia"/>
          <w:b/>
          <w:sz w:val="24"/>
          <w:szCs w:val="24"/>
          <w:shd w:val="clear" w:color="auto" w:fill="FFFFFF"/>
        </w:rPr>
        <w:t>10.7.14</w:t>
      </w:r>
      <w:r>
        <w:rPr>
          <w:rFonts w:hint="eastAsia" w:asciiTheme="minorEastAsia" w:hAnsiTheme="minorEastAsia" w:eastAsiaTheme="minorEastAsia" w:cstheme="minorEastAsia"/>
          <w:sz w:val="24"/>
          <w:szCs w:val="24"/>
          <w:shd w:val="clear" w:color="auto" w:fill="FFFFFF"/>
        </w:rPr>
        <w:t>　</w:t>
      </w:r>
      <w:r>
        <w:rPr>
          <w:rFonts w:hint="eastAsia" w:asciiTheme="minorEastAsia" w:hAnsiTheme="minorEastAsia" w:eastAsiaTheme="minorEastAsia" w:cstheme="minorEastAsia"/>
          <w:kern w:val="0"/>
          <w:sz w:val="24"/>
          <w:szCs w:val="24"/>
          <w:lang w:val="zh-CN"/>
        </w:rPr>
        <w:t>绿地宜利用景观水体、雨水湿地、渗管/渠等设施就地储存雨水，用于植物灌溉、冲洗和景观水体补水，并应符合下列规定：</w:t>
      </w:r>
    </w:p>
    <w:p w14:paraId="6F6E5134">
      <w:pPr>
        <w:widowControl/>
        <w:adjustRightInd w:val="0"/>
        <w:snapToGrid w:val="0"/>
        <w:spacing w:line="360" w:lineRule="auto"/>
        <w:ind w:firstLine="482"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shd w:val="clear" w:color="auto" w:fill="FFFFFF"/>
        </w:rPr>
        <w:t>1</w:t>
      </w:r>
      <w:r>
        <w:rPr>
          <w:rFonts w:hint="eastAsia" w:asciiTheme="minorEastAsia" w:hAnsiTheme="minorEastAsia" w:eastAsiaTheme="minorEastAsia" w:cstheme="minorEastAsia"/>
          <w:kern w:val="0"/>
          <w:sz w:val="24"/>
          <w:szCs w:val="24"/>
          <w:lang w:val="zh-CN"/>
        </w:rPr>
        <w:t>　景观水体宜预留雨水的调蓄空间，并应根据汇水面积及降水条件等确定调蓄空间的规模。当绿地承担周边区域雨水径流时，调蓄空间还应计入此部分雨水量；</w:t>
      </w:r>
    </w:p>
    <w:p w14:paraId="762E3CF6">
      <w:pPr>
        <w:widowControl/>
        <w:adjustRightInd w:val="0"/>
        <w:snapToGrid w:val="0"/>
        <w:spacing w:line="360" w:lineRule="auto"/>
        <w:ind w:firstLine="482" w:firstLineChars="200"/>
        <w:jc w:val="left"/>
        <w:rPr>
          <w:rFonts w:asciiTheme="minorEastAsia" w:hAnsiTheme="minorEastAsia" w:eastAsiaTheme="minorEastAsia" w:cstheme="minorEastAsia"/>
          <w:kern w:val="0"/>
          <w:sz w:val="24"/>
          <w:szCs w:val="24"/>
          <w:lang w:val="zh-CN"/>
        </w:rPr>
      </w:pPr>
      <w:r>
        <w:rPr>
          <w:rFonts w:hint="eastAsia" w:asciiTheme="minorEastAsia" w:hAnsiTheme="minorEastAsia" w:eastAsiaTheme="minorEastAsia" w:cstheme="minorEastAsia"/>
          <w:b/>
          <w:sz w:val="24"/>
          <w:szCs w:val="24"/>
          <w:shd w:val="clear" w:color="auto" w:fill="FFFFFF"/>
        </w:rPr>
        <w:t>2</w:t>
      </w:r>
      <w:r>
        <w:rPr>
          <w:rFonts w:hint="eastAsia" w:asciiTheme="minorEastAsia" w:hAnsiTheme="minorEastAsia" w:eastAsiaTheme="minorEastAsia" w:cstheme="minorEastAsia"/>
          <w:kern w:val="0"/>
          <w:sz w:val="24"/>
          <w:szCs w:val="24"/>
          <w:lang w:val="zh-CN"/>
        </w:rPr>
        <w:t>　种植地面可在汇水面低洼处设置雨水湿地、碎石盲沟、渗透管沟等集水设施，所收集雨水可直接排入绿地雨水储存设施中；</w:t>
      </w:r>
    </w:p>
    <w:p w14:paraId="66E599FB">
      <w:pPr>
        <w:widowControl/>
        <w:adjustRightInd w:val="0"/>
        <w:snapToGrid w:val="0"/>
        <w:spacing w:line="360" w:lineRule="auto"/>
        <w:ind w:firstLine="482" w:firstLineChars="200"/>
        <w:jc w:val="left"/>
        <w:rPr>
          <w:rFonts w:asciiTheme="minorEastAsia" w:hAnsiTheme="minorEastAsia" w:eastAsiaTheme="minorEastAsia" w:cstheme="minorEastAsia"/>
          <w:kern w:val="0"/>
          <w:sz w:val="24"/>
          <w:szCs w:val="24"/>
          <w:lang w:val="zh-CN"/>
        </w:rPr>
      </w:pPr>
      <w:r>
        <w:rPr>
          <w:rFonts w:hint="eastAsia" w:asciiTheme="minorEastAsia" w:hAnsiTheme="minorEastAsia" w:eastAsiaTheme="minorEastAsia" w:cstheme="minorEastAsia"/>
          <w:b/>
          <w:sz w:val="24"/>
          <w:szCs w:val="24"/>
          <w:shd w:val="clear" w:color="auto" w:fill="FFFFFF"/>
        </w:rPr>
        <w:t>3</w:t>
      </w:r>
      <w:r>
        <w:rPr>
          <w:rFonts w:hint="eastAsia" w:asciiTheme="minorEastAsia" w:hAnsiTheme="minorEastAsia" w:eastAsiaTheme="minorEastAsia" w:cstheme="minorEastAsia"/>
          <w:sz w:val="24"/>
          <w:szCs w:val="24"/>
          <w:shd w:val="clear" w:color="auto" w:fill="FFFFFF"/>
        </w:rPr>
        <w:t>　</w:t>
      </w:r>
      <w:r>
        <w:rPr>
          <w:rFonts w:hint="eastAsia" w:asciiTheme="minorEastAsia" w:hAnsiTheme="minorEastAsia" w:eastAsiaTheme="minorEastAsia" w:cstheme="minorEastAsia"/>
          <w:kern w:val="0"/>
          <w:sz w:val="24"/>
          <w:szCs w:val="24"/>
          <w:lang w:val="zh-CN"/>
        </w:rPr>
        <w:t>园林建筑屋顶绿化和地下建筑及构筑物顶板上的绿地应有雨水排水措施并将雨水汇入绿地雨水储存设施中；</w:t>
      </w:r>
    </w:p>
    <w:p w14:paraId="115132B0">
      <w:pPr>
        <w:widowControl/>
        <w:adjustRightInd w:val="0"/>
        <w:snapToGrid w:val="0"/>
        <w:spacing w:line="360" w:lineRule="auto"/>
        <w:ind w:firstLine="482" w:firstLineChars="200"/>
        <w:jc w:val="left"/>
        <w:rPr>
          <w:rFonts w:asciiTheme="minorEastAsia" w:hAnsiTheme="minorEastAsia" w:eastAsiaTheme="minorEastAsia" w:cstheme="minorEastAsia"/>
          <w:kern w:val="0"/>
          <w:sz w:val="24"/>
          <w:szCs w:val="24"/>
          <w:lang w:val="zh-CN"/>
        </w:rPr>
      </w:pPr>
      <w:r>
        <w:rPr>
          <w:rFonts w:hint="eastAsia" w:asciiTheme="minorEastAsia" w:hAnsiTheme="minorEastAsia" w:eastAsiaTheme="minorEastAsia" w:cstheme="minorEastAsia"/>
          <w:b/>
          <w:sz w:val="24"/>
          <w:szCs w:val="24"/>
          <w:shd w:val="clear" w:color="auto" w:fill="FFFFFF"/>
        </w:rPr>
        <w:t>4</w:t>
      </w:r>
      <w:r>
        <w:rPr>
          <w:rFonts w:hint="eastAsia" w:asciiTheme="minorEastAsia" w:hAnsiTheme="minorEastAsia" w:eastAsiaTheme="minorEastAsia" w:cstheme="minorEastAsia"/>
          <w:kern w:val="0"/>
          <w:sz w:val="24"/>
          <w:szCs w:val="24"/>
          <w:lang w:val="zh-CN"/>
        </w:rPr>
        <w:t>　绿地内雨水的停留时间不应大于植物的耐淹时间，并不应超过48h。</w:t>
      </w:r>
    </w:p>
    <w:p w14:paraId="20BEDB2B">
      <w:pPr>
        <w:pStyle w:val="40"/>
        <w:outlineLvl w:val="1"/>
        <w:rPr>
          <w:b w:val="0"/>
        </w:rPr>
      </w:pPr>
      <w:bookmarkStart w:id="158" w:name="_Toc22818"/>
      <w:bookmarkStart w:id="159" w:name="_Toc24426"/>
      <w:r>
        <w:rPr>
          <w:b w:val="0"/>
        </w:rPr>
        <w:t>10</w:t>
      </w:r>
      <w:r>
        <w:rPr>
          <w:rFonts w:hint="eastAsia"/>
          <w:b w:val="0"/>
        </w:rPr>
        <w:t>.8　电气</w:t>
      </w:r>
      <w:bookmarkEnd w:id="158"/>
      <w:bookmarkEnd w:id="159"/>
    </w:p>
    <w:p w14:paraId="54EAD06B">
      <w:pPr>
        <w:widowControl/>
        <w:spacing w:line="360" w:lineRule="auto"/>
        <w:jc w:val="center"/>
        <w:outlineLvl w:val="2"/>
        <w:rPr>
          <w:rFonts w:ascii="仿宋" w:hAnsi="仿宋" w:eastAsia="仿宋" w:cs="仿宋"/>
          <w:b/>
          <w:bCs/>
          <w:sz w:val="28"/>
          <w:szCs w:val="28"/>
        </w:rPr>
      </w:pPr>
      <w:bookmarkStart w:id="160" w:name="_Toc22377"/>
      <w:r>
        <w:rPr>
          <w:rFonts w:hint="eastAsia" w:ascii="仿宋" w:hAnsi="仿宋" w:eastAsia="仿宋" w:cs="仿宋"/>
          <w:b/>
          <w:bCs/>
          <w:sz w:val="28"/>
          <w:szCs w:val="28"/>
        </w:rPr>
        <w:t>I　供配电</w:t>
      </w:r>
      <w:bookmarkEnd w:id="160"/>
    </w:p>
    <w:p w14:paraId="4F4A83DE">
      <w:pPr>
        <w:adjustRightInd w:val="0"/>
        <w:snapToGrid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shd w:val="clear" w:color="auto" w:fill="FFFFFF"/>
        </w:rPr>
        <w:t>10.8.1</w:t>
      </w:r>
      <w:r>
        <w:rPr>
          <w:rFonts w:hint="eastAsia" w:asciiTheme="minorEastAsia" w:hAnsiTheme="minorEastAsia" w:eastAsiaTheme="minorEastAsia" w:cstheme="minorEastAsia"/>
          <w:sz w:val="24"/>
          <w:szCs w:val="24"/>
          <w:shd w:val="clear" w:color="auto" w:fill="FFFFFF"/>
        </w:rPr>
        <w:t>　</w:t>
      </w:r>
      <w:r>
        <w:rPr>
          <w:rFonts w:hint="eastAsia" w:asciiTheme="minorEastAsia" w:hAnsiTheme="minorEastAsia" w:eastAsiaTheme="minorEastAsia" w:cstheme="minorEastAsia"/>
          <w:sz w:val="24"/>
          <w:szCs w:val="24"/>
        </w:rPr>
        <w:t>城市绿地用电负荷应根据对供电可靠性的要求及中断供电对人身安全、经济损失上所造成的影响程度进行分级。安全用电、应急照明等用电负荷不应低于二级负荷；其余用电负荷应为三级负荷。</w:t>
      </w:r>
    </w:p>
    <w:p w14:paraId="78B1C42C">
      <w:pPr>
        <w:adjustRightInd w:val="0"/>
        <w:snapToGrid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shd w:val="clear" w:color="auto" w:fill="FFFFFF"/>
        </w:rPr>
        <w:t>10.8.2</w:t>
      </w:r>
      <w:r>
        <w:rPr>
          <w:rFonts w:hint="eastAsia" w:asciiTheme="minorEastAsia" w:hAnsiTheme="minorEastAsia" w:eastAsiaTheme="minorEastAsia" w:cstheme="minorEastAsia"/>
          <w:sz w:val="24"/>
          <w:szCs w:val="24"/>
          <w:shd w:val="clear" w:color="auto" w:fill="FFFFFF"/>
        </w:rPr>
        <w:t>　</w:t>
      </w:r>
      <w:r>
        <w:rPr>
          <w:rFonts w:hint="eastAsia" w:asciiTheme="minorEastAsia" w:hAnsiTheme="minorEastAsia" w:eastAsiaTheme="minorEastAsia" w:cstheme="minorEastAsia"/>
          <w:sz w:val="24"/>
          <w:szCs w:val="24"/>
        </w:rPr>
        <w:t>城市绿地用电应正确选择供电方案，交流电压等级宜为10 kV 或0.23/0.4kV。</w:t>
      </w:r>
    </w:p>
    <w:p w14:paraId="56BFB4BC">
      <w:pPr>
        <w:adjustRightInd w:val="0"/>
        <w:snapToGrid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shd w:val="clear" w:color="auto" w:fill="FFFFFF"/>
        </w:rPr>
        <w:t>10.8.3</w:t>
      </w:r>
      <w:r>
        <w:rPr>
          <w:rFonts w:hint="eastAsia" w:asciiTheme="minorEastAsia" w:hAnsiTheme="minorEastAsia" w:eastAsiaTheme="minorEastAsia" w:cstheme="minorEastAsia"/>
          <w:sz w:val="24"/>
          <w:szCs w:val="24"/>
          <w:shd w:val="clear" w:color="auto" w:fill="FFFFFF"/>
        </w:rPr>
        <w:t>　</w:t>
      </w:r>
      <w:r>
        <w:rPr>
          <w:rFonts w:hint="eastAsia" w:asciiTheme="minorEastAsia" w:hAnsiTheme="minorEastAsia" w:eastAsiaTheme="minorEastAsia" w:cstheme="minorEastAsia"/>
          <w:sz w:val="24"/>
          <w:szCs w:val="24"/>
        </w:rPr>
        <w:t>变压器及配电箱的位置宜设在负荷中心，绿地照明由专用变压器供电时，变压器应采用Dyn11联结方式。</w:t>
      </w:r>
    </w:p>
    <w:p w14:paraId="138567BE">
      <w:pPr>
        <w:adjustRightInd w:val="0"/>
        <w:snapToGrid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shd w:val="clear" w:color="auto" w:fill="FFFFFF"/>
        </w:rPr>
        <w:t>10.8.4</w:t>
      </w:r>
      <w:r>
        <w:rPr>
          <w:rFonts w:hint="eastAsia" w:asciiTheme="minorEastAsia" w:hAnsiTheme="minorEastAsia" w:eastAsiaTheme="minorEastAsia" w:cstheme="minorEastAsia"/>
          <w:sz w:val="24"/>
          <w:szCs w:val="24"/>
          <w:shd w:val="clear" w:color="auto" w:fill="FFFFFF"/>
        </w:rPr>
        <w:t>　</w:t>
      </w:r>
      <w:r>
        <w:rPr>
          <w:rFonts w:hint="eastAsia" w:asciiTheme="minorEastAsia" w:hAnsiTheme="minorEastAsia" w:eastAsiaTheme="minorEastAsia" w:cstheme="minorEastAsia"/>
          <w:sz w:val="24"/>
          <w:szCs w:val="24"/>
        </w:rPr>
        <w:t>城市绿地照明交流供电电压宜为0.23/0.4kV，供电半径不宜超过 0.5km。照明灯具端电压不宜高于其额定电压值的 105％，并不宜低于其额定电压值的 90％。</w:t>
      </w:r>
    </w:p>
    <w:p w14:paraId="7FE99686">
      <w:pPr>
        <w:adjustRightInd w:val="0"/>
        <w:snapToGrid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shd w:val="clear" w:color="auto" w:fill="FFFFFF"/>
        </w:rPr>
        <w:t>10.8.5</w:t>
      </w:r>
      <w:r>
        <w:rPr>
          <w:rFonts w:hint="eastAsia" w:asciiTheme="minorEastAsia" w:hAnsiTheme="minorEastAsia" w:eastAsiaTheme="minorEastAsia" w:cstheme="minorEastAsia"/>
          <w:sz w:val="24"/>
          <w:szCs w:val="24"/>
          <w:shd w:val="clear" w:color="auto" w:fill="FFFFFF"/>
        </w:rPr>
        <w:t>　</w:t>
      </w:r>
      <w:r>
        <w:rPr>
          <w:rFonts w:hint="eastAsia" w:asciiTheme="minorEastAsia" w:hAnsiTheme="minorEastAsia" w:eastAsiaTheme="minorEastAsia" w:cstheme="minorEastAsia"/>
          <w:sz w:val="24"/>
          <w:szCs w:val="24"/>
        </w:rPr>
        <w:t>城市绿地照明直流供电电压宜为 48V、220（±110）V、375V，进行电压变换时，设备直流输出电压允许偏差应为±1%。</w:t>
      </w:r>
    </w:p>
    <w:p w14:paraId="3F407CDA">
      <w:pPr>
        <w:adjustRightInd w:val="0"/>
        <w:snapToGrid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shd w:val="clear" w:color="auto" w:fill="FFFFFF"/>
        </w:rPr>
        <w:t>10.8.6</w:t>
      </w:r>
      <w:r>
        <w:rPr>
          <w:rFonts w:hint="eastAsia" w:asciiTheme="minorEastAsia" w:hAnsiTheme="minorEastAsia" w:eastAsiaTheme="minorEastAsia" w:cstheme="minorEastAsia"/>
          <w:sz w:val="24"/>
          <w:szCs w:val="24"/>
          <w:shd w:val="clear" w:color="auto" w:fill="FFFFFF"/>
        </w:rPr>
        <w:t>　</w:t>
      </w:r>
      <w:r>
        <w:rPr>
          <w:rFonts w:hint="eastAsia" w:asciiTheme="minorEastAsia" w:hAnsiTheme="minorEastAsia" w:eastAsiaTheme="minorEastAsia" w:cstheme="minorEastAsia"/>
          <w:sz w:val="24"/>
          <w:szCs w:val="24"/>
        </w:rPr>
        <w:t>照明设备安装在2.5m及以下人能触及的一般场所时，宜采用供电电压不大于交流50V、直流120V的特低电压供电；照明设备安装在2.5m及以下的景观水池等特殊场所时，宜采用供电电压不大于交流25V、直流60V的安全特低电压供电。否则，I类灯具应采用剩余电流动作保护电器（</w:t>
      </w:r>
      <w:bookmarkStart w:id="161" w:name="OLE_LINK2"/>
      <w:r>
        <w:rPr>
          <w:rFonts w:hint="eastAsia" w:asciiTheme="minorEastAsia" w:hAnsiTheme="minorEastAsia" w:eastAsiaTheme="minorEastAsia" w:cstheme="minorEastAsia"/>
          <w:sz w:val="24"/>
          <w:szCs w:val="24"/>
        </w:rPr>
        <w:t>R</w:t>
      </w:r>
      <w:r>
        <w:rPr>
          <w:rFonts w:asciiTheme="minorEastAsia" w:hAnsiTheme="minorEastAsia" w:eastAsiaTheme="minorEastAsia" w:cstheme="minorEastAsia"/>
          <w:sz w:val="24"/>
          <w:szCs w:val="24"/>
        </w:rPr>
        <w:t>CD</w:t>
      </w:r>
      <w:bookmarkEnd w:id="161"/>
      <w:r>
        <w:rPr>
          <w:rFonts w:hint="eastAsia" w:asciiTheme="minorEastAsia" w:hAnsiTheme="minorEastAsia" w:eastAsiaTheme="minorEastAsia" w:cstheme="minorEastAsia"/>
          <w:sz w:val="24"/>
          <w:szCs w:val="24"/>
        </w:rPr>
        <w:t>）作附加防护。</w:t>
      </w:r>
    </w:p>
    <w:p w14:paraId="28029FDF">
      <w:pPr>
        <w:adjustRightInd w:val="0"/>
        <w:snapToGrid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shd w:val="clear" w:color="auto" w:fill="FFFFFF"/>
        </w:rPr>
        <w:t>10.8.7</w:t>
      </w:r>
      <w:r>
        <w:rPr>
          <w:rFonts w:hint="eastAsia" w:asciiTheme="minorEastAsia" w:hAnsiTheme="minorEastAsia" w:eastAsiaTheme="minorEastAsia" w:cstheme="minorEastAsia"/>
          <w:sz w:val="24"/>
          <w:szCs w:val="24"/>
          <w:shd w:val="clear" w:color="auto" w:fill="FFFFFF"/>
        </w:rPr>
        <w:t>　</w:t>
      </w:r>
      <w:r>
        <w:rPr>
          <w:rFonts w:hint="eastAsia" w:asciiTheme="minorEastAsia" w:hAnsiTheme="minorEastAsia" w:eastAsiaTheme="minorEastAsia" w:cstheme="minorEastAsia"/>
          <w:sz w:val="24"/>
          <w:szCs w:val="24"/>
        </w:rPr>
        <w:t>交流三相线路各相负荷的分配宜保持平衡，最大相负荷电流不宜超过三相负荷平均值的115%，最小相负荷电流不宜小于三相负荷平均值的85%。</w:t>
      </w:r>
    </w:p>
    <w:p w14:paraId="07BBFE57">
      <w:pPr>
        <w:adjustRightInd w:val="0"/>
        <w:snapToGrid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shd w:val="clear" w:color="auto" w:fill="FFFFFF"/>
        </w:rPr>
        <w:t>10.8.8</w:t>
      </w:r>
      <w:r>
        <w:rPr>
          <w:rFonts w:hint="eastAsia" w:asciiTheme="minorEastAsia" w:hAnsiTheme="minorEastAsia" w:eastAsiaTheme="minorEastAsia" w:cstheme="minorEastAsia"/>
          <w:sz w:val="24"/>
          <w:szCs w:val="24"/>
          <w:shd w:val="clear" w:color="auto" w:fill="FFFFFF"/>
        </w:rPr>
        <w:t>　</w:t>
      </w:r>
      <w:r>
        <w:rPr>
          <w:rFonts w:hint="eastAsia" w:asciiTheme="minorEastAsia" w:hAnsiTheme="minorEastAsia" w:eastAsiaTheme="minorEastAsia" w:cstheme="minorEastAsia"/>
          <w:sz w:val="24"/>
          <w:szCs w:val="24"/>
        </w:rPr>
        <w:t>室外照明配电系统应装设专用电能计量表具。</w:t>
      </w:r>
    </w:p>
    <w:p w14:paraId="5218F84A">
      <w:pPr>
        <w:adjustRightInd w:val="0"/>
        <w:snapToGrid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shd w:val="clear" w:color="auto" w:fill="FFFFFF"/>
        </w:rPr>
        <w:t>10.8.9</w:t>
      </w:r>
      <w:r>
        <w:rPr>
          <w:rFonts w:hint="eastAsia" w:asciiTheme="minorEastAsia" w:hAnsiTheme="minorEastAsia" w:eastAsiaTheme="minorEastAsia" w:cstheme="minorEastAsia"/>
          <w:sz w:val="24"/>
          <w:szCs w:val="24"/>
          <w:shd w:val="clear" w:color="auto" w:fill="FFFFFF"/>
        </w:rPr>
        <w:t>　</w:t>
      </w:r>
      <w:r>
        <w:rPr>
          <w:rFonts w:hint="eastAsia" w:asciiTheme="minorEastAsia" w:hAnsiTheme="minorEastAsia" w:eastAsiaTheme="minorEastAsia" w:cstheme="minorEastAsia"/>
          <w:sz w:val="24"/>
          <w:szCs w:val="24"/>
        </w:rPr>
        <w:t>有集会或其他公共活动的绿地应预留备用电源和接口。</w:t>
      </w:r>
    </w:p>
    <w:p w14:paraId="70CDE91B">
      <w:pPr>
        <w:widowControl/>
        <w:spacing w:line="360" w:lineRule="auto"/>
        <w:jc w:val="center"/>
        <w:outlineLvl w:val="2"/>
        <w:rPr>
          <w:rFonts w:ascii="仿宋" w:hAnsi="仿宋" w:eastAsia="仿宋" w:cs="仿宋"/>
          <w:b/>
          <w:bCs/>
          <w:sz w:val="28"/>
          <w:szCs w:val="28"/>
        </w:rPr>
      </w:pPr>
      <w:bookmarkStart w:id="162" w:name="_Toc10901"/>
      <w:r>
        <w:rPr>
          <w:rFonts w:hint="eastAsia" w:ascii="仿宋" w:hAnsi="仿宋" w:eastAsia="仿宋" w:cs="仿宋"/>
          <w:b/>
          <w:bCs/>
          <w:sz w:val="28"/>
          <w:szCs w:val="28"/>
        </w:rPr>
        <w:t>II　照明</w:t>
      </w:r>
      <w:bookmarkEnd w:id="162"/>
    </w:p>
    <w:p w14:paraId="267495D0">
      <w:pPr>
        <w:adjustRightInd w:val="0"/>
        <w:snapToGrid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shd w:val="clear" w:color="auto" w:fill="FFFFFF"/>
        </w:rPr>
        <w:t>10.8.11</w:t>
      </w:r>
      <w:r>
        <w:rPr>
          <w:rFonts w:hint="eastAsia" w:asciiTheme="minorEastAsia" w:hAnsiTheme="minorEastAsia" w:eastAsiaTheme="minorEastAsia" w:cstheme="minorEastAsia"/>
          <w:sz w:val="24"/>
          <w:szCs w:val="24"/>
          <w:shd w:val="clear" w:color="auto" w:fill="FFFFFF"/>
        </w:rPr>
        <w:t>　</w:t>
      </w:r>
      <w:r>
        <w:rPr>
          <w:rFonts w:hint="eastAsia" w:asciiTheme="minorEastAsia" w:hAnsiTheme="minorEastAsia" w:eastAsiaTheme="minorEastAsia" w:cstheme="minorEastAsia"/>
          <w:sz w:val="24"/>
          <w:szCs w:val="24"/>
        </w:rPr>
        <w:t>绿地照明应以功能照明为主，景观及装饰性照明应考虑对生态及周边环境的影响。</w:t>
      </w:r>
    </w:p>
    <w:p w14:paraId="61A420B5">
      <w:pPr>
        <w:adjustRightInd w:val="0"/>
        <w:snapToGrid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shd w:val="clear" w:color="auto" w:fill="FFFFFF"/>
        </w:rPr>
        <w:t>10.8.12</w:t>
      </w:r>
      <w:r>
        <w:rPr>
          <w:rFonts w:hint="eastAsia" w:asciiTheme="minorEastAsia" w:hAnsiTheme="minorEastAsia" w:eastAsiaTheme="minorEastAsia" w:cstheme="minorEastAsia"/>
          <w:sz w:val="24"/>
          <w:szCs w:val="24"/>
          <w:shd w:val="clear" w:color="auto" w:fill="FFFFFF"/>
        </w:rPr>
        <w:t>　</w:t>
      </w:r>
      <w:r>
        <w:rPr>
          <w:rFonts w:hint="eastAsia" w:asciiTheme="minorEastAsia" w:hAnsiTheme="minorEastAsia" w:eastAsiaTheme="minorEastAsia" w:cstheme="minorEastAsia"/>
          <w:sz w:val="24"/>
          <w:szCs w:val="24"/>
        </w:rPr>
        <w:t>应合理选择照明光源、灯具和照明方式，合理确定灯具安装位置、照射角度和遮光措施，并应符合现行</w:t>
      </w:r>
      <w:r>
        <w:rPr>
          <w:rFonts w:hint="eastAsia" w:cs="宋体" w:asciiTheme="minorEastAsia" w:hAnsiTheme="minorEastAsia" w:eastAsiaTheme="minorEastAsia"/>
          <w:sz w:val="24"/>
        </w:rPr>
        <w:t>强制性工程建设规范</w:t>
      </w:r>
      <w:r>
        <w:rPr>
          <w:rFonts w:hint="eastAsia" w:asciiTheme="minorEastAsia" w:hAnsiTheme="minorEastAsia" w:eastAsiaTheme="minorEastAsia" w:cstheme="minorEastAsia"/>
          <w:sz w:val="24"/>
          <w:szCs w:val="24"/>
        </w:rPr>
        <w:t>《建筑环境通用规范》GB</w:t>
      </w:r>
      <w:r>
        <w:rPr>
          <w:rFonts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t>55016的有关规定。</w:t>
      </w:r>
    </w:p>
    <w:p w14:paraId="708798EA">
      <w:pPr>
        <w:adjustRightInd w:val="0"/>
        <w:snapToGrid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shd w:val="clear" w:color="auto" w:fill="FFFFFF"/>
        </w:rPr>
        <w:t>10.8.13</w:t>
      </w:r>
      <w:r>
        <w:rPr>
          <w:rFonts w:hint="eastAsia" w:asciiTheme="minorEastAsia" w:hAnsiTheme="minorEastAsia" w:eastAsiaTheme="minorEastAsia" w:cstheme="minorEastAsia"/>
          <w:sz w:val="24"/>
          <w:szCs w:val="24"/>
          <w:shd w:val="clear" w:color="auto" w:fill="FFFFFF"/>
        </w:rPr>
        <w:t>　</w:t>
      </w:r>
      <w:r>
        <w:rPr>
          <w:rFonts w:hint="eastAsia" w:asciiTheme="minorEastAsia" w:hAnsiTheme="minorEastAsia" w:eastAsiaTheme="minorEastAsia" w:cstheme="minorEastAsia"/>
          <w:sz w:val="24"/>
          <w:szCs w:val="24"/>
        </w:rPr>
        <w:t>应根据照明场所的功能、性质、环境区域亮度及所在城市的规模，确定照度或亮度标准值。</w:t>
      </w:r>
    </w:p>
    <w:p w14:paraId="1D024F0F">
      <w:pPr>
        <w:adjustRightInd w:val="0"/>
        <w:snapToGrid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shd w:val="clear" w:color="auto" w:fill="FFFFFF"/>
        </w:rPr>
        <w:t>10.8.14</w:t>
      </w:r>
      <w:r>
        <w:rPr>
          <w:rFonts w:hint="eastAsia" w:asciiTheme="minorEastAsia" w:hAnsiTheme="minorEastAsia" w:eastAsiaTheme="minorEastAsia" w:cstheme="minorEastAsia"/>
          <w:sz w:val="24"/>
          <w:szCs w:val="24"/>
          <w:shd w:val="clear" w:color="auto" w:fill="FFFFFF"/>
        </w:rPr>
        <w:t>　</w:t>
      </w:r>
      <w:r>
        <w:rPr>
          <w:rFonts w:hint="eastAsia" w:asciiTheme="minorEastAsia" w:hAnsiTheme="minorEastAsia" w:eastAsiaTheme="minorEastAsia" w:cstheme="minorEastAsia"/>
          <w:sz w:val="24"/>
          <w:szCs w:val="24"/>
        </w:rPr>
        <w:t>应慎重选择彩色光，光色应与被照对象和所在区域特征相协调，不应与交通标识信号灯造成视觉上的混淆。</w:t>
      </w:r>
    </w:p>
    <w:p w14:paraId="7C9FA446">
      <w:pPr>
        <w:adjustRightInd w:val="0"/>
        <w:snapToGrid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shd w:val="clear" w:color="auto" w:fill="FFFFFF"/>
        </w:rPr>
        <w:t>10.8.15</w:t>
      </w:r>
      <w:r>
        <w:rPr>
          <w:rFonts w:hint="eastAsia" w:asciiTheme="minorEastAsia" w:hAnsiTheme="minorEastAsia" w:eastAsiaTheme="minorEastAsia" w:cstheme="minorEastAsia"/>
          <w:sz w:val="24"/>
          <w:szCs w:val="24"/>
          <w:shd w:val="clear" w:color="auto" w:fill="FFFFFF"/>
        </w:rPr>
        <w:t>　</w:t>
      </w:r>
      <w:r>
        <w:rPr>
          <w:rFonts w:hint="eastAsia" w:asciiTheme="minorEastAsia" w:hAnsiTheme="minorEastAsia" w:eastAsiaTheme="minorEastAsia" w:cstheme="minorEastAsia"/>
          <w:sz w:val="24"/>
          <w:szCs w:val="24"/>
        </w:rPr>
        <w:t>绿地照明宜采用分区域、分回路及按使用功能集中控制。宜采用光控、时控、程控和智能控制方式，并应具备手动控制功能。</w:t>
      </w:r>
    </w:p>
    <w:p w14:paraId="136E099E">
      <w:pPr>
        <w:adjustRightInd w:val="0"/>
        <w:snapToGrid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shd w:val="clear" w:color="auto" w:fill="FFFFFF"/>
        </w:rPr>
        <w:t>10.8.16</w:t>
      </w:r>
      <w:r>
        <w:rPr>
          <w:rFonts w:hint="eastAsia" w:asciiTheme="minorEastAsia" w:hAnsiTheme="minorEastAsia" w:eastAsiaTheme="minorEastAsia" w:cstheme="minorEastAsia"/>
          <w:sz w:val="24"/>
          <w:szCs w:val="24"/>
          <w:shd w:val="clear" w:color="auto" w:fill="FFFFFF"/>
        </w:rPr>
        <w:t>　</w:t>
      </w:r>
      <w:r>
        <w:rPr>
          <w:rFonts w:hint="eastAsia" w:asciiTheme="minorEastAsia" w:hAnsiTheme="minorEastAsia" w:eastAsiaTheme="minorEastAsia" w:cstheme="minorEastAsia"/>
          <w:sz w:val="24"/>
          <w:szCs w:val="24"/>
        </w:rPr>
        <w:t>绿地照明控制系统中宜预留联网监控的接口，为遥控或联网监控创造条件。</w:t>
      </w:r>
    </w:p>
    <w:p w14:paraId="7F73B35C">
      <w:pPr>
        <w:adjustRightInd w:val="0"/>
        <w:snapToGrid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shd w:val="clear" w:color="auto" w:fill="FFFFFF"/>
        </w:rPr>
        <w:t>10.8.17</w:t>
      </w:r>
      <w:r>
        <w:rPr>
          <w:rFonts w:hint="eastAsia" w:asciiTheme="minorEastAsia" w:hAnsiTheme="minorEastAsia" w:eastAsiaTheme="minorEastAsia" w:cstheme="minorEastAsia"/>
          <w:sz w:val="24"/>
          <w:szCs w:val="24"/>
          <w:shd w:val="clear" w:color="auto" w:fill="FFFFFF"/>
        </w:rPr>
        <w:t>　</w:t>
      </w:r>
      <w:r>
        <w:rPr>
          <w:rFonts w:hint="eastAsia" w:asciiTheme="minorEastAsia" w:hAnsiTheme="minorEastAsia" w:eastAsiaTheme="minorEastAsia" w:cstheme="minorEastAsia"/>
          <w:sz w:val="24"/>
          <w:szCs w:val="24"/>
        </w:rPr>
        <w:t>灯具应选用效率高、节能型产品，有条件时，宜采用太阳能灯具。</w:t>
      </w:r>
    </w:p>
    <w:p w14:paraId="14B4BCC5">
      <w:pPr>
        <w:adjustRightInd w:val="0"/>
        <w:snapToGrid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shd w:val="clear" w:color="auto" w:fill="FFFFFF"/>
        </w:rPr>
        <w:t>10.8.18</w:t>
      </w:r>
      <w:r>
        <w:rPr>
          <w:rFonts w:hint="eastAsia" w:asciiTheme="minorEastAsia" w:hAnsiTheme="minorEastAsia" w:eastAsiaTheme="minorEastAsia" w:cstheme="minorEastAsia"/>
          <w:sz w:val="24"/>
          <w:szCs w:val="24"/>
          <w:shd w:val="clear" w:color="auto" w:fill="FFFFFF"/>
        </w:rPr>
        <w:t>　</w:t>
      </w:r>
      <w:r>
        <w:rPr>
          <w:rFonts w:hint="eastAsia" w:asciiTheme="minorEastAsia" w:hAnsiTheme="minorEastAsia" w:eastAsiaTheme="minorEastAsia" w:cstheme="minorEastAsia"/>
          <w:sz w:val="24"/>
          <w:szCs w:val="24"/>
        </w:rPr>
        <w:t>安装在人员密集场所的灯具，应采用防撞击、防玻璃破碎等措施。人员可触及的照明设备表面温度高于60℃时应采取隔离保护措施。</w:t>
      </w:r>
    </w:p>
    <w:p w14:paraId="74BA9E37">
      <w:pPr>
        <w:widowControl/>
        <w:spacing w:line="360" w:lineRule="auto"/>
        <w:jc w:val="center"/>
        <w:outlineLvl w:val="2"/>
        <w:rPr>
          <w:rFonts w:ascii="仿宋" w:hAnsi="仿宋" w:eastAsia="仿宋" w:cs="仿宋"/>
          <w:b/>
          <w:bCs/>
          <w:sz w:val="28"/>
          <w:szCs w:val="28"/>
        </w:rPr>
      </w:pPr>
      <w:bookmarkStart w:id="163" w:name="_Toc2170"/>
      <w:r>
        <w:rPr>
          <w:rFonts w:hint="eastAsia" w:ascii="仿宋" w:hAnsi="仿宋" w:eastAsia="仿宋" w:cs="仿宋"/>
          <w:b/>
          <w:bCs/>
          <w:sz w:val="28"/>
          <w:szCs w:val="28"/>
        </w:rPr>
        <w:t>III　防雷和接地安全</w:t>
      </w:r>
      <w:bookmarkEnd w:id="163"/>
    </w:p>
    <w:p w14:paraId="36549D37">
      <w:pPr>
        <w:adjustRightInd w:val="0"/>
        <w:snapToGrid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shd w:val="clear" w:color="auto" w:fill="FFFFFF"/>
        </w:rPr>
        <w:t>10.8.19</w:t>
      </w:r>
      <w:r>
        <w:rPr>
          <w:rFonts w:hint="eastAsia" w:asciiTheme="minorEastAsia" w:hAnsiTheme="minorEastAsia" w:eastAsiaTheme="minorEastAsia" w:cstheme="minorEastAsia"/>
          <w:sz w:val="24"/>
          <w:szCs w:val="24"/>
          <w:shd w:val="clear" w:color="auto" w:fill="FFFFFF"/>
        </w:rPr>
        <w:t>　</w:t>
      </w:r>
      <w:r>
        <w:rPr>
          <w:rFonts w:hint="eastAsia" w:asciiTheme="minorEastAsia" w:hAnsiTheme="minorEastAsia" w:eastAsiaTheme="minorEastAsia" w:cstheme="minorEastAsia"/>
          <w:sz w:val="24"/>
          <w:szCs w:val="24"/>
        </w:rPr>
        <w:t>城市绿地中建筑及电气装置的防雷应符合现行国家标准《建筑物防雷设计规范》GB 50057及《建筑物电子信息系统防雷技术规范》GB 50343的有关规定。</w:t>
      </w:r>
    </w:p>
    <w:p w14:paraId="67201CEC">
      <w:pPr>
        <w:adjustRightInd w:val="0"/>
        <w:snapToGrid w:val="0"/>
        <w:spacing w:line="360" w:lineRule="auto"/>
        <w:rPr>
          <w:rFonts w:asciiTheme="minorEastAsia" w:hAnsiTheme="minorEastAsia" w:eastAsiaTheme="minorEastAsia" w:cstheme="minorEastAsia"/>
          <w:sz w:val="24"/>
          <w:szCs w:val="24"/>
          <w:shd w:val="clear" w:color="auto" w:fill="FFFFFF"/>
        </w:rPr>
      </w:pPr>
      <w:r>
        <w:rPr>
          <w:rFonts w:hint="eastAsia" w:asciiTheme="minorEastAsia" w:hAnsiTheme="minorEastAsia" w:eastAsiaTheme="minorEastAsia" w:cstheme="minorEastAsia"/>
          <w:b/>
          <w:sz w:val="24"/>
          <w:szCs w:val="24"/>
          <w:shd w:val="clear" w:color="auto" w:fill="FFFFFF"/>
        </w:rPr>
        <w:t>10.8.20</w:t>
      </w:r>
      <w:r>
        <w:rPr>
          <w:rFonts w:hint="eastAsia" w:asciiTheme="minorEastAsia" w:hAnsiTheme="minorEastAsia" w:eastAsiaTheme="minorEastAsia" w:cstheme="minorEastAsia"/>
          <w:sz w:val="24"/>
          <w:szCs w:val="24"/>
          <w:shd w:val="clear" w:color="auto" w:fill="FFFFFF"/>
        </w:rPr>
        <w:t>　绿地</w:t>
      </w:r>
      <w:r>
        <w:rPr>
          <w:rFonts w:hint="eastAsia" w:asciiTheme="minorEastAsia" w:hAnsiTheme="minorEastAsia" w:eastAsiaTheme="minorEastAsia" w:cstheme="minorEastAsia"/>
          <w:sz w:val="24"/>
          <w:szCs w:val="24"/>
        </w:rPr>
        <w:t>用电设备所有带电部分应采用绝缘、遮拦或外护物保护，距地面2.5m以下的电气设备应借助于钥匙或工具才能开启。绿地公共场所的配电箱应</w:t>
      </w:r>
      <w:r>
        <w:rPr>
          <w:rFonts w:hint="eastAsia" w:asciiTheme="minorEastAsia" w:hAnsiTheme="minorEastAsia" w:eastAsiaTheme="minorEastAsia" w:cstheme="minorEastAsia"/>
          <w:sz w:val="24"/>
          <w:szCs w:val="24"/>
          <w:shd w:val="clear" w:color="auto" w:fill="FFFFFF"/>
        </w:rPr>
        <w:t>选用防雨型并加锁，防护等级不应低于IP54，配电箱不应设在低洼易积水处，箱底距地不宜小于200mm。</w:t>
      </w:r>
    </w:p>
    <w:p w14:paraId="560270AF">
      <w:pPr>
        <w:adjustRightInd w:val="0"/>
        <w:snapToGrid w:val="0"/>
        <w:spacing w:line="360" w:lineRule="auto"/>
        <w:rPr>
          <w:rFonts w:asciiTheme="minorEastAsia" w:hAnsiTheme="minorEastAsia" w:eastAsiaTheme="minorEastAsia" w:cstheme="minorEastAsia"/>
          <w:sz w:val="24"/>
          <w:szCs w:val="24"/>
          <w:shd w:val="clear" w:color="auto" w:fill="FFFFFF"/>
        </w:rPr>
      </w:pPr>
      <w:r>
        <w:rPr>
          <w:rFonts w:hint="eastAsia" w:asciiTheme="minorEastAsia" w:hAnsiTheme="minorEastAsia" w:eastAsiaTheme="minorEastAsia" w:cstheme="minorEastAsia"/>
          <w:b/>
          <w:sz w:val="24"/>
          <w:szCs w:val="24"/>
          <w:shd w:val="clear" w:color="auto" w:fill="FFFFFF"/>
        </w:rPr>
        <w:t>10.8.21</w:t>
      </w:r>
      <w:r>
        <w:rPr>
          <w:rFonts w:hint="eastAsia" w:asciiTheme="minorEastAsia" w:hAnsiTheme="minorEastAsia" w:eastAsiaTheme="minorEastAsia" w:cstheme="minorEastAsia"/>
          <w:sz w:val="24"/>
          <w:szCs w:val="24"/>
          <w:shd w:val="clear" w:color="auto" w:fill="FFFFFF"/>
        </w:rPr>
        <w:t>　城市绿地照明装置由建筑物内引出供电电源时，距建筑外墙 20m 以内的用电设备应与室内配电系统的接地型式相一致；距建筑物外墙 20m 以外的配电回路宜采用 TT系统。</w:t>
      </w:r>
    </w:p>
    <w:p w14:paraId="36A9D971">
      <w:pPr>
        <w:adjustRightInd w:val="0"/>
        <w:snapToGrid w:val="0"/>
        <w:spacing w:line="360" w:lineRule="auto"/>
        <w:rPr>
          <w:rFonts w:asciiTheme="minorEastAsia" w:hAnsiTheme="minorEastAsia" w:eastAsiaTheme="minorEastAsia" w:cstheme="minorEastAsia"/>
          <w:sz w:val="24"/>
          <w:szCs w:val="24"/>
          <w:shd w:val="clear" w:color="auto" w:fill="FFFFFF"/>
        </w:rPr>
      </w:pPr>
      <w:r>
        <w:rPr>
          <w:rFonts w:hint="eastAsia" w:asciiTheme="minorEastAsia" w:hAnsiTheme="minorEastAsia" w:eastAsiaTheme="minorEastAsia" w:cstheme="minorEastAsia"/>
          <w:b/>
          <w:sz w:val="24"/>
          <w:szCs w:val="24"/>
          <w:shd w:val="clear" w:color="auto" w:fill="FFFFFF"/>
        </w:rPr>
        <w:t>10.8.22</w:t>
      </w:r>
      <w:r>
        <w:rPr>
          <w:rFonts w:hint="eastAsia" w:asciiTheme="minorEastAsia" w:hAnsiTheme="minorEastAsia" w:eastAsiaTheme="minorEastAsia" w:cstheme="minorEastAsia"/>
          <w:sz w:val="24"/>
          <w:szCs w:val="24"/>
          <w:shd w:val="clear" w:color="auto" w:fill="FFFFFF"/>
        </w:rPr>
        <w:t>　城市绿地照明装置由户外箱式变电站供电时，配电系统的接地型式应采用 TT系统。</w:t>
      </w:r>
    </w:p>
    <w:p w14:paraId="2D07A529">
      <w:pPr>
        <w:adjustRightInd w:val="0"/>
        <w:snapToGrid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shd w:val="clear" w:color="auto" w:fill="FFFFFF"/>
        </w:rPr>
        <w:t>10.8.23</w:t>
      </w:r>
      <w:r>
        <w:rPr>
          <w:rFonts w:hint="eastAsia" w:asciiTheme="minorEastAsia" w:hAnsiTheme="minorEastAsia" w:eastAsiaTheme="minorEastAsia" w:cstheme="minorEastAsia"/>
          <w:sz w:val="24"/>
          <w:szCs w:val="24"/>
          <w:shd w:val="clear" w:color="auto" w:fill="FFFFFF"/>
        </w:rPr>
        <w:t>　当</w:t>
      </w:r>
      <w:r>
        <w:rPr>
          <w:rFonts w:hint="eastAsia" w:asciiTheme="minorEastAsia" w:hAnsiTheme="minorEastAsia" w:eastAsiaTheme="minorEastAsia" w:cstheme="minorEastAsia"/>
          <w:sz w:val="24"/>
          <w:szCs w:val="24"/>
        </w:rPr>
        <w:t>采用TT系统时，应采用多级R</w:t>
      </w:r>
      <w:r>
        <w:rPr>
          <w:rFonts w:asciiTheme="minorEastAsia" w:hAnsiTheme="minorEastAsia" w:eastAsiaTheme="minorEastAsia" w:cstheme="minorEastAsia"/>
          <w:sz w:val="24"/>
          <w:szCs w:val="24"/>
        </w:rPr>
        <w:t>CD</w:t>
      </w:r>
      <w:r>
        <w:rPr>
          <w:rFonts w:hint="eastAsia" w:asciiTheme="minorEastAsia" w:hAnsiTheme="minorEastAsia" w:eastAsiaTheme="minorEastAsia" w:cstheme="minorEastAsia"/>
          <w:sz w:val="24"/>
          <w:szCs w:val="24"/>
        </w:rPr>
        <w:t>作线路保护，上下级R</w:t>
      </w:r>
      <w:r>
        <w:rPr>
          <w:rFonts w:asciiTheme="minorEastAsia" w:hAnsiTheme="minorEastAsia" w:eastAsiaTheme="minorEastAsia" w:cstheme="minorEastAsia"/>
          <w:sz w:val="24"/>
          <w:szCs w:val="24"/>
        </w:rPr>
        <w:t>CD</w:t>
      </w:r>
      <w:r>
        <w:rPr>
          <w:rFonts w:hint="eastAsia" w:asciiTheme="minorEastAsia" w:hAnsiTheme="minorEastAsia" w:eastAsiaTheme="minorEastAsia" w:cstheme="minorEastAsia"/>
          <w:sz w:val="24"/>
          <w:szCs w:val="24"/>
        </w:rPr>
        <w:t>应具有选择性。每个电气回路应采用独立的 RCD进行保护,正常运行时,RCD下游保护导体泄漏电流总和宜小于RCD额定剩余动作电流(I△n)的0.3倍。RCD的安装和运行应符合现行国家标准《剩余电流动作保护电器的一般安全要求》GB/T 6829的有关规定。</w:t>
      </w:r>
    </w:p>
    <w:p w14:paraId="1957D8F5">
      <w:pPr>
        <w:widowControl/>
        <w:spacing w:line="360" w:lineRule="auto"/>
        <w:jc w:val="center"/>
        <w:outlineLvl w:val="2"/>
        <w:rPr>
          <w:rFonts w:ascii="仿宋" w:hAnsi="仿宋" w:eastAsia="仿宋" w:cs="仿宋"/>
          <w:b/>
          <w:bCs/>
          <w:sz w:val="28"/>
          <w:szCs w:val="28"/>
        </w:rPr>
      </w:pPr>
      <w:bookmarkStart w:id="164" w:name="_Toc25657"/>
      <w:r>
        <w:rPr>
          <w:rFonts w:hint="eastAsia" w:ascii="仿宋" w:hAnsi="仿宋" w:eastAsia="仿宋" w:cs="仿宋"/>
          <w:b/>
          <w:bCs/>
          <w:sz w:val="28"/>
          <w:szCs w:val="28"/>
        </w:rPr>
        <w:t>IV　智能化系统</w:t>
      </w:r>
      <w:bookmarkEnd w:id="164"/>
    </w:p>
    <w:p w14:paraId="5A2AF848">
      <w:pPr>
        <w:adjustRightInd w:val="0"/>
        <w:snapToGrid w:val="0"/>
        <w:spacing w:line="360" w:lineRule="auto"/>
        <w:rPr>
          <w:rFonts w:asciiTheme="minorEastAsia" w:hAnsiTheme="minorEastAsia" w:eastAsiaTheme="minorEastAsia" w:cstheme="minorEastAsia"/>
          <w:sz w:val="24"/>
          <w:szCs w:val="24"/>
          <w:shd w:val="clear" w:color="auto" w:fill="FFFFFF"/>
        </w:rPr>
      </w:pPr>
      <w:r>
        <w:rPr>
          <w:rFonts w:hint="eastAsia" w:asciiTheme="minorEastAsia" w:hAnsiTheme="minorEastAsia" w:eastAsiaTheme="minorEastAsia" w:cstheme="minorEastAsia"/>
          <w:b/>
          <w:sz w:val="24"/>
          <w:szCs w:val="24"/>
          <w:shd w:val="clear" w:color="auto" w:fill="FFFFFF"/>
        </w:rPr>
        <w:t>10.8.24</w:t>
      </w:r>
      <w:r>
        <w:rPr>
          <w:rFonts w:hint="eastAsia" w:asciiTheme="minorEastAsia" w:hAnsiTheme="minorEastAsia" w:eastAsiaTheme="minorEastAsia" w:cstheme="minorEastAsia"/>
          <w:sz w:val="24"/>
          <w:szCs w:val="24"/>
          <w:shd w:val="clear" w:color="auto" w:fill="FFFFFF"/>
        </w:rPr>
        <w:t>　应设置通信系统和无线通信覆盖系统。</w:t>
      </w:r>
    </w:p>
    <w:p w14:paraId="3D83D4B9">
      <w:pPr>
        <w:adjustRightInd w:val="0"/>
        <w:snapToGrid w:val="0"/>
        <w:spacing w:line="360" w:lineRule="auto"/>
        <w:rPr>
          <w:rFonts w:asciiTheme="minorEastAsia" w:hAnsiTheme="minorEastAsia" w:eastAsiaTheme="minorEastAsia" w:cstheme="minorEastAsia"/>
          <w:sz w:val="24"/>
          <w:szCs w:val="24"/>
          <w:shd w:val="clear" w:color="auto" w:fill="FFFFFF"/>
        </w:rPr>
      </w:pPr>
      <w:r>
        <w:rPr>
          <w:rFonts w:hint="eastAsia" w:asciiTheme="minorEastAsia" w:hAnsiTheme="minorEastAsia" w:eastAsiaTheme="minorEastAsia" w:cstheme="minorEastAsia"/>
          <w:b/>
          <w:sz w:val="24"/>
          <w:szCs w:val="24"/>
          <w:shd w:val="clear" w:color="auto" w:fill="FFFFFF"/>
        </w:rPr>
        <w:t>10.8.25</w:t>
      </w:r>
      <w:r>
        <w:rPr>
          <w:rFonts w:hint="eastAsia" w:asciiTheme="minorEastAsia" w:hAnsiTheme="minorEastAsia" w:eastAsiaTheme="minorEastAsia" w:cstheme="minorEastAsia"/>
          <w:sz w:val="24"/>
          <w:szCs w:val="24"/>
          <w:shd w:val="clear" w:color="auto" w:fill="FFFFFF"/>
        </w:rPr>
        <w:t>　宜设置安全防范系统，安全防范系统可包括视频监控系统、周界防范系统 、紧急求助报警系统；设有车辆进出控制及收费管理要求的停车库（场）时，宜设置停车库（场）管理系统。</w:t>
      </w:r>
    </w:p>
    <w:p w14:paraId="05848CA3">
      <w:pPr>
        <w:adjustRightInd w:val="0"/>
        <w:snapToGrid w:val="0"/>
        <w:spacing w:line="360" w:lineRule="auto"/>
        <w:rPr>
          <w:rFonts w:asciiTheme="minorEastAsia" w:hAnsiTheme="minorEastAsia" w:eastAsiaTheme="minorEastAsia" w:cstheme="minorEastAsia"/>
          <w:sz w:val="24"/>
          <w:szCs w:val="24"/>
          <w:shd w:val="clear" w:color="auto" w:fill="FFFFFF"/>
        </w:rPr>
      </w:pPr>
      <w:r>
        <w:rPr>
          <w:rFonts w:hint="eastAsia" w:asciiTheme="minorEastAsia" w:hAnsiTheme="minorEastAsia" w:eastAsiaTheme="minorEastAsia" w:cstheme="minorEastAsia"/>
          <w:b/>
          <w:sz w:val="24"/>
          <w:szCs w:val="24"/>
          <w:shd w:val="clear" w:color="auto" w:fill="FFFFFF"/>
        </w:rPr>
        <w:t>10.8.26</w:t>
      </w:r>
      <w:r>
        <w:rPr>
          <w:rFonts w:hint="eastAsia" w:asciiTheme="minorEastAsia" w:hAnsiTheme="minorEastAsia" w:eastAsiaTheme="minorEastAsia" w:cstheme="minorEastAsia"/>
          <w:sz w:val="24"/>
          <w:szCs w:val="24"/>
          <w:shd w:val="clear" w:color="auto" w:fill="FFFFFF"/>
        </w:rPr>
        <w:t>　供人们游憩的绿地内宜设置公共广播系统，公共广播系统可与背景音乐系统兼用。</w:t>
      </w:r>
    </w:p>
    <w:p w14:paraId="4913EB02">
      <w:pPr>
        <w:widowControl/>
        <w:adjustRightInd w:val="0"/>
        <w:snapToGrid w:val="0"/>
        <w:spacing w:line="360" w:lineRule="auto"/>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shd w:val="clear" w:color="auto" w:fill="FFFFFF"/>
        </w:rPr>
        <w:t>10.8.27</w:t>
      </w:r>
      <w:r>
        <w:rPr>
          <w:rFonts w:hint="eastAsia" w:asciiTheme="minorEastAsia" w:hAnsiTheme="minorEastAsia" w:eastAsiaTheme="minorEastAsia" w:cstheme="minorEastAsia"/>
          <w:sz w:val="24"/>
          <w:szCs w:val="24"/>
          <w:shd w:val="clear" w:color="auto" w:fill="FFFFFF"/>
        </w:rPr>
        <w:t>　游</w:t>
      </w:r>
      <w:r>
        <w:rPr>
          <w:rFonts w:hint="eastAsia" w:asciiTheme="minorEastAsia" w:hAnsiTheme="minorEastAsia" w:eastAsiaTheme="minorEastAsia" w:cstheme="minorEastAsia"/>
          <w:sz w:val="24"/>
          <w:szCs w:val="24"/>
        </w:rPr>
        <w:t>人较多的绿地主入口、主要游览道路旁、主要景点宜设置信息导引及发布系统、时钟系统。</w:t>
      </w:r>
    </w:p>
    <w:p w14:paraId="68848334">
      <w:pPr>
        <w:widowControl/>
        <w:jc w:val="left"/>
        <w:rPr>
          <w:rFonts w:asciiTheme="minorEastAsia" w:hAnsiTheme="minorEastAsia" w:eastAsiaTheme="minorEastAsia" w:cstheme="minorEastAsia"/>
          <w:b/>
          <w:kern w:val="44"/>
          <w:sz w:val="30"/>
          <w:szCs w:val="30"/>
        </w:rPr>
      </w:pPr>
      <w:r>
        <w:rPr>
          <w:rFonts w:hint="eastAsia" w:asciiTheme="minorEastAsia" w:hAnsiTheme="minorEastAsia" w:eastAsiaTheme="minorEastAsia" w:cstheme="minorEastAsia"/>
          <w:sz w:val="30"/>
          <w:szCs w:val="30"/>
        </w:rPr>
        <w:br w:type="page"/>
      </w:r>
    </w:p>
    <w:p w14:paraId="3EAA471F">
      <w:pPr>
        <w:pStyle w:val="34"/>
        <w:rPr>
          <w:sz w:val="24"/>
          <w:szCs w:val="24"/>
        </w:rPr>
      </w:pPr>
      <w:bookmarkStart w:id="165" w:name="_Toc15777"/>
      <w:bookmarkStart w:id="166" w:name="_Toc25425"/>
      <w:r>
        <w:rPr>
          <w:rFonts w:hint="eastAsia"/>
        </w:rPr>
        <w:t>本标准用词说明</w:t>
      </w:r>
      <w:bookmarkEnd w:id="165"/>
      <w:bookmarkEnd w:id="166"/>
    </w:p>
    <w:p w14:paraId="257732F3">
      <w:pPr>
        <w:widowControl/>
        <w:tabs>
          <w:tab w:val="left" w:pos="19"/>
        </w:tabs>
        <w:adjustRightInd w:val="0"/>
        <w:snapToGrid w:val="0"/>
        <w:spacing w:line="360" w:lineRule="auto"/>
        <w:ind w:firstLine="482" w:firstLineChars="200"/>
        <w:rPr>
          <w:rFonts w:cs="宋体" w:asciiTheme="minorEastAsia" w:hAnsiTheme="minorEastAsia" w:eastAsiaTheme="minorEastAsia"/>
          <w:kern w:val="0"/>
          <w:sz w:val="24"/>
        </w:rPr>
      </w:pPr>
      <w:r>
        <w:rPr>
          <w:rFonts w:hint="eastAsia" w:cs="宋体" w:asciiTheme="minorEastAsia" w:hAnsiTheme="minorEastAsia" w:eastAsiaTheme="minorEastAsia"/>
          <w:b/>
          <w:kern w:val="0"/>
          <w:sz w:val="24"/>
        </w:rPr>
        <w:t>1</w:t>
      </w:r>
      <w:r>
        <w:rPr>
          <w:rFonts w:hint="eastAsia" w:cs="宋体" w:asciiTheme="minorEastAsia" w:hAnsiTheme="minorEastAsia" w:eastAsiaTheme="minorEastAsia"/>
          <w:kern w:val="0"/>
          <w:sz w:val="24"/>
        </w:rPr>
        <w:t>　为便于在执行本标准条文时区别对待，对要求严格程度不同的用词说明如下：</w:t>
      </w:r>
    </w:p>
    <w:p w14:paraId="68EA6114">
      <w:pPr>
        <w:widowControl/>
        <w:tabs>
          <w:tab w:val="left" w:pos="19"/>
        </w:tabs>
        <w:adjustRightInd w:val="0"/>
        <w:snapToGrid w:val="0"/>
        <w:spacing w:line="360" w:lineRule="auto"/>
        <w:ind w:firstLine="723" w:firstLineChars="300"/>
        <w:rPr>
          <w:rFonts w:cs="宋体" w:asciiTheme="minorEastAsia" w:hAnsiTheme="minorEastAsia" w:eastAsiaTheme="minorEastAsia"/>
          <w:kern w:val="0"/>
          <w:sz w:val="24"/>
        </w:rPr>
      </w:pPr>
      <w:r>
        <w:rPr>
          <w:rFonts w:hint="eastAsia" w:cs="宋体" w:asciiTheme="minorEastAsia" w:hAnsiTheme="minorEastAsia" w:eastAsiaTheme="minorEastAsia"/>
          <w:b/>
          <w:kern w:val="0"/>
          <w:sz w:val="24"/>
        </w:rPr>
        <w:t>1）</w:t>
      </w:r>
      <w:r>
        <w:rPr>
          <w:rFonts w:hint="eastAsia" w:cs="宋体" w:asciiTheme="minorEastAsia" w:hAnsiTheme="minorEastAsia" w:eastAsiaTheme="minorEastAsia"/>
          <w:kern w:val="0"/>
          <w:sz w:val="24"/>
        </w:rPr>
        <w:t>表示很严格，非这样做不可的：</w:t>
      </w:r>
    </w:p>
    <w:p w14:paraId="029B1D14">
      <w:pPr>
        <w:widowControl/>
        <w:tabs>
          <w:tab w:val="left" w:pos="0"/>
        </w:tabs>
        <w:adjustRightInd w:val="0"/>
        <w:snapToGrid w:val="0"/>
        <w:spacing w:line="360" w:lineRule="auto"/>
        <w:ind w:firstLine="1080" w:firstLineChars="450"/>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正面词采用“必须”，反面词采用“严禁”；</w:t>
      </w:r>
    </w:p>
    <w:p w14:paraId="13B72F75">
      <w:pPr>
        <w:widowControl/>
        <w:tabs>
          <w:tab w:val="left" w:pos="19"/>
        </w:tabs>
        <w:adjustRightInd w:val="0"/>
        <w:snapToGrid w:val="0"/>
        <w:spacing w:line="360" w:lineRule="auto"/>
        <w:ind w:firstLine="723" w:firstLineChars="300"/>
        <w:rPr>
          <w:rFonts w:cs="宋体" w:asciiTheme="minorEastAsia" w:hAnsiTheme="minorEastAsia" w:eastAsiaTheme="minorEastAsia"/>
          <w:kern w:val="0"/>
          <w:sz w:val="24"/>
        </w:rPr>
      </w:pPr>
      <w:r>
        <w:rPr>
          <w:rFonts w:hint="eastAsia" w:cs="宋体" w:asciiTheme="minorEastAsia" w:hAnsiTheme="minorEastAsia" w:eastAsiaTheme="minorEastAsia"/>
          <w:b/>
          <w:kern w:val="0"/>
          <w:sz w:val="24"/>
        </w:rPr>
        <w:t>2）</w:t>
      </w:r>
      <w:r>
        <w:rPr>
          <w:rFonts w:hint="eastAsia" w:cs="宋体" w:asciiTheme="minorEastAsia" w:hAnsiTheme="minorEastAsia" w:eastAsiaTheme="minorEastAsia"/>
          <w:kern w:val="0"/>
          <w:sz w:val="24"/>
        </w:rPr>
        <w:t>表示严格，在正常情况下均应这样做的：</w:t>
      </w:r>
    </w:p>
    <w:p w14:paraId="75A44EE7">
      <w:pPr>
        <w:widowControl/>
        <w:tabs>
          <w:tab w:val="left" w:pos="19"/>
        </w:tabs>
        <w:adjustRightInd w:val="0"/>
        <w:snapToGrid w:val="0"/>
        <w:spacing w:line="360" w:lineRule="auto"/>
        <w:ind w:firstLine="1080" w:firstLineChars="450"/>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正面词采用“应”，反面词采用“不应”或“不得”；</w:t>
      </w:r>
    </w:p>
    <w:p w14:paraId="3B73FBFD">
      <w:pPr>
        <w:widowControl/>
        <w:tabs>
          <w:tab w:val="left" w:pos="19"/>
        </w:tabs>
        <w:adjustRightInd w:val="0"/>
        <w:snapToGrid w:val="0"/>
        <w:spacing w:line="360" w:lineRule="auto"/>
        <w:ind w:firstLine="723" w:firstLineChars="300"/>
        <w:rPr>
          <w:rFonts w:cs="宋体" w:asciiTheme="minorEastAsia" w:hAnsiTheme="minorEastAsia" w:eastAsiaTheme="minorEastAsia"/>
          <w:kern w:val="0"/>
          <w:sz w:val="24"/>
        </w:rPr>
      </w:pPr>
      <w:r>
        <w:rPr>
          <w:rFonts w:hint="eastAsia" w:cs="宋体" w:asciiTheme="minorEastAsia" w:hAnsiTheme="minorEastAsia" w:eastAsiaTheme="minorEastAsia"/>
          <w:b/>
          <w:kern w:val="0"/>
          <w:sz w:val="24"/>
        </w:rPr>
        <w:t>3）</w:t>
      </w:r>
      <w:r>
        <w:rPr>
          <w:rFonts w:hint="eastAsia" w:cs="宋体" w:asciiTheme="minorEastAsia" w:hAnsiTheme="minorEastAsia" w:eastAsiaTheme="minorEastAsia"/>
          <w:kern w:val="0"/>
          <w:sz w:val="24"/>
        </w:rPr>
        <w:t>表示允许稍有选择，在条件许可时首先应这样做的：</w:t>
      </w:r>
    </w:p>
    <w:p w14:paraId="6B96ED5A">
      <w:pPr>
        <w:widowControl/>
        <w:tabs>
          <w:tab w:val="left" w:pos="19"/>
        </w:tabs>
        <w:adjustRightInd w:val="0"/>
        <w:snapToGrid w:val="0"/>
        <w:spacing w:line="360" w:lineRule="auto"/>
        <w:ind w:firstLine="1080" w:firstLineChars="450"/>
        <w:rPr>
          <w:rFonts w:cs="宋体" w:asciiTheme="minorEastAsia" w:hAnsiTheme="minorEastAsia" w:eastAsiaTheme="minorEastAsia"/>
          <w:spacing w:val="120"/>
          <w:kern w:val="0"/>
          <w:sz w:val="24"/>
        </w:rPr>
      </w:pPr>
      <w:r>
        <w:rPr>
          <w:rFonts w:hint="eastAsia" w:cs="宋体" w:asciiTheme="minorEastAsia" w:hAnsiTheme="minorEastAsia" w:eastAsiaTheme="minorEastAsia"/>
          <w:kern w:val="0"/>
          <w:sz w:val="24"/>
        </w:rPr>
        <w:t>正面词采用“宜”，反面词采用“不宜”；</w:t>
      </w:r>
    </w:p>
    <w:p w14:paraId="181C8ABC">
      <w:pPr>
        <w:widowControl/>
        <w:tabs>
          <w:tab w:val="left" w:pos="19"/>
        </w:tabs>
        <w:adjustRightInd w:val="0"/>
        <w:snapToGrid w:val="0"/>
        <w:spacing w:line="360" w:lineRule="auto"/>
        <w:ind w:firstLine="723" w:firstLineChars="300"/>
        <w:rPr>
          <w:rFonts w:cs="宋体" w:asciiTheme="minorEastAsia" w:hAnsiTheme="minorEastAsia" w:eastAsiaTheme="minorEastAsia"/>
          <w:spacing w:val="120"/>
          <w:kern w:val="0"/>
          <w:sz w:val="24"/>
        </w:rPr>
      </w:pPr>
      <w:r>
        <w:rPr>
          <w:rFonts w:hint="eastAsia" w:cs="宋体" w:asciiTheme="minorEastAsia" w:hAnsiTheme="minorEastAsia" w:eastAsiaTheme="minorEastAsia"/>
          <w:b/>
          <w:kern w:val="0"/>
          <w:sz w:val="24"/>
        </w:rPr>
        <w:t>4）</w:t>
      </w:r>
      <w:r>
        <w:rPr>
          <w:rFonts w:hint="eastAsia" w:cs="宋体" w:asciiTheme="minorEastAsia" w:hAnsiTheme="minorEastAsia" w:eastAsiaTheme="minorEastAsia"/>
          <w:kern w:val="0"/>
          <w:sz w:val="24"/>
        </w:rPr>
        <w:t>表示有选择，在一定条件下可以这样做的，采用“可”。</w:t>
      </w:r>
    </w:p>
    <w:p w14:paraId="1A031DA6">
      <w:pPr>
        <w:widowControl/>
        <w:tabs>
          <w:tab w:val="left" w:pos="19"/>
        </w:tabs>
        <w:adjustRightInd w:val="0"/>
        <w:snapToGrid w:val="0"/>
        <w:spacing w:line="360" w:lineRule="auto"/>
        <w:ind w:firstLine="482" w:firstLineChars="200"/>
        <w:rPr>
          <w:rFonts w:cs="宋体" w:asciiTheme="minorEastAsia" w:hAnsiTheme="minorEastAsia" w:eastAsiaTheme="minorEastAsia"/>
          <w:kern w:val="0"/>
          <w:sz w:val="24"/>
        </w:rPr>
      </w:pPr>
      <w:r>
        <w:rPr>
          <w:rFonts w:hint="eastAsia" w:cs="宋体" w:asciiTheme="minorEastAsia" w:hAnsiTheme="minorEastAsia" w:eastAsiaTheme="minorEastAsia"/>
          <w:b/>
          <w:kern w:val="0"/>
          <w:sz w:val="24"/>
        </w:rPr>
        <w:t>2</w:t>
      </w:r>
      <w:r>
        <w:rPr>
          <w:rFonts w:hint="eastAsia" w:cs="宋体" w:asciiTheme="minorEastAsia" w:hAnsiTheme="minorEastAsia" w:eastAsiaTheme="minorEastAsia"/>
          <w:kern w:val="0"/>
          <w:sz w:val="24"/>
        </w:rPr>
        <w:t>　条文中指明应按其他有关标准执行的写法为：“应符合……的规定”或“应按……执行”。</w:t>
      </w:r>
    </w:p>
    <w:p w14:paraId="11C0AE12">
      <w:pPr>
        <w:widowControl/>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br w:type="page"/>
      </w:r>
    </w:p>
    <w:p w14:paraId="27E2B33F">
      <w:pPr>
        <w:pStyle w:val="34"/>
      </w:pPr>
      <w:bookmarkStart w:id="167" w:name="_Toc17580"/>
      <w:bookmarkStart w:id="168" w:name="_Toc10291"/>
      <w:r>
        <w:rPr>
          <w:rFonts w:hint="eastAsia"/>
        </w:rPr>
        <w:t>引用标准名录</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67"/>
      <w:bookmarkEnd w:id="168"/>
    </w:p>
    <w:p w14:paraId="6F4C1985">
      <w:pPr>
        <w:keepNext w:val="0"/>
        <w:keepLines w:val="0"/>
        <w:pageBreakBefore w:val="0"/>
        <w:widowControl w:val="0"/>
        <w:numPr>
          <w:ilvl w:val="0"/>
          <w:numId w:val="4"/>
        </w:numPr>
        <w:kinsoku/>
        <w:wordWrap/>
        <w:overflowPunct/>
        <w:topLinePunct w:val="0"/>
        <w:autoSpaceDE/>
        <w:autoSpaceDN/>
        <w:bidi w:val="0"/>
        <w:adjustRightInd w:val="0"/>
        <w:snapToGrid w:val="0"/>
        <w:spacing w:line="288" w:lineRule="auto"/>
        <w:ind w:left="567" w:hanging="425"/>
        <w:textAlignment w:val="auto"/>
        <w:rPr>
          <w:rFonts w:ascii="宋体" w:hAnsi="宋体" w:cs="宋体"/>
          <w:sz w:val="24"/>
          <w:szCs w:val="24"/>
        </w:rPr>
      </w:pPr>
      <w:r>
        <w:rPr>
          <w:rFonts w:hint="eastAsia" w:ascii="宋体" w:hAnsi="宋体" w:cs="宋体"/>
          <w:sz w:val="24"/>
          <w:szCs w:val="24"/>
        </w:rPr>
        <w:t>《建筑给水排水设计标准》GB 50015</w:t>
      </w:r>
    </w:p>
    <w:p w14:paraId="557BE82B">
      <w:pPr>
        <w:keepNext w:val="0"/>
        <w:keepLines w:val="0"/>
        <w:pageBreakBefore w:val="0"/>
        <w:widowControl w:val="0"/>
        <w:numPr>
          <w:ilvl w:val="0"/>
          <w:numId w:val="4"/>
        </w:numPr>
        <w:kinsoku/>
        <w:wordWrap/>
        <w:overflowPunct/>
        <w:topLinePunct w:val="0"/>
        <w:autoSpaceDE/>
        <w:autoSpaceDN/>
        <w:bidi w:val="0"/>
        <w:adjustRightInd w:val="0"/>
        <w:snapToGrid w:val="0"/>
        <w:spacing w:line="288" w:lineRule="auto"/>
        <w:ind w:left="567" w:hanging="425"/>
        <w:textAlignment w:val="auto"/>
        <w:rPr>
          <w:rFonts w:ascii="宋体" w:hAnsi="宋体" w:cs="宋体"/>
          <w:sz w:val="24"/>
          <w:szCs w:val="24"/>
        </w:rPr>
      </w:pPr>
      <w:r>
        <w:rPr>
          <w:rFonts w:hint="eastAsia" w:ascii="宋体" w:hAnsi="宋体" w:cs="宋体"/>
          <w:sz w:val="24"/>
          <w:szCs w:val="24"/>
        </w:rPr>
        <w:t>《建筑设计防火规范》GB 50016</w:t>
      </w:r>
    </w:p>
    <w:p w14:paraId="0D86A658">
      <w:pPr>
        <w:keepNext w:val="0"/>
        <w:keepLines w:val="0"/>
        <w:pageBreakBefore w:val="0"/>
        <w:widowControl w:val="0"/>
        <w:numPr>
          <w:ilvl w:val="0"/>
          <w:numId w:val="4"/>
        </w:numPr>
        <w:kinsoku/>
        <w:wordWrap/>
        <w:overflowPunct/>
        <w:topLinePunct w:val="0"/>
        <w:autoSpaceDE/>
        <w:autoSpaceDN/>
        <w:bidi w:val="0"/>
        <w:adjustRightInd w:val="0"/>
        <w:snapToGrid w:val="0"/>
        <w:spacing w:line="288" w:lineRule="auto"/>
        <w:ind w:left="567" w:hanging="425"/>
        <w:textAlignment w:val="auto"/>
        <w:rPr>
          <w:rFonts w:ascii="宋体" w:hAnsi="宋体" w:cs="宋体"/>
          <w:sz w:val="24"/>
          <w:szCs w:val="24"/>
        </w:rPr>
      </w:pPr>
      <w:r>
        <w:rPr>
          <w:rFonts w:hint="eastAsia" w:ascii="宋体" w:hAnsi="宋体" w:cs="宋体"/>
          <w:sz w:val="24"/>
          <w:szCs w:val="24"/>
        </w:rPr>
        <w:t>《建筑物防雷设计规范》GB 50057</w:t>
      </w:r>
    </w:p>
    <w:p w14:paraId="01A846F4">
      <w:pPr>
        <w:keepNext w:val="0"/>
        <w:keepLines w:val="0"/>
        <w:pageBreakBefore w:val="0"/>
        <w:widowControl w:val="0"/>
        <w:numPr>
          <w:ilvl w:val="0"/>
          <w:numId w:val="4"/>
        </w:numPr>
        <w:kinsoku/>
        <w:wordWrap/>
        <w:overflowPunct/>
        <w:topLinePunct w:val="0"/>
        <w:autoSpaceDE/>
        <w:autoSpaceDN/>
        <w:bidi w:val="0"/>
        <w:adjustRightInd w:val="0"/>
        <w:snapToGrid w:val="0"/>
        <w:spacing w:line="288" w:lineRule="auto"/>
        <w:ind w:left="567" w:hanging="425"/>
        <w:textAlignment w:val="auto"/>
        <w:rPr>
          <w:rFonts w:ascii="宋体" w:hAnsi="宋体" w:cs="宋体"/>
          <w:sz w:val="24"/>
          <w:szCs w:val="24"/>
        </w:rPr>
      </w:pPr>
      <w:r>
        <w:rPr>
          <w:rFonts w:hint="eastAsia" w:ascii="宋体" w:hAnsi="宋体" w:cs="宋体"/>
          <w:sz w:val="24"/>
          <w:szCs w:val="24"/>
        </w:rPr>
        <w:t>《汽车库、修车库、停车场设计防火规范》GB 50067</w:t>
      </w:r>
    </w:p>
    <w:p w14:paraId="2FB6AEF8">
      <w:pPr>
        <w:keepNext w:val="0"/>
        <w:keepLines w:val="0"/>
        <w:pageBreakBefore w:val="0"/>
        <w:widowControl w:val="0"/>
        <w:numPr>
          <w:ilvl w:val="0"/>
          <w:numId w:val="4"/>
        </w:numPr>
        <w:kinsoku/>
        <w:wordWrap/>
        <w:overflowPunct/>
        <w:topLinePunct w:val="0"/>
        <w:autoSpaceDE/>
        <w:autoSpaceDN/>
        <w:bidi w:val="0"/>
        <w:adjustRightInd w:val="0"/>
        <w:snapToGrid w:val="0"/>
        <w:spacing w:line="288" w:lineRule="auto"/>
        <w:ind w:left="567" w:hanging="425"/>
        <w:jc w:val="left"/>
        <w:textAlignment w:val="auto"/>
        <w:rPr>
          <w:rFonts w:ascii="宋体" w:hAnsi="宋体" w:cs="宋体"/>
          <w:sz w:val="24"/>
          <w:szCs w:val="24"/>
        </w:rPr>
      </w:pPr>
      <w:r>
        <w:rPr>
          <w:rFonts w:hint="eastAsia" w:ascii="宋体" w:hAnsi="宋体" w:cs="宋体"/>
          <w:sz w:val="24"/>
          <w:szCs w:val="24"/>
        </w:rPr>
        <w:t>《城市居住区规划设计标准》GB 50180</w:t>
      </w:r>
    </w:p>
    <w:p w14:paraId="7BCF6F50">
      <w:pPr>
        <w:keepNext w:val="0"/>
        <w:keepLines w:val="0"/>
        <w:pageBreakBefore w:val="0"/>
        <w:widowControl w:val="0"/>
        <w:numPr>
          <w:ilvl w:val="0"/>
          <w:numId w:val="4"/>
        </w:numPr>
        <w:kinsoku/>
        <w:wordWrap/>
        <w:overflowPunct/>
        <w:topLinePunct w:val="0"/>
        <w:autoSpaceDE/>
        <w:autoSpaceDN/>
        <w:bidi w:val="0"/>
        <w:adjustRightInd w:val="0"/>
        <w:snapToGrid w:val="0"/>
        <w:spacing w:line="288" w:lineRule="auto"/>
        <w:ind w:left="567" w:hanging="425"/>
        <w:textAlignment w:val="auto"/>
        <w:rPr>
          <w:rFonts w:ascii="宋体" w:hAnsi="宋体" w:cs="宋体"/>
          <w:sz w:val="24"/>
          <w:szCs w:val="24"/>
        </w:rPr>
      </w:pPr>
      <w:r>
        <w:rPr>
          <w:rFonts w:hint="eastAsia" w:ascii="宋体" w:hAnsi="宋体" w:cs="宋体"/>
          <w:sz w:val="24"/>
          <w:szCs w:val="24"/>
        </w:rPr>
        <w:t>《城市电力规划规范》GB/T 50293</w:t>
      </w:r>
    </w:p>
    <w:p w14:paraId="0E634002">
      <w:pPr>
        <w:keepNext w:val="0"/>
        <w:keepLines w:val="0"/>
        <w:pageBreakBefore w:val="0"/>
        <w:widowControl w:val="0"/>
        <w:numPr>
          <w:ilvl w:val="0"/>
          <w:numId w:val="4"/>
        </w:numPr>
        <w:kinsoku/>
        <w:wordWrap/>
        <w:overflowPunct/>
        <w:topLinePunct w:val="0"/>
        <w:autoSpaceDE/>
        <w:autoSpaceDN/>
        <w:bidi w:val="0"/>
        <w:adjustRightInd w:val="0"/>
        <w:snapToGrid w:val="0"/>
        <w:spacing w:line="288" w:lineRule="auto"/>
        <w:ind w:left="567" w:hanging="425"/>
        <w:jc w:val="left"/>
        <w:textAlignment w:val="auto"/>
        <w:rPr>
          <w:rFonts w:ascii="宋体" w:hAnsi="宋体" w:cs="宋体"/>
          <w:sz w:val="24"/>
          <w:szCs w:val="24"/>
        </w:rPr>
      </w:pPr>
      <w:r>
        <w:rPr>
          <w:rFonts w:hint="eastAsia" w:ascii="宋体" w:hAnsi="宋体" w:cs="宋体"/>
          <w:sz w:val="24"/>
          <w:szCs w:val="24"/>
        </w:rPr>
        <w:t>《建筑物电子信息系统防雷技术规范》GB 50343</w:t>
      </w:r>
    </w:p>
    <w:p w14:paraId="109B3886">
      <w:pPr>
        <w:keepNext w:val="0"/>
        <w:keepLines w:val="0"/>
        <w:pageBreakBefore w:val="0"/>
        <w:widowControl w:val="0"/>
        <w:numPr>
          <w:ilvl w:val="0"/>
          <w:numId w:val="4"/>
        </w:numPr>
        <w:kinsoku/>
        <w:wordWrap/>
        <w:overflowPunct/>
        <w:topLinePunct w:val="0"/>
        <w:autoSpaceDE/>
        <w:autoSpaceDN/>
        <w:bidi w:val="0"/>
        <w:adjustRightInd w:val="0"/>
        <w:snapToGrid w:val="0"/>
        <w:spacing w:line="288" w:lineRule="auto"/>
        <w:ind w:left="567" w:hanging="425"/>
        <w:jc w:val="left"/>
        <w:textAlignment w:val="auto"/>
        <w:rPr>
          <w:rFonts w:ascii="宋体" w:hAnsi="宋体" w:cs="宋体"/>
          <w:sz w:val="24"/>
          <w:szCs w:val="24"/>
        </w:rPr>
      </w:pPr>
      <w:r>
        <w:rPr>
          <w:rFonts w:hint="eastAsia" w:ascii="宋体" w:hAnsi="宋体" w:cs="宋体"/>
          <w:sz w:val="24"/>
          <w:szCs w:val="24"/>
        </w:rPr>
        <w:t>《民用建筑节水设计标准》GB 50555</w:t>
      </w:r>
    </w:p>
    <w:p w14:paraId="7DEED68C">
      <w:pPr>
        <w:keepNext w:val="0"/>
        <w:keepLines w:val="0"/>
        <w:pageBreakBefore w:val="0"/>
        <w:widowControl w:val="0"/>
        <w:numPr>
          <w:ilvl w:val="0"/>
          <w:numId w:val="4"/>
        </w:numPr>
        <w:kinsoku/>
        <w:wordWrap/>
        <w:overflowPunct/>
        <w:topLinePunct w:val="0"/>
        <w:autoSpaceDE/>
        <w:autoSpaceDN/>
        <w:bidi w:val="0"/>
        <w:adjustRightInd w:val="0"/>
        <w:snapToGrid w:val="0"/>
        <w:spacing w:line="288" w:lineRule="auto"/>
        <w:ind w:left="567" w:hanging="425"/>
        <w:jc w:val="left"/>
        <w:textAlignment w:val="auto"/>
        <w:rPr>
          <w:rFonts w:ascii="宋体" w:hAnsi="宋体" w:cs="宋体"/>
          <w:sz w:val="24"/>
          <w:szCs w:val="24"/>
        </w:rPr>
      </w:pPr>
      <w:r>
        <w:rPr>
          <w:rFonts w:hint="eastAsia" w:ascii="宋体" w:hAnsi="宋体" w:cs="宋体"/>
          <w:sz w:val="24"/>
          <w:szCs w:val="24"/>
        </w:rPr>
        <w:t>《无障碍设计标准》GB 50763</w:t>
      </w:r>
    </w:p>
    <w:p w14:paraId="41BAF3E9">
      <w:pPr>
        <w:keepNext w:val="0"/>
        <w:keepLines w:val="0"/>
        <w:pageBreakBefore w:val="0"/>
        <w:widowControl w:val="0"/>
        <w:numPr>
          <w:ilvl w:val="0"/>
          <w:numId w:val="4"/>
        </w:numPr>
        <w:kinsoku/>
        <w:wordWrap/>
        <w:overflowPunct/>
        <w:topLinePunct w:val="0"/>
        <w:autoSpaceDE/>
        <w:autoSpaceDN/>
        <w:bidi w:val="0"/>
        <w:adjustRightInd w:val="0"/>
        <w:snapToGrid w:val="0"/>
        <w:spacing w:line="288" w:lineRule="auto"/>
        <w:ind w:left="567" w:hanging="425"/>
        <w:jc w:val="left"/>
        <w:textAlignment w:val="auto"/>
        <w:rPr>
          <w:rFonts w:ascii="宋体" w:hAnsi="宋体" w:cs="宋体"/>
          <w:sz w:val="24"/>
          <w:szCs w:val="24"/>
        </w:rPr>
      </w:pPr>
      <w:r>
        <w:rPr>
          <w:rFonts w:hint="eastAsia" w:ascii="宋体" w:hAnsi="宋体" w:cs="宋体"/>
          <w:sz w:val="24"/>
          <w:szCs w:val="24"/>
        </w:rPr>
        <w:t>《防灾避难场所设计规范》GB 51143</w:t>
      </w:r>
    </w:p>
    <w:p w14:paraId="2BAB216E">
      <w:pPr>
        <w:keepNext w:val="0"/>
        <w:keepLines w:val="0"/>
        <w:pageBreakBefore w:val="0"/>
        <w:widowControl w:val="0"/>
        <w:numPr>
          <w:ilvl w:val="0"/>
          <w:numId w:val="4"/>
        </w:numPr>
        <w:kinsoku/>
        <w:wordWrap/>
        <w:overflowPunct/>
        <w:topLinePunct w:val="0"/>
        <w:autoSpaceDE/>
        <w:autoSpaceDN/>
        <w:bidi w:val="0"/>
        <w:adjustRightInd w:val="0"/>
        <w:snapToGrid w:val="0"/>
        <w:spacing w:line="288" w:lineRule="auto"/>
        <w:ind w:left="567" w:hanging="425"/>
        <w:textAlignment w:val="auto"/>
        <w:rPr>
          <w:rFonts w:ascii="宋体" w:hAnsi="宋体" w:cs="宋体"/>
          <w:sz w:val="24"/>
          <w:szCs w:val="24"/>
        </w:rPr>
      </w:pPr>
      <w:r>
        <w:rPr>
          <w:rFonts w:hint="eastAsia" w:ascii="宋体" w:hAnsi="宋体" w:cs="宋体"/>
          <w:sz w:val="24"/>
          <w:szCs w:val="24"/>
        </w:rPr>
        <w:t>《城市绿线划定技术规范》GB/T 51163</w:t>
      </w:r>
    </w:p>
    <w:p w14:paraId="0367827B">
      <w:pPr>
        <w:keepNext w:val="0"/>
        <w:keepLines w:val="0"/>
        <w:pageBreakBefore w:val="0"/>
        <w:widowControl w:val="0"/>
        <w:numPr>
          <w:ilvl w:val="0"/>
          <w:numId w:val="4"/>
        </w:numPr>
        <w:kinsoku/>
        <w:wordWrap/>
        <w:overflowPunct/>
        <w:topLinePunct w:val="0"/>
        <w:autoSpaceDE/>
        <w:autoSpaceDN/>
        <w:bidi w:val="0"/>
        <w:adjustRightInd w:val="0"/>
        <w:snapToGrid w:val="0"/>
        <w:spacing w:line="288" w:lineRule="auto"/>
        <w:ind w:left="567" w:hanging="425"/>
        <w:textAlignment w:val="auto"/>
        <w:rPr>
          <w:rFonts w:ascii="宋体" w:hAnsi="宋体" w:cs="宋体"/>
          <w:sz w:val="24"/>
          <w:szCs w:val="24"/>
        </w:rPr>
      </w:pPr>
      <w:r>
        <w:rPr>
          <w:rFonts w:hint="eastAsia" w:ascii="宋体" w:hAnsi="宋体" w:cs="宋体"/>
          <w:sz w:val="24"/>
          <w:szCs w:val="24"/>
        </w:rPr>
        <w:t>《公园设计规范》GB/T 51192</w:t>
      </w:r>
    </w:p>
    <w:p w14:paraId="350553C5">
      <w:pPr>
        <w:keepNext w:val="0"/>
        <w:keepLines w:val="0"/>
        <w:pageBreakBefore w:val="0"/>
        <w:widowControl w:val="0"/>
        <w:numPr>
          <w:ilvl w:val="0"/>
          <w:numId w:val="4"/>
        </w:numPr>
        <w:kinsoku/>
        <w:wordWrap/>
        <w:overflowPunct/>
        <w:topLinePunct w:val="0"/>
        <w:autoSpaceDE/>
        <w:autoSpaceDN/>
        <w:bidi w:val="0"/>
        <w:adjustRightInd w:val="0"/>
        <w:snapToGrid w:val="0"/>
        <w:spacing w:line="288" w:lineRule="auto"/>
        <w:ind w:left="567" w:hanging="425"/>
        <w:textAlignment w:val="auto"/>
        <w:rPr>
          <w:rFonts w:ascii="宋体" w:hAnsi="宋体" w:cs="宋体"/>
          <w:sz w:val="24"/>
          <w:szCs w:val="24"/>
        </w:rPr>
      </w:pPr>
      <w:r>
        <w:rPr>
          <w:rFonts w:hint="eastAsia" w:ascii="宋体" w:hAnsi="宋体" w:cs="宋体"/>
          <w:sz w:val="24"/>
          <w:szCs w:val="24"/>
        </w:rPr>
        <w:t>《城市绿地规划标准》GB/T 51346</w:t>
      </w:r>
    </w:p>
    <w:p w14:paraId="3C2BFFD5">
      <w:pPr>
        <w:keepNext w:val="0"/>
        <w:keepLines w:val="0"/>
        <w:pageBreakBefore w:val="0"/>
        <w:widowControl w:val="0"/>
        <w:numPr>
          <w:ilvl w:val="0"/>
          <w:numId w:val="4"/>
        </w:numPr>
        <w:kinsoku/>
        <w:wordWrap/>
        <w:overflowPunct/>
        <w:topLinePunct w:val="0"/>
        <w:autoSpaceDE/>
        <w:autoSpaceDN/>
        <w:bidi w:val="0"/>
        <w:adjustRightInd w:val="0"/>
        <w:snapToGrid w:val="0"/>
        <w:spacing w:line="288" w:lineRule="auto"/>
        <w:ind w:left="567" w:hanging="425"/>
        <w:jc w:val="left"/>
        <w:textAlignment w:val="auto"/>
        <w:rPr>
          <w:rFonts w:ascii="宋体" w:hAnsi="宋体" w:cs="宋体"/>
          <w:sz w:val="24"/>
          <w:szCs w:val="24"/>
        </w:rPr>
      </w:pPr>
      <w:r>
        <w:rPr>
          <w:rFonts w:hint="eastAsia" w:ascii="宋体" w:hAnsi="宋体" w:cs="宋体"/>
          <w:sz w:val="24"/>
          <w:szCs w:val="24"/>
        </w:rPr>
        <w:t>《城市道路交通工程项目规范》GB 55011</w:t>
      </w:r>
    </w:p>
    <w:p w14:paraId="7F0269CA">
      <w:pPr>
        <w:keepNext w:val="0"/>
        <w:keepLines w:val="0"/>
        <w:pageBreakBefore w:val="0"/>
        <w:widowControl w:val="0"/>
        <w:numPr>
          <w:ilvl w:val="0"/>
          <w:numId w:val="4"/>
        </w:numPr>
        <w:kinsoku/>
        <w:wordWrap/>
        <w:overflowPunct/>
        <w:topLinePunct w:val="0"/>
        <w:autoSpaceDE/>
        <w:autoSpaceDN/>
        <w:bidi w:val="0"/>
        <w:adjustRightInd w:val="0"/>
        <w:snapToGrid w:val="0"/>
        <w:spacing w:line="288" w:lineRule="auto"/>
        <w:ind w:left="567" w:hanging="425"/>
        <w:textAlignment w:val="auto"/>
        <w:rPr>
          <w:rFonts w:ascii="宋体" w:hAnsi="宋体" w:cs="宋体"/>
          <w:sz w:val="24"/>
          <w:szCs w:val="24"/>
        </w:rPr>
      </w:pPr>
      <w:r>
        <w:rPr>
          <w:rFonts w:hint="eastAsia" w:ascii="宋体" w:hAnsi="宋体" w:cs="宋体"/>
          <w:sz w:val="24"/>
          <w:szCs w:val="24"/>
        </w:rPr>
        <w:t>《园林绿化工程项目规范》GB 55014</w:t>
      </w:r>
    </w:p>
    <w:p w14:paraId="1AA15B4D">
      <w:pPr>
        <w:keepNext w:val="0"/>
        <w:keepLines w:val="0"/>
        <w:pageBreakBefore w:val="0"/>
        <w:widowControl w:val="0"/>
        <w:numPr>
          <w:ilvl w:val="0"/>
          <w:numId w:val="4"/>
        </w:numPr>
        <w:kinsoku/>
        <w:wordWrap/>
        <w:overflowPunct/>
        <w:topLinePunct w:val="0"/>
        <w:autoSpaceDE/>
        <w:autoSpaceDN/>
        <w:bidi w:val="0"/>
        <w:adjustRightInd w:val="0"/>
        <w:snapToGrid w:val="0"/>
        <w:spacing w:line="288" w:lineRule="auto"/>
        <w:ind w:left="567" w:hanging="425"/>
        <w:textAlignment w:val="auto"/>
        <w:rPr>
          <w:rFonts w:ascii="宋体" w:hAnsi="宋体" w:cs="宋体"/>
          <w:sz w:val="24"/>
          <w:szCs w:val="24"/>
        </w:rPr>
      </w:pPr>
      <w:r>
        <w:rPr>
          <w:rFonts w:hint="eastAsia" w:ascii="宋体" w:hAnsi="宋体" w:cs="宋体"/>
          <w:sz w:val="24"/>
          <w:szCs w:val="24"/>
        </w:rPr>
        <w:t>《建筑环境通用规范》GB 55016</w:t>
      </w:r>
    </w:p>
    <w:p w14:paraId="5D0C83CC">
      <w:pPr>
        <w:keepNext w:val="0"/>
        <w:keepLines w:val="0"/>
        <w:pageBreakBefore w:val="0"/>
        <w:widowControl w:val="0"/>
        <w:numPr>
          <w:ilvl w:val="0"/>
          <w:numId w:val="4"/>
        </w:numPr>
        <w:kinsoku/>
        <w:wordWrap/>
        <w:overflowPunct/>
        <w:topLinePunct w:val="0"/>
        <w:autoSpaceDE/>
        <w:autoSpaceDN/>
        <w:bidi w:val="0"/>
        <w:adjustRightInd w:val="0"/>
        <w:snapToGrid w:val="0"/>
        <w:spacing w:line="288" w:lineRule="auto"/>
        <w:ind w:left="567" w:hanging="425"/>
        <w:jc w:val="left"/>
        <w:textAlignment w:val="auto"/>
        <w:rPr>
          <w:rFonts w:ascii="宋体" w:hAnsi="宋体" w:cs="宋体"/>
          <w:sz w:val="24"/>
          <w:szCs w:val="24"/>
        </w:rPr>
      </w:pPr>
      <w:r>
        <w:rPr>
          <w:rFonts w:hint="eastAsia" w:asciiTheme="minorEastAsia" w:hAnsiTheme="minorEastAsia" w:eastAsiaTheme="minorEastAsia" w:cstheme="minorEastAsia"/>
          <w:sz w:val="24"/>
          <w:szCs w:val="24"/>
        </w:rPr>
        <w:t>《城乡历史文化保护利用项目规范》GB</w:t>
      </w:r>
      <w:r>
        <w:rPr>
          <w:rFonts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t>55035</w:t>
      </w:r>
    </w:p>
    <w:p w14:paraId="2E0C0580">
      <w:pPr>
        <w:keepNext w:val="0"/>
        <w:keepLines w:val="0"/>
        <w:pageBreakBefore w:val="0"/>
        <w:widowControl w:val="0"/>
        <w:numPr>
          <w:ilvl w:val="0"/>
          <w:numId w:val="4"/>
        </w:numPr>
        <w:kinsoku/>
        <w:wordWrap/>
        <w:overflowPunct/>
        <w:topLinePunct w:val="0"/>
        <w:autoSpaceDE/>
        <w:autoSpaceDN/>
        <w:bidi w:val="0"/>
        <w:adjustRightInd w:val="0"/>
        <w:snapToGrid w:val="0"/>
        <w:spacing w:line="288" w:lineRule="auto"/>
        <w:ind w:left="567" w:hanging="425"/>
        <w:textAlignment w:val="auto"/>
        <w:rPr>
          <w:rFonts w:ascii="宋体" w:hAnsi="宋体" w:cs="宋体"/>
          <w:sz w:val="24"/>
          <w:szCs w:val="24"/>
        </w:rPr>
      </w:pPr>
      <w:r>
        <w:rPr>
          <w:rFonts w:hint="eastAsia" w:ascii="宋体" w:hAnsi="宋体" w:cs="宋体"/>
          <w:sz w:val="24"/>
          <w:szCs w:val="24"/>
        </w:rPr>
        <w:t>《地表水环境质量标准》GB 3838</w:t>
      </w:r>
    </w:p>
    <w:p w14:paraId="1E3BDBBD">
      <w:pPr>
        <w:keepNext w:val="0"/>
        <w:keepLines w:val="0"/>
        <w:pageBreakBefore w:val="0"/>
        <w:widowControl w:val="0"/>
        <w:numPr>
          <w:ilvl w:val="0"/>
          <w:numId w:val="4"/>
        </w:numPr>
        <w:kinsoku/>
        <w:wordWrap/>
        <w:overflowPunct/>
        <w:topLinePunct w:val="0"/>
        <w:autoSpaceDE/>
        <w:autoSpaceDN/>
        <w:bidi w:val="0"/>
        <w:adjustRightInd w:val="0"/>
        <w:snapToGrid w:val="0"/>
        <w:spacing w:line="288" w:lineRule="auto"/>
        <w:ind w:left="567" w:hanging="425"/>
        <w:textAlignment w:val="auto"/>
        <w:rPr>
          <w:rFonts w:ascii="宋体" w:hAnsi="宋体" w:cs="宋体"/>
          <w:sz w:val="24"/>
          <w:szCs w:val="24"/>
        </w:rPr>
      </w:pPr>
      <w:r>
        <w:rPr>
          <w:rFonts w:hint="eastAsia" w:ascii="宋体" w:hAnsi="宋体" w:cs="宋体"/>
          <w:sz w:val="24"/>
          <w:szCs w:val="24"/>
        </w:rPr>
        <w:t>《生活饮用水卫生标准》GB 5749</w:t>
      </w:r>
    </w:p>
    <w:p w14:paraId="0DDCA358">
      <w:pPr>
        <w:keepNext w:val="0"/>
        <w:keepLines w:val="0"/>
        <w:pageBreakBefore w:val="0"/>
        <w:widowControl w:val="0"/>
        <w:numPr>
          <w:ilvl w:val="0"/>
          <w:numId w:val="4"/>
        </w:numPr>
        <w:kinsoku/>
        <w:wordWrap/>
        <w:overflowPunct/>
        <w:topLinePunct w:val="0"/>
        <w:autoSpaceDE/>
        <w:autoSpaceDN/>
        <w:bidi w:val="0"/>
        <w:adjustRightInd w:val="0"/>
        <w:snapToGrid w:val="0"/>
        <w:spacing w:line="288" w:lineRule="auto"/>
        <w:ind w:left="567" w:hanging="425"/>
        <w:textAlignment w:val="auto"/>
        <w:rPr>
          <w:rFonts w:ascii="宋体" w:hAnsi="宋体" w:cs="宋体"/>
          <w:sz w:val="24"/>
          <w:szCs w:val="24"/>
        </w:rPr>
      </w:pPr>
      <w:r>
        <w:rPr>
          <w:rFonts w:hint="eastAsia" w:ascii="宋体" w:hAnsi="宋体" w:cs="宋体"/>
          <w:sz w:val="24"/>
          <w:szCs w:val="24"/>
        </w:rPr>
        <w:t>《剩余电流动作保护电器的一般安全要求》GB/T 6829</w:t>
      </w:r>
    </w:p>
    <w:p w14:paraId="7969AC23">
      <w:pPr>
        <w:keepNext w:val="0"/>
        <w:keepLines w:val="0"/>
        <w:pageBreakBefore w:val="0"/>
        <w:widowControl w:val="0"/>
        <w:numPr>
          <w:ilvl w:val="0"/>
          <w:numId w:val="4"/>
        </w:numPr>
        <w:kinsoku/>
        <w:wordWrap/>
        <w:overflowPunct/>
        <w:topLinePunct w:val="0"/>
        <w:autoSpaceDE/>
        <w:autoSpaceDN/>
        <w:bidi w:val="0"/>
        <w:adjustRightInd w:val="0"/>
        <w:snapToGrid w:val="0"/>
        <w:spacing w:line="288" w:lineRule="auto"/>
        <w:ind w:left="567" w:hanging="425"/>
        <w:textAlignment w:val="auto"/>
        <w:rPr>
          <w:rFonts w:ascii="宋体" w:hAnsi="宋体" w:cs="宋体"/>
          <w:sz w:val="24"/>
          <w:szCs w:val="24"/>
        </w:rPr>
      </w:pPr>
      <w:r>
        <w:rPr>
          <w:rFonts w:hint="eastAsia" w:ascii="宋体" w:hAnsi="宋体" w:cs="宋体"/>
          <w:sz w:val="24"/>
          <w:szCs w:val="24"/>
        </w:rPr>
        <w:t>《城镇污水处理厂污染物排放标准》GB 18918</w:t>
      </w:r>
    </w:p>
    <w:p w14:paraId="7E1278D2">
      <w:pPr>
        <w:keepNext w:val="0"/>
        <w:keepLines w:val="0"/>
        <w:pageBreakBefore w:val="0"/>
        <w:widowControl w:val="0"/>
        <w:numPr>
          <w:ilvl w:val="0"/>
          <w:numId w:val="4"/>
        </w:numPr>
        <w:kinsoku/>
        <w:wordWrap/>
        <w:overflowPunct/>
        <w:topLinePunct w:val="0"/>
        <w:autoSpaceDE/>
        <w:autoSpaceDN/>
        <w:bidi w:val="0"/>
        <w:adjustRightInd w:val="0"/>
        <w:snapToGrid w:val="0"/>
        <w:spacing w:line="288" w:lineRule="auto"/>
        <w:ind w:left="567" w:hanging="425"/>
        <w:textAlignment w:val="auto"/>
        <w:rPr>
          <w:rFonts w:ascii="宋体" w:hAnsi="宋体" w:cs="宋体"/>
          <w:sz w:val="24"/>
          <w:szCs w:val="24"/>
        </w:rPr>
      </w:pPr>
      <w:r>
        <w:rPr>
          <w:rFonts w:hint="eastAsia" w:ascii="宋体" w:hAnsi="宋体" w:cs="宋体"/>
          <w:sz w:val="24"/>
          <w:szCs w:val="24"/>
        </w:rPr>
        <w:t>《城市污水再生利用 城市杂用水水质》GB/T 18920</w:t>
      </w:r>
    </w:p>
    <w:p w14:paraId="25B2010F">
      <w:pPr>
        <w:keepNext w:val="0"/>
        <w:keepLines w:val="0"/>
        <w:pageBreakBefore w:val="0"/>
        <w:widowControl w:val="0"/>
        <w:numPr>
          <w:ilvl w:val="0"/>
          <w:numId w:val="4"/>
        </w:numPr>
        <w:kinsoku/>
        <w:wordWrap/>
        <w:overflowPunct/>
        <w:topLinePunct w:val="0"/>
        <w:autoSpaceDE/>
        <w:autoSpaceDN/>
        <w:bidi w:val="0"/>
        <w:adjustRightInd w:val="0"/>
        <w:snapToGrid w:val="0"/>
        <w:spacing w:line="288" w:lineRule="auto"/>
        <w:ind w:left="567" w:hanging="425"/>
        <w:textAlignment w:val="auto"/>
        <w:rPr>
          <w:rFonts w:ascii="宋体" w:hAnsi="宋体" w:cs="宋体"/>
          <w:sz w:val="24"/>
          <w:szCs w:val="24"/>
        </w:rPr>
      </w:pPr>
      <w:r>
        <w:rPr>
          <w:rFonts w:hint="eastAsia" w:ascii="宋体" w:hAnsi="宋体" w:cs="宋体"/>
          <w:sz w:val="24"/>
          <w:szCs w:val="24"/>
        </w:rPr>
        <w:t>《城市污水再生利用 景观环境用水水质》GB/T 18921</w:t>
      </w:r>
    </w:p>
    <w:p w14:paraId="3DAFD65E">
      <w:pPr>
        <w:keepNext w:val="0"/>
        <w:keepLines w:val="0"/>
        <w:pageBreakBefore w:val="0"/>
        <w:widowControl w:val="0"/>
        <w:numPr>
          <w:ilvl w:val="0"/>
          <w:numId w:val="4"/>
        </w:numPr>
        <w:kinsoku/>
        <w:wordWrap/>
        <w:overflowPunct/>
        <w:topLinePunct w:val="0"/>
        <w:autoSpaceDE/>
        <w:autoSpaceDN/>
        <w:bidi w:val="0"/>
        <w:adjustRightInd w:val="0"/>
        <w:snapToGrid w:val="0"/>
        <w:spacing w:line="288" w:lineRule="auto"/>
        <w:ind w:left="567" w:hanging="425"/>
        <w:textAlignment w:val="auto"/>
        <w:rPr>
          <w:rFonts w:ascii="宋体" w:hAnsi="宋体" w:cs="宋体"/>
          <w:sz w:val="24"/>
          <w:szCs w:val="24"/>
        </w:rPr>
      </w:pPr>
      <w:r>
        <w:rPr>
          <w:rFonts w:hint="eastAsia" w:ascii="宋体" w:hAnsi="宋体" w:cs="宋体"/>
          <w:sz w:val="24"/>
          <w:szCs w:val="24"/>
        </w:rPr>
        <w:t>《城市道路绿化设计标准》CJJ/T</w:t>
      </w:r>
      <w:r>
        <w:rPr>
          <w:rFonts w:ascii="宋体" w:hAnsi="宋体" w:cs="宋体"/>
          <w:sz w:val="24"/>
          <w:szCs w:val="24"/>
        </w:rPr>
        <w:t xml:space="preserve"> </w:t>
      </w:r>
      <w:r>
        <w:rPr>
          <w:rFonts w:hint="eastAsia" w:ascii="宋体" w:hAnsi="宋体" w:cs="宋体"/>
          <w:sz w:val="24"/>
          <w:szCs w:val="24"/>
        </w:rPr>
        <w:t>75</w:t>
      </w:r>
    </w:p>
    <w:p w14:paraId="57ACBDFB">
      <w:pPr>
        <w:keepNext w:val="0"/>
        <w:keepLines w:val="0"/>
        <w:pageBreakBefore w:val="0"/>
        <w:widowControl w:val="0"/>
        <w:numPr>
          <w:ilvl w:val="0"/>
          <w:numId w:val="4"/>
        </w:numPr>
        <w:kinsoku/>
        <w:wordWrap/>
        <w:overflowPunct/>
        <w:topLinePunct w:val="0"/>
        <w:autoSpaceDE/>
        <w:autoSpaceDN/>
        <w:bidi w:val="0"/>
        <w:adjustRightInd w:val="0"/>
        <w:snapToGrid w:val="0"/>
        <w:spacing w:line="288" w:lineRule="auto"/>
        <w:ind w:left="567" w:hanging="425"/>
        <w:textAlignment w:val="auto"/>
        <w:rPr>
          <w:rFonts w:ascii="宋体" w:hAnsi="宋体" w:cs="宋体"/>
          <w:sz w:val="24"/>
          <w:szCs w:val="24"/>
        </w:rPr>
      </w:pPr>
      <w:r>
        <w:rPr>
          <w:rFonts w:hint="eastAsia" w:ascii="宋体" w:hAnsi="宋体" w:cs="宋体"/>
          <w:sz w:val="24"/>
          <w:szCs w:val="24"/>
        </w:rPr>
        <w:t>《动物园设计规范》CJJ 267</w:t>
      </w:r>
    </w:p>
    <w:p w14:paraId="5AD77C1E">
      <w:pPr>
        <w:keepNext w:val="0"/>
        <w:keepLines w:val="0"/>
        <w:pageBreakBefore w:val="0"/>
        <w:widowControl w:val="0"/>
        <w:numPr>
          <w:ilvl w:val="0"/>
          <w:numId w:val="4"/>
        </w:numPr>
        <w:kinsoku/>
        <w:wordWrap/>
        <w:overflowPunct/>
        <w:topLinePunct w:val="0"/>
        <w:autoSpaceDE/>
        <w:autoSpaceDN/>
        <w:bidi w:val="0"/>
        <w:adjustRightInd w:val="0"/>
        <w:snapToGrid w:val="0"/>
        <w:spacing w:line="288" w:lineRule="auto"/>
        <w:ind w:left="567" w:hanging="425"/>
        <w:textAlignment w:val="auto"/>
        <w:rPr>
          <w:rFonts w:ascii="宋体" w:hAnsi="宋体" w:cs="宋体"/>
          <w:sz w:val="24"/>
          <w:szCs w:val="24"/>
        </w:rPr>
      </w:pPr>
      <w:r>
        <w:rPr>
          <w:rFonts w:hint="eastAsia" w:ascii="宋体" w:hAnsi="宋体" w:cs="宋体"/>
          <w:sz w:val="24"/>
          <w:szCs w:val="24"/>
        </w:rPr>
        <w:t>《居住绿地设计标准》CJJ/T</w:t>
      </w:r>
      <w:r>
        <w:rPr>
          <w:rFonts w:ascii="宋体" w:hAnsi="宋体" w:cs="宋体"/>
          <w:sz w:val="24"/>
          <w:szCs w:val="24"/>
        </w:rPr>
        <w:t xml:space="preserve"> </w:t>
      </w:r>
      <w:r>
        <w:rPr>
          <w:rFonts w:hint="eastAsia" w:ascii="宋体" w:hAnsi="宋体" w:cs="宋体"/>
          <w:sz w:val="24"/>
          <w:szCs w:val="24"/>
        </w:rPr>
        <w:t>294</w:t>
      </w:r>
    </w:p>
    <w:p w14:paraId="17C17932">
      <w:pPr>
        <w:keepNext w:val="0"/>
        <w:keepLines w:val="0"/>
        <w:pageBreakBefore w:val="0"/>
        <w:widowControl w:val="0"/>
        <w:numPr>
          <w:ilvl w:val="0"/>
          <w:numId w:val="4"/>
        </w:numPr>
        <w:kinsoku/>
        <w:wordWrap/>
        <w:overflowPunct/>
        <w:topLinePunct w:val="0"/>
        <w:autoSpaceDE/>
        <w:autoSpaceDN/>
        <w:bidi w:val="0"/>
        <w:adjustRightInd w:val="0"/>
        <w:snapToGrid w:val="0"/>
        <w:spacing w:line="288" w:lineRule="auto"/>
        <w:ind w:left="567" w:hanging="425"/>
        <w:textAlignment w:val="auto"/>
        <w:rPr>
          <w:rFonts w:ascii="宋体" w:hAnsi="宋体" w:cs="宋体"/>
          <w:sz w:val="24"/>
          <w:szCs w:val="24"/>
        </w:rPr>
      </w:pPr>
      <w:r>
        <w:rPr>
          <w:rFonts w:hint="eastAsia" w:ascii="宋体" w:hAnsi="宋体" w:cs="宋体"/>
          <w:sz w:val="24"/>
          <w:szCs w:val="24"/>
        </w:rPr>
        <w:t>《植物园设计标准》CJJ/T</w:t>
      </w:r>
      <w:r>
        <w:rPr>
          <w:rFonts w:ascii="宋体" w:hAnsi="宋体" w:cs="宋体"/>
          <w:sz w:val="24"/>
          <w:szCs w:val="24"/>
        </w:rPr>
        <w:t xml:space="preserve"> </w:t>
      </w:r>
      <w:r>
        <w:rPr>
          <w:rFonts w:hint="eastAsia" w:ascii="宋体" w:hAnsi="宋体" w:cs="宋体"/>
          <w:sz w:val="24"/>
          <w:szCs w:val="24"/>
        </w:rPr>
        <w:t>300</w:t>
      </w:r>
    </w:p>
    <w:p w14:paraId="03F20DCA">
      <w:pPr>
        <w:keepNext w:val="0"/>
        <w:keepLines w:val="0"/>
        <w:pageBreakBefore w:val="0"/>
        <w:widowControl w:val="0"/>
        <w:numPr>
          <w:ilvl w:val="0"/>
          <w:numId w:val="4"/>
        </w:numPr>
        <w:kinsoku/>
        <w:wordWrap/>
        <w:overflowPunct/>
        <w:topLinePunct w:val="0"/>
        <w:autoSpaceDE/>
        <w:autoSpaceDN/>
        <w:bidi w:val="0"/>
        <w:adjustRightInd w:val="0"/>
        <w:snapToGrid w:val="0"/>
        <w:spacing w:line="288" w:lineRule="auto"/>
        <w:ind w:left="567" w:hanging="425"/>
        <w:textAlignment w:val="auto"/>
        <w:rPr>
          <w:rFonts w:ascii="宋体" w:hAnsi="宋体" w:cs="宋体"/>
          <w:sz w:val="24"/>
          <w:szCs w:val="24"/>
        </w:rPr>
      </w:pPr>
      <w:r>
        <w:rPr>
          <w:rFonts w:hint="eastAsia" w:asciiTheme="minorEastAsia" w:hAnsiTheme="minorEastAsia" w:eastAsiaTheme="minorEastAsia" w:cstheme="minorEastAsia"/>
          <w:sz w:val="24"/>
          <w:szCs w:val="24"/>
        </w:rPr>
        <w:t>《城镇绿道工程技术标准》CJJ/T</w:t>
      </w:r>
      <w:r>
        <w:rPr>
          <w:rFonts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t>304</w:t>
      </w:r>
    </w:p>
    <w:p w14:paraId="74533506">
      <w:pPr>
        <w:keepNext w:val="0"/>
        <w:keepLines w:val="0"/>
        <w:pageBreakBefore w:val="0"/>
        <w:widowControl w:val="0"/>
        <w:numPr>
          <w:ilvl w:val="0"/>
          <w:numId w:val="4"/>
        </w:numPr>
        <w:kinsoku/>
        <w:wordWrap/>
        <w:overflowPunct/>
        <w:topLinePunct w:val="0"/>
        <w:autoSpaceDE/>
        <w:autoSpaceDN/>
        <w:bidi w:val="0"/>
        <w:adjustRightInd w:val="0"/>
        <w:snapToGrid w:val="0"/>
        <w:spacing w:line="288" w:lineRule="auto"/>
        <w:ind w:left="567" w:hanging="425"/>
        <w:jc w:val="left"/>
        <w:textAlignment w:val="auto"/>
        <w:rPr>
          <w:rFonts w:ascii="宋体" w:hAnsi="宋体" w:cs="宋体"/>
          <w:sz w:val="24"/>
          <w:szCs w:val="24"/>
        </w:rPr>
      </w:pPr>
      <w:r>
        <w:rPr>
          <w:rFonts w:hint="eastAsia" w:ascii="宋体" w:hAnsi="宋体" w:cs="宋体"/>
          <w:sz w:val="24"/>
          <w:szCs w:val="24"/>
        </w:rPr>
        <w:t>《湿地公园设计标准》CJJ/T</w:t>
      </w:r>
      <w:r>
        <w:rPr>
          <w:rFonts w:ascii="宋体" w:hAnsi="宋体" w:cs="宋体"/>
          <w:sz w:val="24"/>
          <w:szCs w:val="24"/>
        </w:rPr>
        <w:t xml:space="preserve"> </w:t>
      </w:r>
      <w:r>
        <w:rPr>
          <w:rFonts w:hint="eastAsia" w:ascii="宋体" w:hAnsi="宋体" w:cs="宋体"/>
          <w:sz w:val="24"/>
          <w:szCs w:val="24"/>
        </w:rPr>
        <w:t>308</w:t>
      </w:r>
    </w:p>
    <w:p w14:paraId="4BD062CC">
      <w:pPr>
        <w:keepNext w:val="0"/>
        <w:keepLines w:val="0"/>
        <w:pageBreakBefore w:val="0"/>
        <w:widowControl w:val="0"/>
        <w:numPr>
          <w:ilvl w:val="0"/>
          <w:numId w:val="4"/>
        </w:numPr>
        <w:kinsoku/>
        <w:wordWrap/>
        <w:overflowPunct/>
        <w:topLinePunct w:val="0"/>
        <w:autoSpaceDE/>
        <w:autoSpaceDN/>
        <w:bidi w:val="0"/>
        <w:adjustRightInd w:val="0"/>
        <w:snapToGrid w:val="0"/>
        <w:spacing w:line="288" w:lineRule="auto"/>
        <w:ind w:left="567" w:hanging="425"/>
        <w:jc w:val="left"/>
        <w:textAlignment w:val="auto"/>
        <w:rPr>
          <w:rFonts w:ascii="宋体" w:hAnsi="宋体" w:cs="宋体"/>
          <w:sz w:val="24"/>
          <w:szCs w:val="24"/>
        </w:rPr>
      </w:pPr>
      <w:r>
        <w:rPr>
          <w:rFonts w:hint="eastAsia" w:ascii="宋体" w:hAnsi="宋体" w:cs="宋体"/>
          <w:sz w:val="24"/>
          <w:szCs w:val="24"/>
        </w:rPr>
        <w:t>《绿化种植土壤》CJ/T</w:t>
      </w:r>
      <w:r>
        <w:rPr>
          <w:rFonts w:ascii="宋体" w:hAnsi="宋体" w:cs="宋体"/>
          <w:sz w:val="24"/>
          <w:szCs w:val="24"/>
        </w:rPr>
        <w:t xml:space="preserve"> </w:t>
      </w:r>
      <w:r>
        <w:rPr>
          <w:rFonts w:hint="eastAsia" w:ascii="宋体" w:hAnsi="宋体" w:cs="宋体"/>
          <w:sz w:val="24"/>
          <w:szCs w:val="24"/>
        </w:rPr>
        <w:t>340</w:t>
      </w:r>
      <w:bookmarkEnd w:id="3"/>
      <w:bookmarkEnd w:id="68"/>
    </w:p>
    <w:sectPr>
      <w:footerReference r:id="rId5"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Segoe UI">
    <w:panose1 w:val="020B0502040204020203"/>
    <w:charset w:val="00"/>
    <w:family w:val="swiss"/>
    <w:pitch w:val="default"/>
    <w:sig w:usb0="E4002EFF" w:usb1="C000E47F"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B45EC">
    <w:pPr>
      <w:pStyle w:val="15"/>
    </w:pPr>
    <w:r>
      <mc:AlternateContent>
        <mc:Choice Requires="wps">
          <w:drawing>
            <wp:anchor distT="0" distB="0" distL="0" distR="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DF79A30">
                          <w:pPr>
                            <w:pStyle w:val="15"/>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uXW5UtAAAAAFAQAADwAAAAAAAAABACAAAAAiAAAAZHJzL2Rvd25yZXYueG1s&#10;UEsBAhQAFAAAAAgAh07iQP+sMrHHAQAAjwMAAA4AAAAAAAAAAQAgAAAAHwEAAGRycy9lMm9Eb2Mu&#10;eG1sUEsFBgAAAAAGAAYAWQEAAFgFAAAAAA==&#10;">
              <v:fill on="f" focussize="0,0"/>
              <v:stroke on="f"/>
              <v:imagedata o:title=""/>
              <o:lock v:ext="edit" aspectratio="f"/>
              <v:textbox inset="0mm,0mm,0mm,0mm" style="mso-fit-shape-to-text:t;">
                <w:txbxContent>
                  <w:p w14:paraId="7DF79A30">
                    <w:pPr>
                      <w:pStyle w:val="15"/>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90355">
    <w:pPr>
      <w:pStyle w:val="15"/>
    </w:pPr>
    <w:r>
      <mc:AlternateContent>
        <mc:Choice Requires="wps">
          <w:drawing>
            <wp:anchor distT="0" distB="0" distL="0" distR="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0C5F2AF2">
                          <w:pPr>
                            <w:pStyle w:val="15"/>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uXW5UtAAAAAFAQAADwAAAAAAAAABACAAAAAiAAAAZHJzL2Rvd25yZXYueG1s&#10;UEsBAhQAFAAAAAgAh07iQDfGTabHAQAAjwMAAA4AAAAAAAAAAQAgAAAAHwEAAGRycy9lMm9Eb2Mu&#10;eG1sUEsFBgAAAAAGAAYAWQEAAFgFAAAAAA==&#10;">
              <v:fill on="f" focussize="0,0"/>
              <v:stroke on="f"/>
              <v:imagedata o:title=""/>
              <o:lock v:ext="edit" aspectratio="f"/>
              <v:textbox inset="0mm,0mm,0mm,0mm" style="mso-fit-shape-to-text:t;">
                <w:txbxContent>
                  <w:p w14:paraId="0C5F2AF2">
                    <w:pPr>
                      <w:pStyle w:val="15"/>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CA949">
    <w:pPr>
      <w:pStyle w:val="15"/>
    </w:pPr>
    <w:r>
      <mc:AlternateContent>
        <mc:Choice Requires="wps">
          <w:drawing>
            <wp:anchor distT="0" distB="0" distL="0" distR="0" simplePos="0" relativeHeight="251663360" behindDoc="0" locked="0" layoutInCell="1" allowOverlap="1">
              <wp:simplePos x="0" y="0"/>
              <wp:positionH relativeFrom="margin">
                <wp:posOffset>2612390</wp:posOffset>
              </wp:positionH>
              <wp:positionV relativeFrom="paragraph">
                <wp:posOffset>5080</wp:posOffset>
              </wp:positionV>
              <wp:extent cx="391795" cy="1828800"/>
              <wp:effectExtent l="0" t="0" r="0" b="0"/>
              <wp:wrapNone/>
              <wp:docPr id="7" name="文本框 1"/>
              <wp:cNvGraphicFramePr/>
              <a:graphic xmlns:a="http://schemas.openxmlformats.org/drawingml/2006/main">
                <a:graphicData uri="http://schemas.microsoft.com/office/word/2010/wordprocessingShape">
                  <wps:wsp>
                    <wps:cNvSpPr/>
                    <wps:spPr>
                      <a:xfrm>
                        <a:off x="0" y="0"/>
                        <a:ext cx="391886" cy="1828800"/>
                      </a:xfrm>
                      <a:prstGeom prst="rect">
                        <a:avLst/>
                      </a:prstGeom>
                      <a:ln>
                        <a:noFill/>
                      </a:ln>
                    </wps:spPr>
                    <wps:txbx>
                      <w:txbxContent>
                        <w:p w14:paraId="0E6C2CF6">
                          <w:pPr>
                            <w:pStyle w:val="15"/>
                          </w:pPr>
                          <w:r>
                            <w:fldChar w:fldCharType="begin"/>
                          </w:r>
                          <w:r>
                            <w:instrText xml:space="preserve"> PAGE  \* MERGEFORMAT </w:instrText>
                          </w:r>
                          <w:r>
                            <w:fldChar w:fldCharType="separate"/>
                          </w:r>
                          <w:r>
                            <w:t>1</w:t>
                          </w:r>
                          <w:r>
                            <w:fldChar w:fldCharType="end"/>
                          </w:r>
                        </w:p>
                      </w:txbxContent>
                    </wps:txbx>
                    <wps:bodyPr vert="horz" wrap="square" lIns="0" tIns="0" rIns="0" bIns="0" anchor="t">
                      <a:spAutoFit/>
                    </wps:bodyPr>
                  </wps:wsp>
                </a:graphicData>
              </a:graphic>
            </wp:anchor>
          </w:drawing>
        </mc:Choice>
        <mc:Fallback>
          <w:pict>
            <v:rect id="文本框 1" o:spid="_x0000_s1026" o:spt="1" style="position:absolute;left:0pt;margin-left:205.7pt;margin-top:0.4pt;height:144pt;width:30.85pt;mso-position-horizontal-relative:margin;z-index:251663360;mso-width-relative:page;mso-height-relative:page;" filled="f" stroked="f" coordsize="21600,21600" o:gfxdata="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O8xpM1wAAAAgBAAAPAAAAAAAAAAEAIAAAACIAAABk&#10;cnMvZG93bnJldi54bWxQSwECFAAUAAAACACHTuJAKEqn484BAACQAwAADgAAAAAAAAABACAAAAAm&#10;AQAAZHJzL2Uyb0RvYy54bWxQSwUGAAAAAAYABgBZAQAAZgUAAAAA&#10;">
              <v:fill on="f" focussize="0,0"/>
              <v:stroke on="f"/>
              <v:imagedata o:title=""/>
              <o:lock v:ext="edit" aspectratio="f"/>
              <v:textbox inset="0mm,0mm,0mm,0mm" style="mso-fit-shape-to-text:t;">
                <w:txbxContent>
                  <w:p w14:paraId="0E6C2CF6">
                    <w:pPr>
                      <w:pStyle w:val="15"/>
                    </w:pPr>
                    <w:r>
                      <w:fldChar w:fldCharType="begin"/>
                    </w:r>
                    <w:r>
                      <w:instrText xml:space="preserve"> PAGE  \* MERGEFORMAT </w:instrText>
                    </w:r>
                    <w:r>
                      <w:fldChar w:fldCharType="separate"/>
                    </w:r>
                    <w:r>
                      <w:t>1</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F652A8"/>
    <w:multiLevelType w:val="multilevel"/>
    <w:tmpl w:val="02F652A8"/>
    <w:lvl w:ilvl="0" w:tentative="0">
      <w:start w:val="1"/>
      <w:numFmt w:val="decimal"/>
      <w:lvlText w:val="%1"/>
      <w:lvlJc w:val="left"/>
      <w:pPr>
        <w:ind w:left="525" w:hanging="525"/>
      </w:pPr>
      <w:rPr>
        <w:rFonts w:hint="default"/>
      </w:rPr>
    </w:lvl>
    <w:lvl w:ilvl="1" w:tentative="0">
      <w:start w:val="0"/>
      <w:numFmt w:val="decimal"/>
      <w:lvlText w:val="%1.%2"/>
      <w:lvlJc w:val="left"/>
      <w:pPr>
        <w:ind w:left="4495" w:hanging="525"/>
      </w:pPr>
      <w:rPr>
        <w:rFonts w:hint="default"/>
        <w:sz w:val="21"/>
        <w:szCs w:val="21"/>
      </w:rPr>
    </w:lvl>
    <w:lvl w:ilvl="2" w:tentative="0">
      <w:start w:val="1"/>
      <w:numFmt w:val="decimal"/>
      <w:pStyle w:val="7"/>
      <w:lvlText w:val="%1.%2.%3"/>
      <w:lvlJc w:val="left"/>
      <w:pPr>
        <w:ind w:left="568" w:firstLine="0"/>
      </w:pPr>
      <w:rPr>
        <w:rFonts w:hint="default" w:ascii="Times New Roman" w:hAnsi="Times New Roman" w:eastAsia="黑体" w:cs="Times New Roman"/>
        <w:b/>
        <w:sz w:val="28"/>
        <w:szCs w:val="21"/>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1800" w:hanging="1800"/>
      </w:pPr>
      <w:rPr>
        <w:rFonts w:hint="default"/>
      </w:rPr>
    </w:lvl>
  </w:abstractNum>
  <w:abstractNum w:abstractNumId="1">
    <w:nsid w:val="603A3AC0"/>
    <w:multiLevelType w:val="singleLevel"/>
    <w:tmpl w:val="603A3AC0"/>
    <w:lvl w:ilvl="0" w:tentative="0">
      <w:start w:val="1"/>
      <w:numFmt w:val="decimal"/>
      <w:lvlText w:val="%1"/>
      <w:lvlJc w:val="left"/>
      <w:pPr>
        <w:ind w:left="567" w:hanging="425"/>
      </w:pPr>
      <w:rPr>
        <w:rFonts w:hint="default"/>
        <w:b/>
      </w:rPr>
    </w:lvl>
  </w:abstractNum>
  <w:abstractNum w:abstractNumId="2">
    <w:nsid w:val="678D680B"/>
    <w:multiLevelType w:val="singleLevel"/>
    <w:tmpl w:val="678D680B"/>
    <w:lvl w:ilvl="0" w:tentative="0">
      <w:start w:val="8"/>
      <w:numFmt w:val="decimal"/>
      <w:suff w:val="nothing"/>
      <w:lvlText w:val="%1　"/>
      <w:lvlJc w:val="left"/>
    </w:lvl>
  </w:abstractNum>
  <w:abstractNum w:abstractNumId="3">
    <w:nsid w:val="6CEA2025"/>
    <w:multiLevelType w:val="multilevel"/>
    <w:tmpl w:val="6CEA2025"/>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pStyle w:val="9"/>
      <w:suff w:val="nothing"/>
      <w:lvlText w:val="%1%2　"/>
      <w:lvlJc w:val="left"/>
      <w:pPr>
        <w:ind w:left="105" w:firstLine="0"/>
      </w:pPr>
      <w:rPr>
        <w:rFonts w:hint="eastAsia" w:ascii="黑体" w:hAnsi="Times New Roman" w:eastAsia="黑体"/>
        <w:b w:val="0"/>
        <w:i w:val="0"/>
        <w:sz w:val="21"/>
      </w:rPr>
    </w:lvl>
    <w:lvl w:ilvl="2" w:tentative="0">
      <w:start w:val="1"/>
      <w:numFmt w:val="decimal"/>
      <w:pStyle w:val="8"/>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142" w:firstLine="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Cs w:val="0"/>
        <w:u w:val="none"/>
        <w:vertAlign w:val="baseline"/>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137"/>
    <w:rsid w:val="00000490"/>
    <w:rsid w:val="000023F3"/>
    <w:rsid w:val="00002C66"/>
    <w:rsid w:val="00002D36"/>
    <w:rsid w:val="000060C7"/>
    <w:rsid w:val="000069CA"/>
    <w:rsid w:val="00006BD7"/>
    <w:rsid w:val="000078F5"/>
    <w:rsid w:val="000103DA"/>
    <w:rsid w:val="00010E24"/>
    <w:rsid w:val="00012CB8"/>
    <w:rsid w:val="000140B2"/>
    <w:rsid w:val="000157BB"/>
    <w:rsid w:val="00017795"/>
    <w:rsid w:val="000207D9"/>
    <w:rsid w:val="00021943"/>
    <w:rsid w:val="00021C52"/>
    <w:rsid w:val="0002264D"/>
    <w:rsid w:val="0002428E"/>
    <w:rsid w:val="00024E06"/>
    <w:rsid w:val="00027295"/>
    <w:rsid w:val="00030F08"/>
    <w:rsid w:val="00032C38"/>
    <w:rsid w:val="0003328E"/>
    <w:rsid w:val="00035A38"/>
    <w:rsid w:val="00041C64"/>
    <w:rsid w:val="00041E79"/>
    <w:rsid w:val="00042B45"/>
    <w:rsid w:val="000446F6"/>
    <w:rsid w:val="00044ADB"/>
    <w:rsid w:val="0004542A"/>
    <w:rsid w:val="000523D6"/>
    <w:rsid w:val="00054A7C"/>
    <w:rsid w:val="00054BF6"/>
    <w:rsid w:val="00055BE6"/>
    <w:rsid w:val="00055D06"/>
    <w:rsid w:val="00057AA0"/>
    <w:rsid w:val="000628FA"/>
    <w:rsid w:val="00065943"/>
    <w:rsid w:val="00065BAF"/>
    <w:rsid w:val="0006666F"/>
    <w:rsid w:val="00066E1B"/>
    <w:rsid w:val="000678DB"/>
    <w:rsid w:val="00070B8D"/>
    <w:rsid w:val="00072EC3"/>
    <w:rsid w:val="000737F2"/>
    <w:rsid w:val="000761BD"/>
    <w:rsid w:val="0007719C"/>
    <w:rsid w:val="00077E3D"/>
    <w:rsid w:val="0008078C"/>
    <w:rsid w:val="000924A0"/>
    <w:rsid w:val="00093F41"/>
    <w:rsid w:val="00094054"/>
    <w:rsid w:val="000948F9"/>
    <w:rsid w:val="00094D54"/>
    <w:rsid w:val="00096116"/>
    <w:rsid w:val="00096245"/>
    <w:rsid w:val="00096377"/>
    <w:rsid w:val="000969CC"/>
    <w:rsid w:val="000A12E7"/>
    <w:rsid w:val="000A1926"/>
    <w:rsid w:val="000A1F9E"/>
    <w:rsid w:val="000A2F70"/>
    <w:rsid w:val="000A4DA6"/>
    <w:rsid w:val="000A5531"/>
    <w:rsid w:val="000A6F2D"/>
    <w:rsid w:val="000B098B"/>
    <w:rsid w:val="000B124F"/>
    <w:rsid w:val="000B29CC"/>
    <w:rsid w:val="000B3F45"/>
    <w:rsid w:val="000B4D0F"/>
    <w:rsid w:val="000B56CD"/>
    <w:rsid w:val="000C2DA4"/>
    <w:rsid w:val="000C74E2"/>
    <w:rsid w:val="000D34C1"/>
    <w:rsid w:val="000D3836"/>
    <w:rsid w:val="000D3B06"/>
    <w:rsid w:val="000D5676"/>
    <w:rsid w:val="000D59A6"/>
    <w:rsid w:val="000D5C43"/>
    <w:rsid w:val="000D622F"/>
    <w:rsid w:val="000E0087"/>
    <w:rsid w:val="000E08FA"/>
    <w:rsid w:val="000E13BE"/>
    <w:rsid w:val="000E162D"/>
    <w:rsid w:val="000E547D"/>
    <w:rsid w:val="000F06C0"/>
    <w:rsid w:val="000F0C1D"/>
    <w:rsid w:val="000F2F01"/>
    <w:rsid w:val="000F34ED"/>
    <w:rsid w:val="000F3F4B"/>
    <w:rsid w:val="000F6CA2"/>
    <w:rsid w:val="000F72EB"/>
    <w:rsid w:val="001006B9"/>
    <w:rsid w:val="0010100C"/>
    <w:rsid w:val="001011FC"/>
    <w:rsid w:val="00102947"/>
    <w:rsid w:val="00103350"/>
    <w:rsid w:val="00103C97"/>
    <w:rsid w:val="00105B39"/>
    <w:rsid w:val="00105B3C"/>
    <w:rsid w:val="00105C6A"/>
    <w:rsid w:val="00107609"/>
    <w:rsid w:val="0011033A"/>
    <w:rsid w:val="00112346"/>
    <w:rsid w:val="00112889"/>
    <w:rsid w:val="00112E93"/>
    <w:rsid w:val="001162D8"/>
    <w:rsid w:val="0012323F"/>
    <w:rsid w:val="00124388"/>
    <w:rsid w:val="001264D6"/>
    <w:rsid w:val="0012767D"/>
    <w:rsid w:val="001324D0"/>
    <w:rsid w:val="0013331B"/>
    <w:rsid w:val="00134725"/>
    <w:rsid w:val="00134AE7"/>
    <w:rsid w:val="00136A92"/>
    <w:rsid w:val="00136EA7"/>
    <w:rsid w:val="00141105"/>
    <w:rsid w:val="001428A5"/>
    <w:rsid w:val="00144B8F"/>
    <w:rsid w:val="00147433"/>
    <w:rsid w:val="00147450"/>
    <w:rsid w:val="001478F3"/>
    <w:rsid w:val="001501F0"/>
    <w:rsid w:val="0015202E"/>
    <w:rsid w:val="00152B59"/>
    <w:rsid w:val="001539A1"/>
    <w:rsid w:val="0015799F"/>
    <w:rsid w:val="001607BF"/>
    <w:rsid w:val="0016198E"/>
    <w:rsid w:val="0016271A"/>
    <w:rsid w:val="001648F7"/>
    <w:rsid w:val="001649B2"/>
    <w:rsid w:val="001653A0"/>
    <w:rsid w:val="00165B4D"/>
    <w:rsid w:val="00165B70"/>
    <w:rsid w:val="00166275"/>
    <w:rsid w:val="001663F2"/>
    <w:rsid w:val="0016682C"/>
    <w:rsid w:val="00166B39"/>
    <w:rsid w:val="00166F9E"/>
    <w:rsid w:val="001672C2"/>
    <w:rsid w:val="0017045B"/>
    <w:rsid w:val="001707E7"/>
    <w:rsid w:val="0017424D"/>
    <w:rsid w:val="00174E1B"/>
    <w:rsid w:val="00174F49"/>
    <w:rsid w:val="00175C0F"/>
    <w:rsid w:val="0017609A"/>
    <w:rsid w:val="001762ED"/>
    <w:rsid w:val="00176629"/>
    <w:rsid w:val="00177220"/>
    <w:rsid w:val="00177F60"/>
    <w:rsid w:val="00180249"/>
    <w:rsid w:val="00180F78"/>
    <w:rsid w:val="00181EE4"/>
    <w:rsid w:val="00182CDE"/>
    <w:rsid w:val="00183210"/>
    <w:rsid w:val="00183308"/>
    <w:rsid w:val="00184C7D"/>
    <w:rsid w:val="001855AD"/>
    <w:rsid w:val="00185603"/>
    <w:rsid w:val="001860E6"/>
    <w:rsid w:val="00194187"/>
    <w:rsid w:val="00194BC4"/>
    <w:rsid w:val="0019538B"/>
    <w:rsid w:val="001A0209"/>
    <w:rsid w:val="001A0D33"/>
    <w:rsid w:val="001A1BD1"/>
    <w:rsid w:val="001A256A"/>
    <w:rsid w:val="001A2FA3"/>
    <w:rsid w:val="001A59A1"/>
    <w:rsid w:val="001B0949"/>
    <w:rsid w:val="001B0E53"/>
    <w:rsid w:val="001B1566"/>
    <w:rsid w:val="001B1A20"/>
    <w:rsid w:val="001B4E75"/>
    <w:rsid w:val="001B577A"/>
    <w:rsid w:val="001B7594"/>
    <w:rsid w:val="001C3040"/>
    <w:rsid w:val="001C3056"/>
    <w:rsid w:val="001C41C6"/>
    <w:rsid w:val="001C643D"/>
    <w:rsid w:val="001D2B90"/>
    <w:rsid w:val="001D3ABF"/>
    <w:rsid w:val="001D7121"/>
    <w:rsid w:val="001D7F0C"/>
    <w:rsid w:val="001E288E"/>
    <w:rsid w:val="001E4BBE"/>
    <w:rsid w:val="001E62EC"/>
    <w:rsid w:val="001E72E8"/>
    <w:rsid w:val="001F26B4"/>
    <w:rsid w:val="001F3950"/>
    <w:rsid w:val="001F427F"/>
    <w:rsid w:val="001F57A1"/>
    <w:rsid w:val="001F6E34"/>
    <w:rsid w:val="001F73E5"/>
    <w:rsid w:val="001F7D98"/>
    <w:rsid w:val="001F7F82"/>
    <w:rsid w:val="00200996"/>
    <w:rsid w:val="00200A6B"/>
    <w:rsid w:val="002010C6"/>
    <w:rsid w:val="00204CB9"/>
    <w:rsid w:val="00204CCD"/>
    <w:rsid w:val="00206648"/>
    <w:rsid w:val="0020678B"/>
    <w:rsid w:val="0020793B"/>
    <w:rsid w:val="002140CF"/>
    <w:rsid w:val="00215286"/>
    <w:rsid w:val="002153B0"/>
    <w:rsid w:val="00222A23"/>
    <w:rsid w:val="00224A10"/>
    <w:rsid w:val="00226965"/>
    <w:rsid w:val="00231E84"/>
    <w:rsid w:val="00231ECB"/>
    <w:rsid w:val="00233E70"/>
    <w:rsid w:val="00236622"/>
    <w:rsid w:val="002369B2"/>
    <w:rsid w:val="0023708F"/>
    <w:rsid w:val="00241DC3"/>
    <w:rsid w:val="00242312"/>
    <w:rsid w:val="00242BF7"/>
    <w:rsid w:val="002457A3"/>
    <w:rsid w:val="00245DB6"/>
    <w:rsid w:val="00246DF8"/>
    <w:rsid w:val="00246F58"/>
    <w:rsid w:val="00250635"/>
    <w:rsid w:val="00250CA8"/>
    <w:rsid w:val="002537AC"/>
    <w:rsid w:val="00256914"/>
    <w:rsid w:val="00256CE6"/>
    <w:rsid w:val="00257E71"/>
    <w:rsid w:val="00262800"/>
    <w:rsid w:val="00263C99"/>
    <w:rsid w:val="002643BA"/>
    <w:rsid w:val="00264E7D"/>
    <w:rsid w:val="00265E84"/>
    <w:rsid w:val="00271164"/>
    <w:rsid w:val="00274FF1"/>
    <w:rsid w:val="00277B84"/>
    <w:rsid w:val="0028278E"/>
    <w:rsid w:val="002838E6"/>
    <w:rsid w:val="00283932"/>
    <w:rsid w:val="00284A9E"/>
    <w:rsid w:val="0028711B"/>
    <w:rsid w:val="002873E2"/>
    <w:rsid w:val="00287BEA"/>
    <w:rsid w:val="00290E93"/>
    <w:rsid w:val="002939E0"/>
    <w:rsid w:val="00293ED0"/>
    <w:rsid w:val="002965D5"/>
    <w:rsid w:val="00297A16"/>
    <w:rsid w:val="00297BB4"/>
    <w:rsid w:val="00297C30"/>
    <w:rsid w:val="00297CF0"/>
    <w:rsid w:val="002A3C2A"/>
    <w:rsid w:val="002A45B4"/>
    <w:rsid w:val="002A4AA1"/>
    <w:rsid w:val="002A67AD"/>
    <w:rsid w:val="002B1530"/>
    <w:rsid w:val="002B19C9"/>
    <w:rsid w:val="002B1D38"/>
    <w:rsid w:val="002B291F"/>
    <w:rsid w:val="002B5FE8"/>
    <w:rsid w:val="002C095F"/>
    <w:rsid w:val="002C2263"/>
    <w:rsid w:val="002C3239"/>
    <w:rsid w:val="002C51AD"/>
    <w:rsid w:val="002C5FD0"/>
    <w:rsid w:val="002C7021"/>
    <w:rsid w:val="002C76FE"/>
    <w:rsid w:val="002D0571"/>
    <w:rsid w:val="002D0CC3"/>
    <w:rsid w:val="002D1F4C"/>
    <w:rsid w:val="002D3B0C"/>
    <w:rsid w:val="002D5E12"/>
    <w:rsid w:val="002D763E"/>
    <w:rsid w:val="002E06ED"/>
    <w:rsid w:val="002E1207"/>
    <w:rsid w:val="002E1291"/>
    <w:rsid w:val="002E1D52"/>
    <w:rsid w:val="002E24B0"/>
    <w:rsid w:val="002E4DAA"/>
    <w:rsid w:val="002E5856"/>
    <w:rsid w:val="002E58DD"/>
    <w:rsid w:val="002E69F9"/>
    <w:rsid w:val="002E761B"/>
    <w:rsid w:val="002F06E9"/>
    <w:rsid w:val="002F29B7"/>
    <w:rsid w:val="00301249"/>
    <w:rsid w:val="0030185E"/>
    <w:rsid w:val="00302A70"/>
    <w:rsid w:val="00303E64"/>
    <w:rsid w:val="00306056"/>
    <w:rsid w:val="00311C3E"/>
    <w:rsid w:val="00311C57"/>
    <w:rsid w:val="00316A7B"/>
    <w:rsid w:val="00316F8F"/>
    <w:rsid w:val="003178EA"/>
    <w:rsid w:val="00321CD7"/>
    <w:rsid w:val="00322551"/>
    <w:rsid w:val="00323B02"/>
    <w:rsid w:val="0032438B"/>
    <w:rsid w:val="003249F6"/>
    <w:rsid w:val="00325228"/>
    <w:rsid w:val="00327775"/>
    <w:rsid w:val="0033050E"/>
    <w:rsid w:val="00337AA5"/>
    <w:rsid w:val="003401F5"/>
    <w:rsid w:val="003406F1"/>
    <w:rsid w:val="0034479C"/>
    <w:rsid w:val="00344ED9"/>
    <w:rsid w:val="00350024"/>
    <w:rsid w:val="003518D4"/>
    <w:rsid w:val="0035643F"/>
    <w:rsid w:val="00357B3E"/>
    <w:rsid w:val="00360A8B"/>
    <w:rsid w:val="00361FD1"/>
    <w:rsid w:val="00362B63"/>
    <w:rsid w:val="00366A88"/>
    <w:rsid w:val="00367026"/>
    <w:rsid w:val="003732DD"/>
    <w:rsid w:val="00374A34"/>
    <w:rsid w:val="00374B13"/>
    <w:rsid w:val="00374BC2"/>
    <w:rsid w:val="00375D42"/>
    <w:rsid w:val="003763B8"/>
    <w:rsid w:val="003766DF"/>
    <w:rsid w:val="003824A5"/>
    <w:rsid w:val="00385AAA"/>
    <w:rsid w:val="00386364"/>
    <w:rsid w:val="00390425"/>
    <w:rsid w:val="003906A1"/>
    <w:rsid w:val="0039107D"/>
    <w:rsid w:val="003913BA"/>
    <w:rsid w:val="00391A56"/>
    <w:rsid w:val="003923C8"/>
    <w:rsid w:val="0039331B"/>
    <w:rsid w:val="00393B6D"/>
    <w:rsid w:val="0039418C"/>
    <w:rsid w:val="003962D8"/>
    <w:rsid w:val="00396D6C"/>
    <w:rsid w:val="003A05C0"/>
    <w:rsid w:val="003A15F9"/>
    <w:rsid w:val="003A1B75"/>
    <w:rsid w:val="003A211A"/>
    <w:rsid w:val="003A2EE1"/>
    <w:rsid w:val="003A520C"/>
    <w:rsid w:val="003A564B"/>
    <w:rsid w:val="003A69F9"/>
    <w:rsid w:val="003A6A26"/>
    <w:rsid w:val="003B102B"/>
    <w:rsid w:val="003B2B84"/>
    <w:rsid w:val="003B4848"/>
    <w:rsid w:val="003B55C8"/>
    <w:rsid w:val="003B60DF"/>
    <w:rsid w:val="003B7341"/>
    <w:rsid w:val="003C0826"/>
    <w:rsid w:val="003C11BF"/>
    <w:rsid w:val="003C7CCB"/>
    <w:rsid w:val="003D3422"/>
    <w:rsid w:val="003D504E"/>
    <w:rsid w:val="003D517B"/>
    <w:rsid w:val="003D5BE6"/>
    <w:rsid w:val="003E172B"/>
    <w:rsid w:val="003E1B91"/>
    <w:rsid w:val="003E2900"/>
    <w:rsid w:val="003E2CCE"/>
    <w:rsid w:val="003E517B"/>
    <w:rsid w:val="003E6A98"/>
    <w:rsid w:val="003F185C"/>
    <w:rsid w:val="003F2056"/>
    <w:rsid w:val="003F23B5"/>
    <w:rsid w:val="003F261A"/>
    <w:rsid w:val="003F5842"/>
    <w:rsid w:val="003F58CF"/>
    <w:rsid w:val="004005AE"/>
    <w:rsid w:val="004005D2"/>
    <w:rsid w:val="00400834"/>
    <w:rsid w:val="0040391C"/>
    <w:rsid w:val="004042DD"/>
    <w:rsid w:val="00405434"/>
    <w:rsid w:val="00405832"/>
    <w:rsid w:val="004064AD"/>
    <w:rsid w:val="00411BB9"/>
    <w:rsid w:val="00414712"/>
    <w:rsid w:val="004156FA"/>
    <w:rsid w:val="00415D1F"/>
    <w:rsid w:val="00415D2C"/>
    <w:rsid w:val="004161A4"/>
    <w:rsid w:val="004168DE"/>
    <w:rsid w:val="00417984"/>
    <w:rsid w:val="00417D6D"/>
    <w:rsid w:val="00417F60"/>
    <w:rsid w:val="00423B0B"/>
    <w:rsid w:val="00424972"/>
    <w:rsid w:val="00425BBD"/>
    <w:rsid w:val="00425CE3"/>
    <w:rsid w:val="00425F8F"/>
    <w:rsid w:val="00426F24"/>
    <w:rsid w:val="00427667"/>
    <w:rsid w:val="004302C7"/>
    <w:rsid w:val="00431444"/>
    <w:rsid w:val="0043294B"/>
    <w:rsid w:val="00432CE9"/>
    <w:rsid w:val="00433004"/>
    <w:rsid w:val="004341CC"/>
    <w:rsid w:val="00434A06"/>
    <w:rsid w:val="00436554"/>
    <w:rsid w:val="00436A52"/>
    <w:rsid w:val="00437CCD"/>
    <w:rsid w:val="00437FBB"/>
    <w:rsid w:val="004441CC"/>
    <w:rsid w:val="004466E6"/>
    <w:rsid w:val="00446F79"/>
    <w:rsid w:val="00451B2C"/>
    <w:rsid w:val="0045221F"/>
    <w:rsid w:val="00454184"/>
    <w:rsid w:val="00455008"/>
    <w:rsid w:val="00455129"/>
    <w:rsid w:val="00455D49"/>
    <w:rsid w:val="00456882"/>
    <w:rsid w:val="0046169E"/>
    <w:rsid w:val="0046302B"/>
    <w:rsid w:val="00463EFE"/>
    <w:rsid w:val="00464DB8"/>
    <w:rsid w:val="00466D12"/>
    <w:rsid w:val="00467584"/>
    <w:rsid w:val="00470D34"/>
    <w:rsid w:val="004715EE"/>
    <w:rsid w:val="00472B31"/>
    <w:rsid w:val="00472C33"/>
    <w:rsid w:val="00472C39"/>
    <w:rsid w:val="00474ED3"/>
    <w:rsid w:val="00475D83"/>
    <w:rsid w:val="004760D3"/>
    <w:rsid w:val="00480BD6"/>
    <w:rsid w:val="0048207F"/>
    <w:rsid w:val="004830F0"/>
    <w:rsid w:val="0048362E"/>
    <w:rsid w:val="004905F7"/>
    <w:rsid w:val="00490EC2"/>
    <w:rsid w:val="00491483"/>
    <w:rsid w:val="004930E9"/>
    <w:rsid w:val="00495167"/>
    <w:rsid w:val="00495869"/>
    <w:rsid w:val="004970F0"/>
    <w:rsid w:val="004A7482"/>
    <w:rsid w:val="004A7D3C"/>
    <w:rsid w:val="004B3865"/>
    <w:rsid w:val="004B3E88"/>
    <w:rsid w:val="004C4274"/>
    <w:rsid w:val="004C50E8"/>
    <w:rsid w:val="004C7271"/>
    <w:rsid w:val="004C74E1"/>
    <w:rsid w:val="004D0F24"/>
    <w:rsid w:val="004D1320"/>
    <w:rsid w:val="004D18A5"/>
    <w:rsid w:val="004D2D09"/>
    <w:rsid w:val="004D374F"/>
    <w:rsid w:val="004D3C1C"/>
    <w:rsid w:val="004D6360"/>
    <w:rsid w:val="004E09CA"/>
    <w:rsid w:val="004E0A29"/>
    <w:rsid w:val="004E3D50"/>
    <w:rsid w:val="004E3DF4"/>
    <w:rsid w:val="004E4696"/>
    <w:rsid w:val="004E47AD"/>
    <w:rsid w:val="004E6766"/>
    <w:rsid w:val="004E6903"/>
    <w:rsid w:val="004E72B6"/>
    <w:rsid w:val="004F300E"/>
    <w:rsid w:val="004F5FAD"/>
    <w:rsid w:val="004F65B0"/>
    <w:rsid w:val="005018B8"/>
    <w:rsid w:val="005023E5"/>
    <w:rsid w:val="00502650"/>
    <w:rsid w:val="00502763"/>
    <w:rsid w:val="00504B27"/>
    <w:rsid w:val="00507DBF"/>
    <w:rsid w:val="00510AEB"/>
    <w:rsid w:val="005113F7"/>
    <w:rsid w:val="00520E5A"/>
    <w:rsid w:val="0052100C"/>
    <w:rsid w:val="00523943"/>
    <w:rsid w:val="00523A8E"/>
    <w:rsid w:val="00523D66"/>
    <w:rsid w:val="00524B21"/>
    <w:rsid w:val="00525671"/>
    <w:rsid w:val="00525E65"/>
    <w:rsid w:val="00527453"/>
    <w:rsid w:val="0053200A"/>
    <w:rsid w:val="0053200F"/>
    <w:rsid w:val="00532A3C"/>
    <w:rsid w:val="0053306C"/>
    <w:rsid w:val="00533179"/>
    <w:rsid w:val="00533313"/>
    <w:rsid w:val="005334D1"/>
    <w:rsid w:val="0053374B"/>
    <w:rsid w:val="00535993"/>
    <w:rsid w:val="00535996"/>
    <w:rsid w:val="00536162"/>
    <w:rsid w:val="00536C4E"/>
    <w:rsid w:val="00536CDE"/>
    <w:rsid w:val="00536D26"/>
    <w:rsid w:val="00540B95"/>
    <w:rsid w:val="005415D3"/>
    <w:rsid w:val="00541B7E"/>
    <w:rsid w:val="00542074"/>
    <w:rsid w:val="00543201"/>
    <w:rsid w:val="00543E61"/>
    <w:rsid w:val="0054464C"/>
    <w:rsid w:val="00544B85"/>
    <w:rsid w:val="00546C19"/>
    <w:rsid w:val="00553A16"/>
    <w:rsid w:val="00553D37"/>
    <w:rsid w:val="00554402"/>
    <w:rsid w:val="005614A9"/>
    <w:rsid w:val="00562B05"/>
    <w:rsid w:val="00562CA8"/>
    <w:rsid w:val="005634A9"/>
    <w:rsid w:val="00563A25"/>
    <w:rsid w:val="00564287"/>
    <w:rsid w:val="00564BF0"/>
    <w:rsid w:val="0056680B"/>
    <w:rsid w:val="00570608"/>
    <w:rsid w:val="00570FA8"/>
    <w:rsid w:val="005711BD"/>
    <w:rsid w:val="00574866"/>
    <w:rsid w:val="005753DA"/>
    <w:rsid w:val="0058133A"/>
    <w:rsid w:val="00581865"/>
    <w:rsid w:val="005830BA"/>
    <w:rsid w:val="00587E69"/>
    <w:rsid w:val="00590998"/>
    <w:rsid w:val="005921E1"/>
    <w:rsid w:val="005922C7"/>
    <w:rsid w:val="005924E7"/>
    <w:rsid w:val="0059252E"/>
    <w:rsid w:val="00592AA8"/>
    <w:rsid w:val="00593FED"/>
    <w:rsid w:val="00595214"/>
    <w:rsid w:val="0059652C"/>
    <w:rsid w:val="00596600"/>
    <w:rsid w:val="00596DF0"/>
    <w:rsid w:val="005A0086"/>
    <w:rsid w:val="005A2A15"/>
    <w:rsid w:val="005A407C"/>
    <w:rsid w:val="005A63D4"/>
    <w:rsid w:val="005B298D"/>
    <w:rsid w:val="005B4780"/>
    <w:rsid w:val="005B773B"/>
    <w:rsid w:val="005C0241"/>
    <w:rsid w:val="005C02B5"/>
    <w:rsid w:val="005C1ABF"/>
    <w:rsid w:val="005C1B5B"/>
    <w:rsid w:val="005C6357"/>
    <w:rsid w:val="005C7083"/>
    <w:rsid w:val="005D0260"/>
    <w:rsid w:val="005D105D"/>
    <w:rsid w:val="005D4DB0"/>
    <w:rsid w:val="005D4F7C"/>
    <w:rsid w:val="005D5121"/>
    <w:rsid w:val="005E046B"/>
    <w:rsid w:val="005E0B5F"/>
    <w:rsid w:val="005E0F18"/>
    <w:rsid w:val="005E257B"/>
    <w:rsid w:val="005E2E2B"/>
    <w:rsid w:val="005E46F6"/>
    <w:rsid w:val="005E4ECD"/>
    <w:rsid w:val="005E4F70"/>
    <w:rsid w:val="005F292C"/>
    <w:rsid w:val="005F4AF3"/>
    <w:rsid w:val="005F4B41"/>
    <w:rsid w:val="005F52F2"/>
    <w:rsid w:val="005F5D0A"/>
    <w:rsid w:val="005F7B0F"/>
    <w:rsid w:val="005F7FCB"/>
    <w:rsid w:val="00603DE3"/>
    <w:rsid w:val="006063B9"/>
    <w:rsid w:val="0060727D"/>
    <w:rsid w:val="00610747"/>
    <w:rsid w:val="00610CA6"/>
    <w:rsid w:val="006118EF"/>
    <w:rsid w:val="0061377F"/>
    <w:rsid w:val="00613FCB"/>
    <w:rsid w:val="006152FF"/>
    <w:rsid w:val="00615712"/>
    <w:rsid w:val="006204EF"/>
    <w:rsid w:val="00621A15"/>
    <w:rsid w:val="00621C41"/>
    <w:rsid w:val="00623FEA"/>
    <w:rsid w:val="00624EE4"/>
    <w:rsid w:val="006276EE"/>
    <w:rsid w:val="0063299F"/>
    <w:rsid w:val="00633C59"/>
    <w:rsid w:val="00634301"/>
    <w:rsid w:val="00634D55"/>
    <w:rsid w:val="00635D61"/>
    <w:rsid w:val="00637C49"/>
    <w:rsid w:val="006407B4"/>
    <w:rsid w:val="00641EA9"/>
    <w:rsid w:val="00642CF2"/>
    <w:rsid w:val="00645EA3"/>
    <w:rsid w:val="006461B9"/>
    <w:rsid w:val="00647B96"/>
    <w:rsid w:val="00651AB1"/>
    <w:rsid w:val="0065258B"/>
    <w:rsid w:val="00652952"/>
    <w:rsid w:val="00652CF6"/>
    <w:rsid w:val="0065308F"/>
    <w:rsid w:val="006572AE"/>
    <w:rsid w:val="00657335"/>
    <w:rsid w:val="00660CB7"/>
    <w:rsid w:val="00660F4D"/>
    <w:rsid w:val="006624ED"/>
    <w:rsid w:val="00662897"/>
    <w:rsid w:val="006631C7"/>
    <w:rsid w:val="006637BF"/>
    <w:rsid w:val="00663C4D"/>
    <w:rsid w:val="00665DCF"/>
    <w:rsid w:val="00666951"/>
    <w:rsid w:val="0066717F"/>
    <w:rsid w:val="00670E53"/>
    <w:rsid w:val="00671BA7"/>
    <w:rsid w:val="0067423E"/>
    <w:rsid w:val="006758F9"/>
    <w:rsid w:val="00675A0B"/>
    <w:rsid w:val="00676096"/>
    <w:rsid w:val="00676124"/>
    <w:rsid w:val="00680BCD"/>
    <w:rsid w:val="00681080"/>
    <w:rsid w:val="00681730"/>
    <w:rsid w:val="00682A10"/>
    <w:rsid w:val="00682E9F"/>
    <w:rsid w:val="00686EE3"/>
    <w:rsid w:val="00690240"/>
    <w:rsid w:val="006951D3"/>
    <w:rsid w:val="00695456"/>
    <w:rsid w:val="006960C7"/>
    <w:rsid w:val="006A186C"/>
    <w:rsid w:val="006A39F7"/>
    <w:rsid w:val="006A544D"/>
    <w:rsid w:val="006A5500"/>
    <w:rsid w:val="006A5E8B"/>
    <w:rsid w:val="006A71A4"/>
    <w:rsid w:val="006A7F7B"/>
    <w:rsid w:val="006B0018"/>
    <w:rsid w:val="006B018C"/>
    <w:rsid w:val="006B076D"/>
    <w:rsid w:val="006B0EC8"/>
    <w:rsid w:val="006B2246"/>
    <w:rsid w:val="006B2A4A"/>
    <w:rsid w:val="006B3074"/>
    <w:rsid w:val="006B32E8"/>
    <w:rsid w:val="006B378C"/>
    <w:rsid w:val="006B4178"/>
    <w:rsid w:val="006B5B54"/>
    <w:rsid w:val="006B5CDF"/>
    <w:rsid w:val="006B6B5C"/>
    <w:rsid w:val="006B6DDA"/>
    <w:rsid w:val="006B6FB0"/>
    <w:rsid w:val="006C01E4"/>
    <w:rsid w:val="006C06BB"/>
    <w:rsid w:val="006C26D7"/>
    <w:rsid w:val="006C2F73"/>
    <w:rsid w:val="006C3993"/>
    <w:rsid w:val="006C45BB"/>
    <w:rsid w:val="006C4765"/>
    <w:rsid w:val="006C5EC1"/>
    <w:rsid w:val="006C5F4B"/>
    <w:rsid w:val="006C6E4D"/>
    <w:rsid w:val="006C706E"/>
    <w:rsid w:val="006C79C9"/>
    <w:rsid w:val="006D0401"/>
    <w:rsid w:val="006D06EE"/>
    <w:rsid w:val="006D0B56"/>
    <w:rsid w:val="006D2E9E"/>
    <w:rsid w:val="006D3AB4"/>
    <w:rsid w:val="006D4513"/>
    <w:rsid w:val="006D79B3"/>
    <w:rsid w:val="006D7BBD"/>
    <w:rsid w:val="006E0506"/>
    <w:rsid w:val="006E0697"/>
    <w:rsid w:val="006E09DB"/>
    <w:rsid w:val="006E297F"/>
    <w:rsid w:val="006E3166"/>
    <w:rsid w:val="006E531E"/>
    <w:rsid w:val="006E7033"/>
    <w:rsid w:val="006F2A04"/>
    <w:rsid w:val="006F3756"/>
    <w:rsid w:val="006F37BB"/>
    <w:rsid w:val="006F67EA"/>
    <w:rsid w:val="00701156"/>
    <w:rsid w:val="00704A06"/>
    <w:rsid w:val="00705845"/>
    <w:rsid w:val="00710072"/>
    <w:rsid w:val="00710E5B"/>
    <w:rsid w:val="0071268D"/>
    <w:rsid w:val="0071516B"/>
    <w:rsid w:val="00716321"/>
    <w:rsid w:val="007167D5"/>
    <w:rsid w:val="00716827"/>
    <w:rsid w:val="00716CBD"/>
    <w:rsid w:val="0072216E"/>
    <w:rsid w:val="007221DF"/>
    <w:rsid w:val="0072303E"/>
    <w:rsid w:val="00725DF6"/>
    <w:rsid w:val="007260B9"/>
    <w:rsid w:val="00727CB4"/>
    <w:rsid w:val="00730FA6"/>
    <w:rsid w:val="00732F7F"/>
    <w:rsid w:val="00733835"/>
    <w:rsid w:val="00733BA2"/>
    <w:rsid w:val="00734F8D"/>
    <w:rsid w:val="00735519"/>
    <w:rsid w:val="007359D6"/>
    <w:rsid w:val="007368C3"/>
    <w:rsid w:val="0073771D"/>
    <w:rsid w:val="0074131C"/>
    <w:rsid w:val="00742BB1"/>
    <w:rsid w:val="00743A39"/>
    <w:rsid w:val="00743B25"/>
    <w:rsid w:val="007467F1"/>
    <w:rsid w:val="00746850"/>
    <w:rsid w:val="0075060F"/>
    <w:rsid w:val="0075095E"/>
    <w:rsid w:val="00752C73"/>
    <w:rsid w:val="007531C1"/>
    <w:rsid w:val="00753F7F"/>
    <w:rsid w:val="00754CFB"/>
    <w:rsid w:val="00755E7A"/>
    <w:rsid w:val="00757003"/>
    <w:rsid w:val="00757E26"/>
    <w:rsid w:val="00761787"/>
    <w:rsid w:val="00762D7E"/>
    <w:rsid w:val="007649C2"/>
    <w:rsid w:val="0076589A"/>
    <w:rsid w:val="00771A3D"/>
    <w:rsid w:val="0077245A"/>
    <w:rsid w:val="00774415"/>
    <w:rsid w:val="00774798"/>
    <w:rsid w:val="00774D68"/>
    <w:rsid w:val="007755A0"/>
    <w:rsid w:val="00776466"/>
    <w:rsid w:val="007770E1"/>
    <w:rsid w:val="00780D0E"/>
    <w:rsid w:val="007813A2"/>
    <w:rsid w:val="0078180A"/>
    <w:rsid w:val="00784AF8"/>
    <w:rsid w:val="00785089"/>
    <w:rsid w:val="00785386"/>
    <w:rsid w:val="007866DD"/>
    <w:rsid w:val="00786B8C"/>
    <w:rsid w:val="007878C0"/>
    <w:rsid w:val="007879E1"/>
    <w:rsid w:val="00791CDE"/>
    <w:rsid w:val="00791D79"/>
    <w:rsid w:val="00792801"/>
    <w:rsid w:val="00792B09"/>
    <w:rsid w:val="00792EBC"/>
    <w:rsid w:val="007947E3"/>
    <w:rsid w:val="0079548E"/>
    <w:rsid w:val="00796D21"/>
    <w:rsid w:val="00797D01"/>
    <w:rsid w:val="007A06C6"/>
    <w:rsid w:val="007A0DE3"/>
    <w:rsid w:val="007A19D7"/>
    <w:rsid w:val="007A265B"/>
    <w:rsid w:val="007A2D42"/>
    <w:rsid w:val="007A4190"/>
    <w:rsid w:val="007A5A7A"/>
    <w:rsid w:val="007A5D1C"/>
    <w:rsid w:val="007A7639"/>
    <w:rsid w:val="007A7A8D"/>
    <w:rsid w:val="007B110A"/>
    <w:rsid w:val="007B1DE3"/>
    <w:rsid w:val="007B295F"/>
    <w:rsid w:val="007B2A85"/>
    <w:rsid w:val="007B33BD"/>
    <w:rsid w:val="007B378C"/>
    <w:rsid w:val="007B39A8"/>
    <w:rsid w:val="007B461D"/>
    <w:rsid w:val="007B6F9C"/>
    <w:rsid w:val="007B6FB1"/>
    <w:rsid w:val="007B78E1"/>
    <w:rsid w:val="007C000F"/>
    <w:rsid w:val="007C17A9"/>
    <w:rsid w:val="007C459F"/>
    <w:rsid w:val="007C5497"/>
    <w:rsid w:val="007C5914"/>
    <w:rsid w:val="007C6EB5"/>
    <w:rsid w:val="007D020B"/>
    <w:rsid w:val="007D4239"/>
    <w:rsid w:val="007D7CBF"/>
    <w:rsid w:val="007E0A11"/>
    <w:rsid w:val="007E0AF7"/>
    <w:rsid w:val="007E1E86"/>
    <w:rsid w:val="007E30EF"/>
    <w:rsid w:val="007E383C"/>
    <w:rsid w:val="007E40C9"/>
    <w:rsid w:val="007E4620"/>
    <w:rsid w:val="007E4B69"/>
    <w:rsid w:val="007E66A5"/>
    <w:rsid w:val="007E6CE7"/>
    <w:rsid w:val="007E715A"/>
    <w:rsid w:val="007F01A5"/>
    <w:rsid w:val="007F1A06"/>
    <w:rsid w:val="007F2489"/>
    <w:rsid w:val="007F3313"/>
    <w:rsid w:val="007F3577"/>
    <w:rsid w:val="007F3D28"/>
    <w:rsid w:val="007F3EF5"/>
    <w:rsid w:val="007F5002"/>
    <w:rsid w:val="007F6C78"/>
    <w:rsid w:val="007F7A4A"/>
    <w:rsid w:val="008001F8"/>
    <w:rsid w:val="0080041A"/>
    <w:rsid w:val="00801746"/>
    <w:rsid w:val="00802563"/>
    <w:rsid w:val="00803208"/>
    <w:rsid w:val="00806A25"/>
    <w:rsid w:val="00806BF5"/>
    <w:rsid w:val="00806CA9"/>
    <w:rsid w:val="0080727F"/>
    <w:rsid w:val="0081112C"/>
    <w:rsid w:val="00813F68"/>
    <w:rsid w:val="008163BC"/>
    <w:rsid w:val="0081657A"/>
    <w:rsid w:val="008178F9"/>
    <w:rsid w:val="0082050B"/>
    <w:rsid w:val="00821306"/>
    <w:rsid w:val="008270B5"/>
    <w:rsid w:val="00827509"/>
    <w:rsid w:val="008343C9"/>
    <w:rsid w:val="00835346"/>
    <w:rsid w:val="008354DA"/>
    <w:rsid w:val="008356E1"/>
    <w:rsid w:val="00836F27"/>
    <w:rsid w:val="00837BFC"/>
    <w:rsid w:val="00837EFA"/>
    <w:rsid w:val="00837F5E"/>
    <w:rsid w:val="00840115"/>
    <w:rsid w:val="00841B5B"/>
    <w:rsid w:val="00842CFE"/>
    <w:rsid w:val="0084497C"/>
    <w:rsid w:val="00844EE9"/>
    <w:rsid w:val="00846C5A"/>
    <w:rsid w:val="00846C7F"/>
    <w:rsid w:val="00847A0A"/>
    <w:rsid w:val="00850FC0"/>
    <w:rsid w:val="00851553"/>
    <w:rsid w:val="00851A28"/>
    <w:rsid w:val="008526EB"/>
    <w:rsid w:val="00852E57"/>
    <w:rsid w:val="00854CC0"/>
    <w:rsid w:val="00856680"/>
    <w:rsid w:val="008577C7"/>
    <w:rsid w:val="00860F95"/>
    <w:rsid w:val="00862EB0"/>
    <w:rsid w:val="00863E37"/>
    <w:rsid w:val="00866116"/>
    <w:rsid w:val="00870279"/>
    <w:rsid w:val="008706ED"/>
    <w:rsid w:val="0087245D"/>
    <w:rsid w:val="00872733"/>
    <w:rsid w:val="0087718F"/>
    <w:rsid w:val="00877DAB"/>
    <w:rsid w:val="00881260"/>
    <w:rsid w:val="0088129F"/>
    <w:rsid w:val="0088225B"/>
    <w:rsid w:val="00885E7A"/>
    <w:rsid w:val="00886061"/>
    <w:rsid w:val="00886507"/>
    <w:rsid w:val="008902DA"/>
    <w:rsid w:val="008911A8"/>
    <w:rsid w:val="0089188D"/>
    <w:rsid w:val="008918A5"/>
    <w:rsid w:val="00893B5C"/>
    <w:rsid w:val="00893D72"/>
    <w:rsid w:val="00894526"/>
    <w:rsid w:val="008A180B"/>
    <w:rsid w:val="008A21F8"/>
    <w:rsid w:val="008A336E"/>
    <w:rsid w:val="008A4E88"/>
    <w:rsid w:val="008A55B6"/>
    <w:rsid w:val="008A6BD8"/>
    <w:rsid w:val="008B3DC7"/>
    <w:rsid w:val="008B6501"/>
    <w:rsid w:val="008B783E"/>
    <w:rsid w:val="008B7AFD"/>
    <w:rsid w:val="008C122F"/>
    <w:rsid w:val="008C195F"/>
    <w:rsid w:val="008C406E"/>
    <w:rsid w:val="008C50BB"/>
    <w:rsid w:val="008C53FA"/>
    <w:rsid w:val="008C59D2"/>
    <w:rsid w:val="008C5A99"/>
    <w:rsid w:val="008C5B12"/>
    <w:rsid w:val="008C6150"/>
    <w:rsid w:val="008D19F0"/>
    <w:rsid w:val="008D1EAC"/>
    <w:rsid w:val="008D7334"/>
    <w:rsid w:val="008E14C3"/>
    <w:rsid w:val="008E328D"/>
    <w:rsid w:val="008E343C"/>
    <w:rsid w:val="008E42C2"/>
    <w:rsid w:val="008E4639"/>
    <w:rsid w:val="008E55E6"/>
    <w:rsid w:val="008E783D"/>
    <w:rsid w:val="008F1CF7"/>
    <w:rsid w:val="008F265A"/>
    <w:rsid w:val="008F3A19"/>
    <w:rsid w:val="008F5498"/>
    <w:rsid w:val="00902647"/>
    <w:rsid w:val="009049C2"/>
    <w:rsid w:val="00905CEF"/>
    <w:rsid w:val="00905F12"/>
    <w:rsid w:val="009063B9"/>
    <w:rsid w:val="00907D79"/>
    <w:rsid w:val="009113BF"/>
    <w:rsid w:val="00911D2D"/>
    <w:rsid w:val="00916F15"/>
    <w:rsid w:val="009178CD"/>
    <w:rsid w:val="00920B50"/>
    <w:rsid w:val="00922981"/>
    <w:rsid w:val="0092400A"/>
    <w:rsid w:val="009245AB"/>
    <w:rsid w:val="00926EDD"/>
    <w:rsid w:val="009315A2"/>
    <w:rsid w:val="00933653"/>
    <w:rsid w:val="00933F51"/>
    <w:rsid w:val="00941C1B"/>
    <w:rsid w:val="00944BFA"/>
    <w:rsid w:val="00944DFE"/>
    <w:rsid w:val="009452A7"/>
    <w:rsid w:val="009467F7"/>
    <w:rsid w:val="0095106B"/>
    <w:rsid w:val="00951D9A"/>
    <w:rsid w:val="009521E3"/>
    <w:rsid w:val="00955192"/>
    <w:rsid w:val="00955906"/>
    <w:rsid w:val="00955AE1"/>
    <w:rsid w:val="009566AD"/>
    <w:rsid w:val="009572F1"/>
    <w:rsid w:val="0096056A"/>
    <w:rsid w:val="00961D23"/>
    <w:rsid w:val="009649B6"/>
    <w:rsid w:val="00964BEB"/>
    <w:rsid w:val="0097268B"/>
    <w:rsid w:val="00975EAE"/>
    <w:rsid w:val="00975FC5"/>
    <w:rsid w:val="00976BC0"/>
    <w:rsid w:val="00980374"/>
    <w:rsid w:val="00980601"/>
    <w:rsid w:val="009813C6"/>
    <w:rsid w:val="00981782"/>
    <w:rsid w:val="00981D6A"/>
    <w:rsid w:val="009835A0"/>
    <w:rsid w:val="00984264"/>
    <w:rsid w:val="009860C8"/>
    <w:rsid w:val="00990159"/>
    <w:rsid w:val="00991D46"/>
    <w:rsid w:val="009930AC"/>
    <w:rsid w:val="009935AD"/>
    <w:rsid w:val="009967EA"/>
    <w:rsid w:val="009A251B"/>
    <w:rsid w:val="009A2EFA"/>
    <w:rsid w:val="009A5B81"/>
    <w:rsid w:val="009B074A"/>
    <w:rsid w:val="009B40DB"/>
    <w:rsid w:val="009B4D77"/>
    <w:rsid w:val="009B76EE"/>
    <w:rsid w:val="009B7CCB"/>
    <w:rsid w:val="009C1DF0"/>
    <w:rsid w:val="009C1F5A"/>
    <w:rsid w:val="009C237E"/>
    <w:rsid w:val="009C43B6"/>
    <w:rsid w:val="009C6434"/>
    <w:rsid w:val="009C6801"/>
    <w:rsid w:val="009D008E"/>
    <w:rsid w:val="009D0F71"/>
    <w:rsid w:val="009D3D8C"/>
    <w:rsid w:val="009D49D6"/>
    <w:rsid w:val="009E0031"/>
    <w:rsid w:val="009E4137"/>
    <w:rsid w:val="009E6E7B"/>
    <w:rsid w:val="009E7B8B"/>
    <w:rsid w:val="009E7BC3"/>
    <w:rsid w:val="009F02A1"/>
    <w:rsid w:val="009F146C"/>
    <w:rsid w:val="009F2CFB"/>
    <w:rsid w:val="009F33A4"/>
    <w:rsid w:val="009F35E9"/>
    <w:rsid w:val="009F5519"/>
    <w:rsid w:val="009F5882"/>
    <w:rsid w:val="009F60B2"/>
    <w:rsid w:val="009F66A4"/>
    <w:rsid w:val="009F7C0D"/>
    <w:rsid w:val="00A008F8"/>
    <w:rsid w:val="00A03E29"/>
    <w:rsid w:val="00A07748"/>
    <w:rsid w:val="00A145FE"/>
    <w:rsid w:val="00A154E8"/>
    <w:rsid w:val="00A15F97"/>
    <w:rsid w:val="00A20620"/>
    <w:rsid w:val="00A20847"/>
    <w:rsid w:val="00A20F1F"/>
    <w:rsid w:val="00A2286D"/>
    <w:rsid w:val="00A228EC"/>
    <w:rsid w:val="00A24F15"/>
    <w:rsid w:val="00A267C8"/>
    <w:rsid w:val="00A27DA6"/>
    <w:rsid w:val="00A308CB"/>
    <w:rsid w:val="00A31369"/>
    <w:rsid w:val="00A328FB"/>
    <w:rsid w:val="00A33549"/>
    <w:rsid w:val="00A35067"/>
    <w:rsid w:val="00A35A3A"/>
    <w:rsid w:val="00A360E2"/>
    <w:rsid w:val="00A41CC0"/>
    <w:rsid w:val="00A41F5A"/>
    <w:rsid w:val="00A46262"/>
    <w:rsid w:val="00A47AB5"/>
    <w:rsid w:val="00A47FC0"/>
    <w:rsid w:val="00A50303"/>
    <w:rsid w:val="00A51C3A"/>
    <w:rsid w:val="00A551A7"/>
    <w:rsid w:val="00A56354"/>
    <w:rsid w:val="00A64B82"/>
    <w:rsid w:val="00A64F53"/>
    <w:rsid w:val="00A663AC"/>
    <w:rsid w:val="00A66B5B"/>
    <w:rsid w:val="00A72A75"/>
    <w:rsid w:val="00A74A22"/>
    <w:rsid w:val="00A7548F"/>
    <w:rsid w:val="00A80AB9"/>
    <w:rsid w:val="00A816B1"/>
    <w:rsid w:val="00A81AFF"/>
    <w:rsid w:val="00A82233"/>
    <w:rsid w:val="00A86F14"/>
    <w:rsid w:val="00A9061B"/>
    <w:rsid w:val="00A92B84"/>
    <w:rsid w:val="00A97E26"/>
    <w:rsid w:val="00AA1E13"/>
    <w:rsid w:val="00AA2A73"/>
    <w:rsid w:val="00AA2F32"/>
    <w:rsid w:val="00AA334F"/>
    <w:rsid w:val="00AA58A0"/>
    <w:rsid w:val="00AA5B38"/>
    <w:rsid w:val="00AA6440"/>
    <w:rsid w:val="00AA71D6"/>
    <w:rsid w:val="00AB1BB1"/>
    <w:rsid w:val="00AB27FA"/>
    <w:rsid w:val="00AB2B59"/>
    <w:rsid w:val="00AB4D14"/>
    <w:rsid w:val="00AB4FD0"/>
    <w:rsid w:val="00AB62DA"/>
    <w:rsid w:val="00AB6E33"/>
    <w:rsid w:val="00AB7881"/>
    <w:rsid w:val="00AC0471"/>
    <w:rsid w:val="00AC147B"/>
    <w:rsid w:val="00AC1766"/>
    <w:rsid w:val="00AC1D7B"/>
    <w:rsid w:val="00AC24D2"/>
    <w:rsid w:val="00AC350A"/>
    <w:rsid w:val="00AC3D64"/>
    <w:rsid w:val="00AC5592"/>
    <w:rsid w:val="00AC5814"/>
    <w:rsid w:val="00AC6089"/>
    <w:rsid w:val="00AD050A"/>
    <w:rsid w:val="00AD113C"/>
    <w:rsid w:val="00AD352B"/>
    <w:rsid w:val="00AD3628"/>
    <w:rsid w:val="00AD4EFA"/>
    <w:rsid w:val="00AD74B4"/>
    <w:rsid w:val="00AD7771"/>
    <w:rsid w:val="00AD7CA0"/>
    <w:rsid w:val="00AD7CF3"/>
    <w:rsid w:val="00AD7F7B"/>
    <w:rsid w:val="00AE153A"/>
    <w:rsid w:val="00AE21DB"/>
    <w:rsid w:val="00AE21EB"/>
    <w:rsid w:val="00AE2508"/>
    <w:rsid w:val="00AE44B9"/>
    <w:rsid w:val="00AE60DB"/>
    <w:rsid w:val="00AE64D1"/>
    <w:rsid w:val="00AE6BAD"/>
    <w:rsid w:val="00AF00CF"/>
    <w:rsid w:val="00AF0839"/>
    <w:rsid w:val="00AF5FA4"/>
    <w:rsid w:val="00B00199"/>
    <w:rsid w:val="00B027A0"/>
    <w:rsid w:val="00B0303C"/>
    <w:rsid w:val="00B0591B"/>
    <w:rsid w:val="00B06304"/>
    <w:rsid w:val="00B10C06"/>
    <w:rsid w:val="00B11B29"/>
    <w:rsid w:val="00B1479F"/>
    <w:rsid w:val="00B15757"/>
    <w:rsid w:val="00B15990"/>
    <w:rsid w:val="00B1793C"/>
    <w:rsid w:val="00B17D6C"/>
    <w:rsid w:val="00B2018A"/>
    <w:rsid w:val="00B21841"/>
    <w:rsid w:val="00B24E29"/>
    <w:rsid w:val="00B27177"/>
    <w:rsid w:val="00B27C5B"/>
    <w:rsid w:val="00B31C38"/>
    <w:rsid w:val="00B334DE"/>
    <w:rsid w:val="00B35CC8"/>
    <w:rsid w:val="00B35DA4"/>
    <w:rsid w:val="00B3606B"/>
    <w:rsid w:val="00B3646B"/>
    <w:rsid w:val="00B370CF"/>
    <w:rsid w:val="00B37774"/>
    <w:rsid w:val="00B37CC3"/>
    <w:rsid w:val="00B416BF"/>
    <w:rsid w:val="00B41D9C"/>
    <w:rsid w:val="00B42367"/>
    <w:rsid w:val="00B42500"/>
    <w:rsid w:val="00B45D59"/>
    <w:rsid w:val="00B4669D"/>
    <w:rsid w:val="00B46FFB"/>
    <w:rsid w:val="00B47C28"/>
    <w:rsid w:val="00B47F3A"/>
    <w:rsid w:val="00B50129"/>
    <w:rsid w:val="00B5049D"/>
    <w:rsid w:val="00B50678"/>
    <w:rsid w:val="00B50819"/>
    <w:rsid w:val="00B51B63"/>
    <w:rsid w:val="00B55DAF"/>
    <w:rsid w:val="00B56403"/>
    <w:rsid w:val="00B56718"/>
    <w:rsid w:val="00B567F8"/>
    <w:rsid w:val="00B61B07"/>
    <w:rsid w:val="00B62733"/>
    <w:rsid w:val="00B63757"/>
    <w:rsid w:val="00B63C5C"/>
    <w:rsid w:val="00B65892"/>
    <w:rsid w:val="00B65CC6"/>
    <w:rsid w:val="00B6617D"/>
    <w:rsid w:val="00B6623C"/>
    <w:rsid w:val="00B66774"/>
    <w:rsid w:val="00B70ED9"/>
    <w:rsid w:val="00B7120D"/>
    <w:rsid w:val="00B737F2"/>
    <w:rsid w:val="00B7460B"/>
    <w:rsid w:val="00B77A73"/>
    <w:rsid w:val="00B77C34"/>
    <w:rsid w:val="00B80553"/>
    <w:rsid w:val="00B81784"/>
    <w:rsid w:val="00B832EB"/>
    <w:rsid w:val="00B8437F"/>
    <w:rsid w:val="00B84725"/>
    <w:rsid w:val="00B90BD6"/>
    <w:rsid w:val="00B91AC7"/>
    <w:rsid w:val="00B927DD"/>
    <w:rsid w:val="00B94249"/>
    <w:rsid w:val="00B9494F"/>
    <w:rsid w:val="00B95B21"/>
    <w:rsid w:val="00B97326"/>
    <w:rsid w:val="00B975AC"/>
    <w:rsid w:val="00BA02B3"/>
    <w:rsid w:val="00BA0DE0"/>
    <w:rsid w:val="00BA119C"/>
    <w:rsid w:val="00BA1F4F"/>
    <w:rsid w:val="00BA5388"/>
    <w:rsid w:val="00BA5B1B"/>
    <w:rsid w:val="00BA65CC"/>
    <w:rsid w:val="00BA7207"/>
    <w:rsid w:val="00BA73C2"/>
    <w:rsid w:val="00BB0664"/>
    <w:rsid w:val="00BB1454"/>
    <w:rsid w:val="00BB1D32"/>
    <w:rsid w:val="00BB25A8"/>
    <w:rsid w:val="00BB3155"/>
    <w:rsid w:val="00BB45EF"/>
    <w:rsid w:val="00BB5069"/>
    <w:rsid w:val="00BC012F"/>
    <w:rsid w:val="00BC1809"/>
    <w:rsid w:val="00BC2A6F"/>
    <w:rsid w:val="00BC3054"/>
    <w:rsid w:val="00BC5E39"/>
    <w:rsid w:val="00BD23B7"/>
    <w:rsid w:val="00BD55A4"/>
    <w:rsid w:val="00BD762C"/>
    <w:rsid w:val="00BD7BB9"/>
    <w:rsid w:val="00BE067E"/>
    <w:rsid w:val="00BE1455"/>
    <w:rsid w:val="00BE3F78"/>
    <w:rsid w:val="00BF05AA"/>
    <w:rsid w:val="00BF089E"/>
    <w:rsid w:val="00BF2BAF"/>
    <w:rsid w:val="00BF473D"/>
    <w:rsid w:val="00BF4904"/>
    <w:rsid w:val="00BF4B65"/>
    <w:rsid w:val="00BF4C44"/>
    <w:rsid w:val="00BF5756"/>
    <w:rsid w:val="00BF6032"/>
    <w:rsid w:val="00BF6246"/>
    <w:rsid w:val="00BF76A9"/>
    <w:rsid w:val="00BF7877"/>
    <w:rsid w:val="00C01BE2"/>
    <w:rsid w:val="00C03B09"/>
    <w:rsid w:val="00C03DCC"/>
    <w:rsid w:val="00C04305"/>
    <w:rsid w:val="00C07AFC"/>
    <w:rsid w:val="00C07E0B"/>
    <w:rsid w:val="00C10E77"/>
    <w:rsid w:val="00C11019"/>
    <w:rsid w:val="00C11A9C"/>
    <w:rsid w:val="00C1396C"/>
    <w:rsid w:val="00C14B16"/>
    <w:rsid w:val="00C167B4"/>
    <w:rsid w:val="00C16974"/>
    <w:rsid w:val="00C16F5E"/>
    <w:rsid w:val="00C172E0"/>
    <w:rsid w:val="00C17902"/>
    <w:rsid w:val="00C21DE8"/>
    <w:rsid w:val="00C23157"/>
    <w:rsid w:val="00C23274"/>
    <w:rsid w:val="00C2501F"/>
    <w:rsid w:val="00C27083"/>
    <w:rsid w:val="00C33257"/>
    <w:rsid w:val="00C33BA9"/>
    <w:rsid w:val="00C33F56"/>
    <w:rsid w:val="00C3440A"/>
    <w:rsid w:val="00C349E9"/>
    <w:rsid w:val="00C375EB"/>
    <w:rsid w:val="00C51017"/>
    <w:rsid w:val="00C51366"/>
    <w:rsid w:val="00C51DD7"/>
    <w:rsid w:val="00C535C7"/>
    <w:rsid w:val="00C57DF0"/>
    <w:rsid w:val="00C610F6"/>
    <w:rsid w:val="00C61101"/>
    <w:rsid w:val="00C644FD"/>
    <w:rsid w:val="00C663D0"/>
    <w:rsid w:val="00C67714"/>
    <w:rsid w:val="00C71267"/>
    <w:rsid w:val="00C713D8"/>
    <w:rsid w:val="00C71674"/>
    <w:rsid w:val="00C71A8A"/>
    <w:rsid w:val="00C7377B"/>
    <w:rsid w:val="00C7445D"/>
    <w:rsid w:val="00C767F9"/>
    <w:rsid w:val="00C76A47"/>
    <w:rsid w:val="00C818D6"/>
    <w:rsid w:val="00C81A7E"/>
    <w:rsid w:val="00C8354A"/>
    <w:rsid w:val="00C849C7"/>
    <w:rsid w:val="00C84F27"/>
    <w:rsid w:val="00C85015"/>
    <w:rsid w:val="00C85272"/>
    <w:rsid w:val="00C85594"/>
    <w:rsid w:val="00C857C7"/>
    <w:rsid w:val="00C92A84"/>
    <w:rsid w:val="00C944F8"/>
    <w:rsid w:val="00C95BE7"/>
    <w:rsid w:val="00C95E6B"/>
    <w:rsid w:val="00C96392"/>
    <w:rsid w:val="00C9673D"/>
    <w:rsid w:val="00CA56D7"/>
    <w:rsid w:val="00CA7ECE"/>
    <w:rsid w:val="00CB0DB2"/>
    <w:rsid w:val="00CB12CA"/>
    <w:rsid w:val="00CB3DEE"/>
    <w:rsid w:val="00CB614F"/>
    <w:rsid w:val="00CC0A10"/>
    <w:rsid w:val="00CC150A"/>
    <w:rsid w:val="00CC1710"/>
    <w:rsid w:val="00CC2FCC"/>
    <w:rsid w:val="00CC3749"/>
    <w:rsid w:val="00CC4F41"/>
    <w:rsid w:val="00CC4F71"/>
    <w:rsid w:val="00CC6E0B"/>
    <w:rsid w:val="00CC6EB3"/>
    <w:rsid w:val="00CD0E54"/>
    <w:rsid w:val="00CD2EE7"/>
    <w:rsid w:val="00CD4033"/>
    <w:rsid w:val="00CD481C"/>
    <w:rsid w:val="00CD4CF7"/>
    <w:rsid w:val="00CD5064"/>
    <w:rsid w:val="00CD5594"/>
    <w:rsid w:val="00CD62CC"/>
    <w:rsid w:val="00CD646C"/>
    <w:rsid w:val="00CE2628"/>
    <w:rsid w:val="00CE3B06"/>
    <w:rsid w:val="00CE3FC5"/>
    <w:rsid w:val="00CE51CD"/>
    <w:rsid w:val="00CE5716"/>
    <w:rsid w:val="00CE7D8E"/>
    <w:rsid w:val="00CE7FDF"/>
    <w:rsid w:val="00CF05CC"/>
    <w:rsid w:val="00CF07E2"/>
    <w:rsid w:val="00CF0B0F"/>
    <w:rsid w:val="00CF0E09"/>
    <w:rsid w:val="00CF2EBB"/>
    <w:rsid w:val="00CF3440"/>
    <w:rsid w:val="00CF359E"/>
    <w:rsid w:val="00CF3644"/>
    <w:rsid w:val="00CF387A"/>
    <w:rsid w:val="00CF5767"/>
    <w:rsid w:val="00CF76E2"/>
    <w:rsid w:val="00D0061E"/>
    <w:rsid w:val="00D0173B"/>
    <w:rsid w:val="00D019B7"/>
    <w:rsid w:val="00D040F7"/>
    <w:rsid w:val="00D0495F"/>
    <w:rsid w:val="00D122F6"/>
    <w:rsid w:val="00D1302A"/>
    <w:rsid w:val="00D13F2D"/>
    <w:rsid w:val="00D14261"/>
    <w:rsid w:val="00D15777"/>
    <w:rsid w:val="00D15DDC"/>
    <w:rsid w:val="00D16071"/>
    <w:rsid w:val="00D16BCE"/>
    <w:rsid w:val="00D17D99"/>
    <w:rsid w:val="00D24E47"/>
    <w:rsid w:val="00D254B5"/>
    <w:rsid w:val="00D25879"/>
    <w:rsid w:val="00D274F0"/>
    <w:rsid w:val="00D276FB"/>
    <w:rsid w:val="00D309D2"/>
    <w:rsid w:val="00D30C8B"/>
    <w:rsid w:val="00D30D2C"/>
    <w:rsid w:val="00D312FC"/>
    <w:rsid w:val="00D31DDE"/>
    <w:rsid w:val="00D31FBE"/>
    <w:rsid w:val="00D332DD"/>
    <w:rsid w:val="00D35B48"/>
    <w:rsid w:val="00D4026B"/>
    <w:rsid w:val="00D41273"/>
    <w:rsid w:val="00D4179F"/>
    <w:rsid w:val="00D43A6B"/>
    <w:rsid w:val="00D43B24"/>
    <w:rsid w:val="00D465E8"/>
    <w:rsid w:val="00D469AC"/>
    <w:rsid w:val="00D4735C"/>
    <w:rsid w:val="00D4787F"/>
    <w:rsid w:val="00D5188A"/>
    <w:rsid w:val="00D539F2"/>
    <w:rsid w:val="00D53EB3"/>
    <w:rsid w:val="00D57A39"/>
    <w:rsid w:val="00D60F61"/>
    <w:rsid w:val="00D61F1F"/>
    <w:rsid w:val="00D62B6F"/>
    <w:rsid w:val="00D62D23"/>
    <w:rsid w:val="00D7001A"/>
    <w:rsid w:val="00D7183D"/>
    <w:rsid w:val="00D71D0A"/>
    <w:rsid w:val="00D73933"/>
    <w:rsid w:val="00D758B6"/>
    <w:rsid w:val="00D75CC6"/>
    <w:rsid w:val="00D761E6"/>
    <w:rsid w:val="00D76A3D"/>
    <w:rsid w:val="00D80BCA"/>
    <w:rsid w:val="00D80E1D"/>
    <w:rsid w:val="00D836BC"/>
    <w:rsid w:val="00D83828"/>
    <w:rsid w:val="00D83C9C"/>
    <w:rsid w:val="00D8458F"/>
    <w:rsid w:val="00D85AEF"/>
    <w:rsid w:val="00D9141E"/>
    <w:rsid w:val="00D94152"/>
    <w:rsid w:val="00D952CF"/>
    <w:rsid w:val="00D96A72"/>
    <w:rsid w:val="00DA2308"/>
    <w:rsid w:val="00DA39C9"/>
    <w:rsid w:val="00DA3A74"/>
    <w:rsid w:val="00DA3ACB"/>
    <w:rsid w:val="00DA3CCF"/>
    <w:rsid w:val="00DA468A"/>
    <w:rsid w:val="00DA7BC3"/>
    <w:rsid w:val="00DA7D8A"/>
    <w:rsid w:val="00DB00CD"/>
    <w:rsid w:val="00DB02DB"/>
    <w:rsid w:val="00DB11A0"/>
    <w:rsid w:val="00DB218C"/>
    <w:rsid w:val="00DB2FBA"/>
    <w:rsid w:val="00DB54D2"/>
    <w:rsid w:val="00DB7401"/>
    <w:rsid w:val="00DC2C50"/>
    <w:rsid w:val="00DC3219"/>
    <w:rsid w:val="00DC441E"/>
    <w:rsid w:val="00DC4AD2"/>
    <w:rsid w:val="00DC4B99"/>
    <w:rsid w:val="00DC6A68"/>
    <w:rsid w:val="00DD1D5F"/>
    <w:rsid w:val="00DD38EE"/>
    <w:rsid w:val="00DD631E"/>
    <w:rsid w:val="00DE0D49"/>
    <w:rsid w:val="00DE0FD4"/>
    <w:rsid w:val="00DE207A"/>
    <w:rsid w:val="00DF6CE2"/>
    <w:rsid w:val="00DF7674"/>
    <w:rsid w:val="00E0115F"/>
    <w:rsid w:val="00E02F27"/>
    <w:rsid w:val="00E03937"/>
    <w:rsid w:val="00E043D5"/>
    <w:rsid w:val="00E05E3A"/>
    <w:rsid w:val="00E06FD7"/>
    <w:rsid w:val="00E0719D"/>
    <w:rsid w:val="00E10AFC"/>
    <w:rsid w:val="00E10D32"/>
    <w:rsid w:val="00E11251"/>
    <w:rsid w:val="00E13D06"/>
    <w:rsid w:val="00E15488"/>
    <w:rsid w:val="00E2040B"/>
    <w:rsid w:val="00E2059E"/>
    <w:rsid w:val="00E20894"/>
    <w:rsid w:val="00E20C3B"/>
    <w:rsid w:val="00E2330C"/>
    <w:rsid w:val="00E256DC"/>
    <w:rsid w:val="00E25B27"/>
    <w:rsid w:val="00E25CC5"/>
    <w:rsid w:val="00E25E49"/>
    <w:rsid w:val="00E2753A"/>
    <w:rsid w:val="00E27670"/>
    <w:rsid w:val="00E278F4"/>
    <w:rsid w:val="00E31137"/>
    <w:rsid w:val="00E313DD"/>
    <w:rsid w:val="00E32392"/>
    <w:rsid w:val="00E32FD2"/>
    <w:rsid w:val="00E337A4"/>
    <w:rsid w:val="00E34211"/>
    <w:rsid w:val="00E35218"/>
    <w:rsid w:val="00E35E7D"/>
    <w:rsid w:val="00E3789F"/>
    <w:rsid w:val="00E37A42"/>
    <w:rsid w:val="00E40073"/>
    <w:rsid w:val="00E409A5"/>
    <w:rsid w:val="00E41ED9"/>
    <w:rsid w:val="00E423EC"/>
    <w:rsid w:val="00E431E5"/>
    <w:rsid w:val="00E43523"/>
    <w:rsid w:val="00E46368"/>
    <w:rsid w:val="00E46ECD"/>
    <w:rsid w:val="00E502BB"/>
    <w:rsid w:val="00E50B0E"/>
    <w:rsid w:val="00E51AA6"/>
    <w:rsid w:val="00E52308"/>
    <w:rsid w:val="00E52336"/>
    <w:rsid w:val="00E5461B"/>
    <w:rsid w:val="00E54B8D"/>
    <w:rsid w:val="00E560A7"/>
    <w:rsid w:val="00E57B69"/>
    <w:rsid w:val="00E60C29"/>
    <w:rsid w:val="00E62BA5"/>
    <w:rsid w:val="00E65528"/>
    <w:rsid w:val="00E6582A"/>
    <w:rsid w:val="00E65B9D"/>
    <w:rsid w:val="00E66613"/>
    <w:rsid w:val="00E67EF7"/>
    <w:rsid w:val="00E7371A"/>
    <w:rsid w:val="00E7435C"/>
    <w:rsid w:val="00E74563"/>
    <w:rsid w:val="00E74F9F"/>
    <w:rsid w:val="00E755BC"/>
    <w:rsid w:val="00E759E4"/>
    <w:rsid w:val="00E77E37"/>
    <w:rsid w:val="00E80E3D"/>
    <w:rsid w:val="00E81ADE"/>
    <w:rsid w:val="00E8415C"/>
    <w:rsid w:val="00E85C7D"/>
    <w:rsid w:val="00E87E7B"/>
    <w:rsid w:val="00E90BD1"/>
    <w:rsid w:val="00E94D85"/>
    <w:rsid w:val="00E962EE"/>
    <w:rsid w:val="00E9724E"/>
    <w:rsid w:val="00E97F89"/>
    <w:rsid w:val="00EA020C"/>
    <w:rsid w:val="00EA1417"/>
    <w:rsid w:val="00EA28D6"/>
    <w:rsid w:val="00EA4704"/>
    <w:rsid w:val="00EA7EA9"/>
    <w:rsid w:val="00EB1068"/>
    <w:rsid w:val="00EB3603"/>
    <w:rsid w:val="00EC431C"/>
    <w:rsid w:val="00ED02C3"/>
    <w:rsid w:val="00ED05EE"/>
    <w:rsid w:val="00ED0CDA"/>
    <w:rsid w:val="00ED1077"/>
    <w:rsid w:val="00ED10ED"/>
    <w:rsid w:val="00ED218B"/>
    <w:rsid w:val="00ED4078"/>
    <w:rsid w:val="00ED431F"/>
    <w:rsid w:val="00ED5729"/>
    <w:rsid w:val="00ED6E84"/>
    <w:rsid w:val="00ED6ED6"/>
    <w:rsid w:val="00EE070E"/>
    <w:rsid w:val="00EE0B79"/>
    <w:rsid w:val="00EE10D9"/>
    <w:rsid w:val="00EE25D5"/>
    <w:rsid w:val="00EE2A75"/>
    <w:rsid w:val="00EE3E1A"/>
    <w:rsid w:val="00EE4441"/>
    <w:rsid w:val="00EE522F"/>
    <w:rsid w:val="00EE5AFA"/>
    <w:rsid w:val="00EF2883"/>
    <w:rsid w:val="00EF4A3D"/>
    <w:rsid w:val="00EF5329"/>
    <w:rsid w:val="00EF5A09"/>
    <w:rsid w:val="00EF6151"/>
    <w:rsid w:val="00EF745E"/>
    <w:rsid w:val="00EF79CD"/>
    <w:rsid w:val="00F00C86"/>
    <w:rsid w:val="00F02FC3"/>
    <w:rsid w:val="00F05668"/>
    <w:rsid w:val="00F10D99"/>
    <w:rsid w:val="00F125F7"/>
    <w:rsid w:val="00F1282F"/>
    <w:rsid w:val="00F128F5"/>
    <w:rsid w:val="00F13A3E"/>
    <w:rsid w:val="00F1448C"/>
    <w:rsid w:val="00F14E87"/>
    <w:rsid w:val="00F163BC"/>
    <w:rsid w:val="00F16770"/>
    <w:rsid w:val="00F179BF"/>
    <w:rsid w:val="00F20064"/>
    <w:rsid w:val="00F20698"/>
    <w:rsid w:val="00F20A2C"/>
    <w:rsid w:val="00F23BE2"/>
    <w:rsid w:val="00F24AEB"/>
    <w:rsid w:val="00F25D37"/>
    <w:rsid w:val="00F26171"/>
    <w:rsid w:val="00F31DA7"/>
    <w:rsid w:val="00F324A6"/>
    <w:rsid w:val="00F34F9C"/>
    <w:rsid w:val="00F35301"/>
    <w:rsid w:val="00F37C63"/>
    <w:rsid w:val="00F406CC"/>
    <w:rsid w:val="00F41814"/>
    <w:rsid w:val="00F41E22"/>
    <w:rsid w:val="00F440C6"/>
    <w:rsid w:val="00F4587D"/>
    <w:rsid w:val="00F4607A"/>
    <w:rsid w:val="00F47FDA"/>
    <w:rsid w:val="00F50FE0"/>
    <w:rsid w:val="00F52D0B"/>
    <w:rsid w:val="00F53F21"/>
    <w:rsid w:val="00F54635"/>
    <w:rsid w:val="00F55F79"/>
    <w:rsid w:val="00F566BC"/>
    <w:rsid w:val="00F56A9C"/>
    <w:rsid w:val="00F56AAB"/>
    <w:rsid w:val="00F56B5F"/>
    <w:rsid w:val="00F577DD"/>
    <w:rsid w:val="00F605D4"/>
    <w:rsid w:val="00F635D8"/>
    <w:rsid w:val="00F637E9"/>
    <w:rsid w:val="00F639A3"/>
    <w:rsid w:val="00F650C9"/>
    <w:rsid w:val="00F65190"/>
    <w:rsid w:val="00F73297"/>
    <w:rsid w:val="00F733B3"/>
    <w:rsid w:val="00F7402A"/>
    <w:rsid w:val="00F7438D"/>
    <w:rsid w:val="00F75372"/>
    <w:rsid w:val="00F778B6"/>
    <w:rsid w:val="00F77C92"/>
    <w:rsid w:val="00F80B67"/>
    <w:rsid w:val="00F81B41"/>
    <w:rsid w:val="00F82168"/>
    <w:rsid w:val="00F840B7"/>
    <w:rsid w:val="00F8641C"/>
    <w:rsid w:val="00F871D8"/>
    <w:rsid w:val="00F90937"/>
    <w:rsid w:val="00F92FD2"/>
    <w:rsid w:val="00F9409A"/>
    <w:rsid w:val="00F96ED0"/>
    <w:rsid w:val="00F970C1"/>
    <w:rsid w:val="00FA165B"/>
    <w:rsid w:val="00FA45D3"/>
    <w:rsid w:val="00FA4607"/>
    <w:rsid w:val="00FA4E1A"/>
    <w:rsid w:val="00FA5039"/>
    <w:rsid w:val="00FB07A2"/>
    <w:rsid w:val="00FB0EEE"/>
    <w:rsid w:val="00FB100B"/>
    <w:rsid w:val="00FB166A"/>
    <w:rsid w:val="00FB1C17"/>
    <w:rsid w:val="00FB3D5A"/>
    <w:rsid w:val="00FB50D0"/>
    <w:rsid w:val="00FC1B21"/>
    <w:rsid w:val="00FC559A"/>
    <w:rsid w:val="00FC701F"/>
    <w:rsid w:val="00FC73CC"/>
    <w:rsid w:val="00FD0278"/>
    <w:rsid w:val="00FD06D0"/>
    <w:rsid w:val="00FD0803"/>
    <w:rsid w:val="00FD122F"/>
    <w:rsid w:val="00FD1410"/>
    <w:rsid w:val="00FD15E9"/>
    <w:rsid w:val="00FD1BC6"/>
    <w:rsid w:val="00FD2277"/>
    <w:rsid w:val="00FD5566"/>
    <w:rsid w:val="00FD5BD7"/>
    <w:rsid w:val="00FD6143"/>
    <w:rsid w:val="00FD6D79"/>
    <w:rsid w:val="00FD7786"/>
    <w:rsid w:val="00FE2353"/>
    <w:rsid w:val="00FE4694"/>
    <w:rsid w:val="00FE56FE"/>
    <w:rsid w:val="00FE5902"/>
    <w:rsid w:val="00FE5FE5"/>
    <w:rsid w:val="00FE6D2E"/>
    <w:rsid w:val="00FF61A4"/>
    <w:rsid w:val="00FF738E"/>
    <w:rsid w:val="00FF7B07"/>
    <w:rsid w:val="011C5382"/>
    <w:rsid w:val="01A225C9"/>
    <w:rsid w:val="01A3486D"/>
    <w:rsid w:val="01B8407B"/>
    <w:rsid w:val="01D4368F"/>
    <w:rsid w:val="024535A0"/>
    <w:rsid w:val="03A5079A"/>
    <w:rsid w:val="046A70B7"/>
    <w:rsid w:val="060937F7"/>
    <w:rsid w:val="062E7E61"/>
    <w:rsid w:val="06345E06"/>
    <w:rsid w:val="064945E2"/>
    <w:rsid w:val="06666EA9"/>
    <w:rsid w:val="068A2CF5"/>
    <w:rsid w:val="06A4435A"/>
    <w:rsid w:val="06EE3348"/>
    <w:rsid w:val="07AC2D10"/>
    <w:rsid w:val="088AC65D"/>
    <w:rsid w:val="09215C3B"/>
    <w:rsid w:val="0A134478"/>
    <w:rsid w:val="0A2D5046"/>
    <w:rsid w:val="0AA007CB"/>
    <w:rsid w:val="0AE50DDC"/>
    <w:rsid w:val="0B161C40"/>
    <w:rsid w:val="0DCD67C6"/>
    <w:rsid w:val="0E952CFB"/>
    <w:rsid w:val="0EBB4C8F"/>
    <w:rsid w:val="0EDC578E"/>
    <w:rsid w:val="0F80104A"/>
    <w:rsid w:val="0F930041"/>
    <w:rsid w:val="101A5017"/>
    <w:rsid w:val="102232DC"/>
    <w:rsid w:val="10E951C3"/>
    <w:rsid w:val="116F40D5"/>
    <w:rsid w:val="11C30959"/>
    <w:rsid w:val="1265736F"/>
    <w:rsid w:val="1299232C"/>
    <w:rsid w:val="132E389E"/>
    <w:rsid w:val="13C20EF5"/>
    <w:rsid w:val="13C702B9"/>
    <w:rsid w:val="14AF0EEB"/>
    <w:rsid w:val="14CD3C10"/>
    <w:rsid w:val="14E66A58"/>
    <w:rsid w:val="15960C7B"/>
    <w:rsid w:val="15A52E05"/>
    <w:rsid w:val="15DE3A09"/>
    <w:rsid w:val="15FF639A"/>
    <w:rsid w:val="16034B4F"/>
    <w:rsid w:val="16111E24"/>
    <w:rsid w:val="169C6879"/>
    <w:rsid w:val="170B22E0"/>
    <w:rsid w:val="1720040C"/>
    <w:rsid w:val="1783099B"/>
    <w:rsid w:val="17D73E68"/>
    <w:rsid w:val="17F50167"/>
    <w:rsid w:val="18466512"/>
    <w:rsid w:val="19685D18"/>
    <w:rsid w:val="19856C4C"/>
    <w:rsid w:val="19C43585"/>
    <w:rsid w:val="1A0145DD"/>
    <w:rsid w:val="1BAD1C1C"/>
    <w:rsid w:val="1C0E4D87"/>
    <w:rsid w:val="1C633214"/>
    <w:rsid w:val="1D662AF6"/>
    <w:rsid w:val="1DEB66B6"/>
    <w:rsid w:val="1E3E4484"/>
    <w:rsid w:val="1EA362CD"/>
    <w:rsid w:val="1EB00660"/>
    <w:rsid w:val="1EB87322"/>
    <w:rsid w:val="1EE44415"/>
    <w:rsid w:val="1FA736D0"/>
    <w:rsid w:val="1FFC62A9"/>
    <w:rsid w:val="200A3A07"/>
    <w:rsid w:val="20EC5A24"/>
    <w:rsid w:val="21AA2B33"/>
    <w:rsid w:val="21EF4C0D"/>
    <w:rsid w:val="22EE7610"/>
    <w:rsid w:val="23621ABE"/>
    <w:rsid w:val="245636BF"/>
    <w:rsid w:val="24756790"/>
    <w:rsid w:val="24D22454"/>
    <w:rsid w:val="25073E82"/>
    <w:rsid w:val="251E2706"/>
    <w:rsid w:val="2552433F"/>
    <w:rsid w:val="266B5332"/>
    <w:rsid w:val="279F4AE3"/>
    <w:rsid w:val="27AD4656"/>
    <w:rsid w:val="283C7885"/>
    <w:rsid w:val="28AF3403"/>
    <w:rsid w:val="28DD5780"/>
    <w:rsid w:val="28E73038"/>
    <w:rsid w:val="294837F2"/>
    <w:rsid w:val="294F446E"/>
    <w:rsid w:val="29606D8E"/>
    <w:rsid w:val="29622CF1"/>
    <w:rsid w:val="29E74982"/>
    <w:rsid w:val="2A0D54DC"/>
    <w:rsid w:val="2BEC266C"/>
    <w:rsid w:val="2C49322E"/>
    <w:rsid w:val="2CFC3762"/>
    <w:rsid w:val="2D0546DE"/>
    <w:rsid w:val="2D06273C"/>
    <w:rsid w:val="2D825423"/>
    <w:rsid w:val="2DB574AC"/>
    <w:rsid w:val="2DCC65B4"/>
    <w:rsid w:val="2DEB69F1"/>
    <w:rsid w:val="2E051FEF"/>
    <w:rsid w:val="2E0A551A"/>
    <w:rsid w:val="2ECF6A6A"/>
    <w:rsid w:val="2F1E4252"/>
    <w:rsid w:val="2F83378C"/>
    <w:rsid w:val="31993BF6"/>
    <w:rsid w:val="31E9772E"/>
    <w:rsid w:val="339451D9"/>
    <w:rsid w:val="33E763DF"/>
    <w:rsid w:val="34AC5C19"/>
    <w:rsid w:val="35780FBB"/>
    <w:rsid w:val="358837D2"/>
    <w:rsid w:val="364F71F3"/>
    <w:rsid w:val="36991A38"/>
    <w:rsid w:val="36A435AC"/>
    <w:rsid w:val="36AF4EB1"/>
    <w:rsid w:val="3733381C"/>
    <w:rsid w:val="37BD6532"/>
    <w:rsid w:val="37CF0937"/>
    <w:rsid w:val="39016C7B"/>
    <w:rsid w:val="39246D63"/>
    <w:rsid w:val="393F42CA"/>
    <w:rsid w:val="39E430C3"/>
    <w:rsid w:val="39E46D7E"/>
    <w:rsid w:val="39F324AA"/>
    <w:rsid w:val="3A810912"/>
    <w:rsid w:val="3AC9541F"/>
    <w:rsid w:val="3AE6420D"/>
    <w:rsid w:val="3B9B63A6"/>
    <w:rsid w:val="3BC761E8"/>
    <w:rsid w:val="3C2F3EEC"/>
    <w:rsid w:val="3C731FF0"/>
    <w:rsid w:val="3C9D48BB"/>
    <w:rsid w:val="3CDE5061"/>
    <w:rsid w:val="3E4778F4"/>
    <w:rsid w:val="3E585825"/>
    <w:rsid w:val="3EC92D1F"/>
    <w:rsid w:val="3F5F5B29"/>
    <w:rsid w:val="3F682348"/>
    <w:rsid w:val="40F5608F"/>
    <w:rsid w:val="419A660E"/>
    <w:rsid w:val="42501670"/>
    <w:rsid w:val="429A0FD3"/>
    <w:rsid w:val="436E50FF"/>
    <w:rsid w:val="43942943"/>
    <w:rsid w:val="43964E4B"/>
    <w:rsid w:val="43C96B11"/>
    <w:rsid w:val="441B1CDE"/>
    <w:rsid w:val="44341085"/>
    <w:rsid w:val="4456696C"/>
    <w:rsid w:val="44DE708D"/>
    <w:rsid w:val="4552516D"/>
    <w:rsid w:val="457737AB"/>
    <w:rsid w:val="46C439BB"/>
    <w:rsid w:val="477E7368"/>
    <w:rsid w:val="47F061E8"/>
    <w:rsid w:val="49125A42"/>
    <w:rsid w:val="497C6E74"/>
    <w:rsid w:val="4A9732D1"/>
    <w:rsid w:val="4CE91059"/>
    <w:rsid w:val="4CF94FA7"/>
    <w:rsid w:val="4D8F7968"/>
    <w:rsid w:val="4D941B5C"/>
    <w:rsid w:val="4DB6348E"/>
    <w:rsid w:val="4E0F1039"/>
    <w:rsid w:val="4E4B6B2E"/>
    <w:rsid w:val="4E976EE5"/>
    <w:rsid w:val="4F64345B"/>
    <w:rsid w:val="50125E3D"/>
    <w:rsid w:val="5023426F"/>
    <w:rsid w:val="502E542E"/>
    <w:rsid w:val="503348EC"/>
    <w:rsid w:val="505508C7"/>
    <w:rsid w:val="51C56029"/>
    <w:rsid w:val="51DE3D1B"/>
    <w:rsid w:val="523A58EB"/>
    <w:rsid w:val="52B5758B"/>
    <w:rsid w:val="530D0818"/>
    <w:rsid w:val="53186A94"/>
    <w:rsid w:val="53244B75"/>
    <w:rsid w:val="535F37EB"/>
    <w:rsid w:val="538C4690"/>
    <w:rsid w:val="53973B91"/>
    <w:rsid w:val="53DF1DE6"/>
    <w:rsid w:val="541945C2"/>
    <w:rsid w:val="544D1138"/>
    <w:rsid w:val="547277F2"/>
    <w:rsid w:val="547425E7"/>
    <w:rsid w:val="54ED4792"/>
    <w:rsid w:val="55067F3A"/>
    <w:rsid w:val="552C1D38"/>
    <w:rsid w:val="55447935"/>
    <w:rsid w:val="555052F8"/>
    <w:rsid w:val="55B76301"/>
    <w:rsid w:val="55F11320"/>
    <w:rsid w:val="56430908"/>
    <w:rsid w:val="564741D4"/>
    <w:rsid w:val="5649479E"/>
    <w:rsid w:val="56821842"/>
    <w:rsid w:val="56B2349A"/>
    <w:rsid w:val="57F3941E"/>
    <w:rsid w:val="59B52859"/>
    <w:rsid w:val="5A54439C"/>
    <w:rsid w:val="5A646E68"/>
    <w:rsid w:val="5A682141"/>
    <w:rsid w:val="5AA4447D"/>
    <w:rsid w:val="5B422F21"/>
    <w:rsid w:val="5B780C82"/>
    <w:rsid w:val="5B9242D5"/>
    <w:rsid w:val="5C776D77"/>
    <w:rsid w:val="5C915E6B"/>
    <w:rsid w:val="5D641D95"/>
    <w:rsid w:val="5D782B98"/>
    <w:rsid w:val="5DBB0F2E"/>
    <w:rsid w:val="5F86343D"/>
    <w:rsid w:val="60CA191B"/>
    <w:rsid w:val="61275E87"/>
    <w:rsid w:val="634C7460"/>
    <w:rsid w:val="63DE2650"/>
    <w:rsid w:val="646031C3"/>
    <w:rsid w:val="649D510D"/>
    <w:rsid w:val="64C869F0"/>
    <w:rsid w:val="6579322E"/>
    <w:rsid w:val="659104B9"/>
    <w:rsid w:val="66962D42"/>
    <w:rsid w:val="66E175D6"/>
    <w:rsid w:val="673426E5"/>
    <w:rsid w:val="67C87AD8"/>
    <w:rsid w:val="68347107"/>
    <w:rsid w:val="68401F62"/>
    <w:rsid w:val="6863545E"/>
    <w:rsid w:val="687040EA"/>
    <w:rsid w:val="687B4F9F"/>
    <w:rsid w:val="68E65C61"/>
    <w:rsid w:val="691D10AB"/>
    <w:rsid w:val="69543F74"/>
    <w:rsid w:val="6ABBC3AE"/>
    <w:rsid w:val="6ABD7B85"/>
    <w:rsid w:val="6AD55F8D"/>
    <w:rsid w:val="6AF552D9"/>
    <w:rsid w:val="6B60619E"/>
    <w:rsid w:val="6C020FDA"/>
    <w:rsid w:val="6C5768BD"/>
    <w:rsid w:val="6D152FA3"/>
    <w:rsid w:val="6D7A730B"/>
    <w:rsid w:val="6DC60EAC"/>
    <w:rsid w:val="6E40116B"/>
    <w:rsid w:val="6E7F2DDF"/>
    <w:rsid w:val="6EAE0BDB"/>
    <w:rsid w:val="6F20011E"/>
    <w:rsid w:val="6F2F061C"/>
    <w:rsid w:val="6F3F662E"/>
    <w:rsid w:val="6F502086"/>
    <w:rsid w:val="6F92269E"/>
    <w:rsid w:val="6FDB2297"/>
    <w:rsid w:val="70241C92"/>
    <w:rsid w:val="70651B61"/>
    <w:rsid w:val="71063344"/>
    <w:rsid w:val="7177346D"/>
    <w:rsid w:val="721B3D54"/>
    <w:rsid w:val="724265FE"/>
    <w:rsid w:val="72FE723B"/>
    <w:rsid w:val="73373C88"/>
    <w:rsid w:val="75144C85"/>
    <w:rsid w:val="754B3FA8"/>
    <w:rsid w:val="75B66EC7"/>
    <w:rsid w:val="75E42D77"/>
    <w:rsid w:val="769B32FE"/>
    <w:rsid w:val="76BC0E6E"/>
    <w:rsid w:val="76CB99AA"/>
    <w:rsid w:val="77DD1CAC"/>
    <w:rsid w:val="77ED70A3"/>
    <w:rsid w:val="77F76624"/>
    <w:rsid w:val="78006D3F"/>
    <w:rsid w:val="78767A5A"/>
    <w:rsid w:val="794753EB"/>
    <w:rsid w:val="7991756A"/>
    <w:rsid w:val="79BC0732"/>
    <w:rsid w:val="79FA34D1"/>
    <w:rsid w:val="7A0C376C"/>
    <w:rsid w:val="7A2447EE"/>
    <w:rsid w:val="7B21391B"/>
    <w:rsid w:val="7B4F8F04"/>
    <w:rsid w:val="7B910862"/>
    <w:rsid w:val="7BA26864"/>
    <w:rsid w:val="7BBE6619"/>
    <w:rsid w:val="7BC736D0"/>
    <w:rsid w:val="7C0E2BA8"/>
    <w:rsid w:val="7C5D5133"/>
    <w:rsid w:val="7C9B086D"/>
    <w:rsid w:val="7C9D2088"/>
    <w:rsid w:val="7CBB4D10"/>
    <w:rsid w:val="7CCC0554"/>
    <w:rsid w:val="7DA261A2"/>
    <w:rsid w:val="7DC0310C"/>
    <w:rsid w:val="7DDF5AFB"/>
    <w:rsid w:val="7EC25DDB"/>
    <w:rsid w:val="7EFF88A6"/>
    <w:rsid w:val="7F1E5CFC"/>
    <w:rsid w:val="7F7D0013"/>
    <w:rsid w:val="7F8C25CA"/>
    <w:rsid w:val="7FE71FE2"/>
    <w:rsid w:val="7FFF2357"/>
    <w:rsid w:val="9D9F93AE"/>
    <w:rsid w:val="9ED3A0D3"/>
    <w:rsid w:val="AFCFCAFD"/>
    <w:rsid w:val="BDBD23DD"/>
    <w:rsid w:val="BF5BA48F"/>
    <w:rsid w:val="BFED20BE"/>
    <w:rsid w:val="BFFC99A7"/>
    <w:rsid w:val="CF7DFC99"/>
    <w:rsid w:val="CFBF4C81"/>
    <w:rsid w:val="CFF6847A"/>
    <w:rsid w:val="DB1F274B"/>
    <w:rsid w:val="EEE4B3F6"/>
    <w:rsid w:val="EFFDE775"/>
    <w:rsid w:val="F58F5190"/>
    <w:rsid w:val="FBF3DC05"/>
    <w:rsid w:val="FEFC3C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9"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3"/>
    <w:next w:val="1"/>
    <w:qFormat/>
    <w:uiPriority w:val="0"/>
    <w:pPr>
      <w:keepNext/>
      <w:keepLines/>
      <w:spacing w:before="340" w:after="330" w:line="576" w:lineRule="auto"/>
      <w:outlineLvl w:val="0"/>
    </w:pPr>
    <w:rPr>
      <w:b/>
      <w:kern w:val="44"/>
      <w:sz w:val="28"/>
    </w:rPr>
  </w:style>
  <w:style w:type="paragraph" w:styleId="4">
    <w:name w:val="heading 2"/>
    <w:basedOn w:val="1"/>
    <w:next w:val="1"/>
    <w:qFormat/>
    <w:uiPriority w:val="0"/>
    <w:pPr>
      <w:keepNext/>
      <w:keepLines/>
      <w:spacing w:before="260" w:after="260" w:line="413" w:lineRule="auto"/>
      <w:outlineLvl w:val="1"/>
    </w:pPr>
    <w:rPr>
      <w:rFonts w:ascii="Arial" w:hAnsi="Arial"/>
      <w:b/>
      <w:sz w:val="28"/>
    </w:rPr>
  </w:style>
  <w:style w:type="paragraph" w:styleId="5">
    <w:name w:val="heading 3"/>
    <w:basedOn w:val="1"/>
    <w:next w:val="1"/>
    <w:link w:val="43"/>
    <w:semiHidden/>
    <w:unhideWhenUsed/>
    <w:qFormat/>
    <w:uiPriority w:val="0"/>
    <w:pPr>
      <w:keepNext/>
      <w:keepLines/>
      <w:spacing w:before="260" w:after="260" w:line="416" w:lineRule="auto"/>
      <w:outlineLvl w:val="2"/>
    </w:pPr>
    <w:rPr>
      <w:b/>
      <w:bCs/>
      <w:sz w:val="32"/>
      <w:szCs w:val="32"/>
    </w:rPr>
  </w:style>
  <w:style w:type="paragraph" w:styleId="6">
    <w:name w:val="heading 4"/>
    <w:basedOn w:val="7"/>
    <w:next w:val="1"/>
    <w:qFormat/>
    <w:uiPriority w:val="9"/>
    <w:pPr>
      <w:tabs>
        <w:tab w:val="left" w:pos="360"/>
      </w:tabs>
      <w:spacing w:beforeAutospacing="1" w:after="0" w:afterAutospacing="1"/>
      <w:jc w:val="left"/>
    </w:pPr>
    <w:rPr>
      <w:rFonts w:hint="eastAsia" w:cs="宋体"/>
      <w:b/>
      <w:bCs/>
      <w:sz w:val="24"/>
      <w:szCs w:val="24"/>
    </w:rPr>
  </w:style>
  <w:style w:type="paragraph" w:styleId="11">
    <w:name w:val="heading 5"/>
    <w:basedOn w:val="1"/>
    <w:next w:val="1"/>
    <w:qFormat/>
    <w:uiPriority w:val="9"/>
    <w:pPr>
      <w:spacing w:beforeAutospacing="1" w:afterAutospacing="1"/>
      <w:jc w:val="left"/>
      <w:outlineLvl w:val="4"/>
    </w:pPr>
    <w:rPr>
      <w:rFonts w:hint="eastAsia" w:ascii="宋体" w:hAnsi="宋体" w:cs="宋体"/>
      <w:b/>
      <w:bCs/>
      <w:kern w:val="0"/>
      <w:sz w:val="20"/>
      <w:szCs w:val="20"/>
    </w:rPr>
  </w:style>
  <w:style w:type="character" w:default="1" w:styleId="24">
    <w:name w:val="Default Paragraph Font"/>
    <w:semiHidden/>
    <w:unhideWhenUsed/>
    <w:uiPriority w:val="1"/>
  </w:style>
  <w:style w:type="table" w:default="1" w:styleId="22">
    <w:name w:val="Normal Table"/>
    <w:semiHidden/>
    <w:unhideWhenUsed/>
    <w:uiPriority w:val="99"/>
    <w:tblPr>
      <w:tblCellMar>
        <w:top w:w="0" w:type="dxa"/>
        <w:left w:w="108" w:type="dxa"/>
        <w:bottom w:w="0" w:type="dxa"/>
        <w:right w:w="108" w:type="dxa"/>
      </w:tblCellMar>
    </w:tblPr>
  </w:style>
  <w:style w:type="paragraph" w:customStyle="1" w:styleId="3">
    <w:name w:val="标准样式1"/>
    <w:basedOn w:val="1"/>
    <w:qFormat/>
    <w:uiPriority w:val="0"/>
    <w:pPr>
      <w:jc w:val="center"/>
    </w:pPr>
    <w:rPr>
      <w:rFonts w:ascii="宋体" w:hAnsi="宋体" w:cs="宋体"/>
      <w:szCs w:val="32"/>
    </w:rPr>
  </w:style>
  <w:style w:type="paragraph" w:customStyle="1" w:styleId="7">
    <w:name w:val="二级条标题"/>
    <w:basedOn w:val="8"/>
    <w:next w:val="10"/>
    <w:qFormat/>
    <w:uiPriority w:val="99"/>
    <w:pPr>
      <w:numPr>
        <w:numId w:val="1"/>
      </w:numPr>
      <w:tabs>
        <w:tab w:val="left" w:pos="360"/>
      </w:tabs>
      <w:ind w:left="0"/>
      <w:outlineLvl w:val="3"/>
    </w:pPr>
    <w:rPr>
      <w:rFonts w:ascii="宋体" w:hAnsi="宋体" w:eastAsia="宋体"/>
    </w:rPr>
  </w:style>
  <w:style w:type="paragraph" w:customStyle="1" w:styleId="8">
    <w:name w:val="一级条标题"/>
    <w:basedOn w:val="9"/>
    <w:next w:val="10"/>
    <w:qFormat/>
    <w:uiPriority w:val="0"/>
    <w:pPr>
      <w:numPr>
        <w:ilvl w:val="2"/>
      </w:numPr>
      <w:tabs>
        <w:tab w:val="left" w:pos="360"/>
      </w:tabs>
      <w:spacing w:beforeLines="0" w:afterLines="0"/>
      <w:outlineLvl w:val="2"/>
    </w:pPr>
  </w:style>
  <w:style w:type="paragraph" w:customStyle="1" w:styleId="9">
    <w:name w:val="章标题"/>
    <w:next w:val="10"/>
    <w:qFormat/>
    <w:uiPriority w:val="0"/>
    <w:pPr>
      <w:numPr>
        <w:ilvl w:val="1"/>
        <w:numId w:val="2"/>
      </w:numPr>
      <w:tabs>
        <w:tab w:val="left" w:pos="360"/>
      </w:tabs>
      <w:spacing w:beforeLines="50" w:after="160" w:afterLines="50" w:line="300" w:lineRule="auto"/>
      <w:ind w:left="0"/>
      <w:jc w:val="both"/>
      <w:outlineLvl w:val="1"/>
    </w:pPr>
    <w:rPr>
      <w:rFonts w:ascii="黑体" w:hAnsi="Times New Roman" w:eastAsia="黑体" w:cs="Times New Roman"/>
      <w:sz w:val="21"/>
      <w:szCs w:val="21"/>
      <w:lang w:val="en-US" w:eastAsia="zh-CN" w:bidi="ar-SA"/>
    </w:rPr>
  </w:style>
  <w:style w:type="paragraph" w:customStyle="1" w:styleId="10">
    <w:name w:val="段"/>
    <w:qFormat/>
    <w:uiPriority w:val="99"/>
    <w:pPr>
      <w:autoSpaceDE w:val="0"/>
      <w:autoSpaceDN w:val="0"/>
      <w:spacing w:after="160" w:line="300" w:lineRule="auto"/>
      <w:ind w:firstLine="200" w:firstLineChars="200"/>
      <w:jc w:val="both"/>
    </w:pPr>
    <w:rPr>
      <w:rFonts w:ascii="宋体" w:hAnsi="Times New Roman" w:eastAsia="宋体" w:cs="Times New Roman"/>
      <w:sz w:val="21"/>
      <w:szCs w:val="21"/>
      <w:lang w:val="en-US" w:eastAsia="zh-CN" w:bidi="ar-SA"/>
    </w:rPr>
  </w:style>
  <w:style w:type="paragraph" w:styleId="12">
    <w:name w:val="annotation text"/>
    <w:basedOn w:val="1"/>
    <w:link w:val="47"/>
    <w:qFormat/>
    <w:uiPriority w:val="99"/>
    <w:pPr>
      <w:jc w:val="left"/>
    </w:pPr>
  </w:style>
  <w:style w:type="paragraph" w:styleId="13">
    <w:name w:val="toc 3"/>
    <w:basedOn w:val="1"/>
    <w:next w:val="1"/>
    <w:autoRedefine/>
    <w:qFormat/>
    <w:uiPriority w:val="39"/>
    <w:pPr>
      <w:ind w:left="840" w:leftChars="400"/>
    </w:pPr>
  </w:style>
  <w:style w:type="paragraph" w:styleId="14">
    <w:name w:val="Balloon Text"/>
    <w:basedOn w:val="1"/>
    <w:link w:val="46"/>
    <w:qFormat/>
    <w:uiPriority w:val="0"/>
    <w:rPr>
      <w:sz w:val="18"/>
      <w:szCs w:val="18"/>
    </w:rPr>
  </w:style>
  <w:style w:type="paragraph" w:styleId="15">
    <w:name w:val="footer"/>
    <w:basedOn w:val="1"/>
    <w:qFormat/>
    <w:uiPriority w:val="99"/>
    <w:pPr>
      <w:tabs>
        <w:tab w:val="center" w:pos="4153"/>
        <w:tab w:val="right" w:pos="8306"/>
      </w:tabs>
      <w:snapToGrid w:val="0"/>
      <w:jc w:val="left"/>
    </w:pPr>
    <w:rPr>
      <w:sz w:val="18"/>
    </w:rPr>
  </w:style>
  <w:style w:type="paragraph" w:styleId="16">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7">
    <w:name w:val="toc 1"/>
    <w:basedOn w:val="1"/>
    <w:next w:val="1"/>
    <w:qFormat/>
    <w:uiPriority w:val="39"/>
  </w:style>
  <w:style w:type="paragraph" w:styleId="18">
    <w:name w:val="toc 4"/>
    <w:basedOn w:val="1"/>
    <w:next w:val="1"/>
    <w:qFormat/>
    <w:uiPriority w:val="0"/>
    <w:pPr>
      <w:ind w:left="1260" w:leftChars="600"/>
    </w:pPr>
  </w:style>
  <w:style w:type="paragraph" w:styleId="19">
    <w:name w:val="toc 2"/>
    <w:basedOn w:val="1"/>
    <w:next w:val="1"/>
    <w:qFormat/>
    <w:uiPriority w:val="39"/>
    <w:pPr>
      <w:ind w:left="420" w:leftChars="200"/>
    </w:pPr>
  </w:style>
  <w:style w:type="paragraph" w:styleId="20">
    <w:name w:val="Normal (Web)"/>
    <w:basedOn w:val="1"/>
    <w:qFormat/>
    <w:uiPriority w:val="99"/>
    <w:rPr>
      <w:sz w:val="24"/>
    </w:rPr>
  </w:style>
  <w:style w:type="paragraph" w:styleId="21">
    <w:name w:val="annotation subject"/>
    <w:basedOn w:val="12"/>
    <w:next w:val="12"/>
    <w:link w:val="48"/>
    <w:qFormat/>
    <w:uiPriority w:val="0"/>
    <w:rPr>
      <w:b/>
      <w:bCs/>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22"/>
    <w:rPr>
      <w:b/>
    </w:rPr>
  </w:style>
  <w:style w:type="character" w:styleId="26">
    <w:name w:val="FollowedHyperlink"/>
    <w:basedOn w:val="24"/>
    <w:qFormat/>
    <w:uiPriority w:val="0"/>
    <w:rPr>
      <w:color w:val="800080" w:themeColor="followedHyperlink"/>
      <w:u w:val="single"/>
      <w14:textFill>
        <w14:solidFill>
          <w14:schemeClr w14:val="folHlink"/>
        </w14:solidFill>
      </w14:textFill>
    </w:rPr>
  </w:style>
  <w:style w:type="character" w:styleId="27">
    <w:name w:val="Emphasis"/>
    <w:basedOn w:val="24"/>
    <w:qFormat/>
    <w:uiPriority w:val="20"/>
    <w:rPr>
      <w:i/>
    </w:rPr>
  </w:style>
  <w:style w:type="character" w:styleId="28">
    <w:name w:val="Hyperlink"/>
    <w:basedOn w:val="24"/>
    <w:qFormat/>
    <w:uiPriority w:val="99"/>
    <w:rPr>
      <w:color w:val="0000FF"/>
      <w:u w:val="single"/>
    </w:rPr>
  </w:style>
  <w:style w:type="character" w:styleId="29">
    <w:name w:val="annotation reference"/>
    <w:basedOn w:val="24"/>
    <w:qFormat/>
    <w:uiPriority w:val="0"/>
    <w:rPr>
      <w:sz w:val="21"/>
      <w:szCs w:val="21"/>
    </w:rPr>
  </w:style>
  <w:style w:type="paragraph" w:customStyle="1" w:styleId="30">
    <w:name w:val="列表段落1"/>
    <w:basedOn w:val="1"/>
    <w:qFormat/>
    <w:uiPriority w:val="34"/>
    <w:pPr>
      <w:ind w:firstLine="420" w:firstLineChars="200"/>
    </w:pPr>
  </w:style>
  <w:style w:type="paragraph" w:customStyle="1" w:styleId="31">
    <w:name w:val="章"/>
    <w:basedOn w:val="1"/>
    <w:qFormat/>
    <w:uiPriority w:val="0"/>
    <w:pPr>
      <w:spacing w:before="312" w:beforeLines="100" w:after="312" w:afterLines="100" w:line="300" w:lineRule="auto"/>
      <w:jc w:val="center"/>
      <w:outlineLvl w:val="0"/>
    </w:pPr>
    <w:rPr>
      <w:rFonts w:ascii="Times New Roman" w:hAnsi="Times New Roman"/>
      <w:b/>
      <w:bCs/>
      <w:szCs w:val="28"/>
    </w:rPr>
  </w:style>
  <w:style w:type="paragraph" w:customStyle="1" w:styleId="32">
    <w:name w:val="列表段落11"/>
    <w:basedOn w:val="1"/>
    <w:qFormat/>
    <w:uiPriority w:val="34"/>
    <w:pPr>
      <w:ind w:firstLine="420" w:firstLineChars="200"/>
    </w:pPr>
  </w:style>
  <w:style w:type="paragraph" w:customStyle="1" w:styleId="33">
    <w:name w:val="修订1"/>
    <w:hidden/>
    <w:unhideWhenUsed/>
    <w:qFormat/>
    <w:uiPriority w:val="99"/>
    <w:rPr>
      <w:rFonts w:ascii="Calibri" w:hAnsi="Calibri" w:eastAsia="宋体" w:cs="Times New Roman"/>
      <w:kern w:val="2"/>
      <w:sz w:val="21"/>
      <w:szCs w:val="22"/>
      <w:lang w:val="en-US" w:eastAsia="zh-CN" w:bidi="ar-SA"/>
    </w:rPr>
  </w:style>
  <w:style w:type="paragraph" w:customStyle="1" w:styleId="34">
    <w:name w:val="标题111"/>
    <w:basedOn w:val="1"/>
    <w:link w:val="35"/>
    <w:qFormat/>
    <w:uiPriority w:val="0"/>
    <w:pPr>
      <w:spacing w:line="360" w:lineRule="auto"/>
      <w:jc w:val="center"/>
      <w:outlineLvl w:val="0"/>
    </w:pPr>
    <w:rPr>
      <w:rFonts w:asciiTheme="minorEastAsia" w:hAnsiTheme="minorEastAsia" w:eastAsiaTheme="minorEastAsia" w:cstheme="minorEastAsia"/>
      <w:b/>
      <w:bCs/>
      <w:sz w:val="30"/>
      <w:szCs w:val="30"/>
    </w:rPr>
  </w:style>
  <w:style w:type="character" w:customStyle="1" w:styleId="35">
    <w:name w:val="标题111 字符"/>
    <w:basedOn w:val="24"/>
    <w:link w:val="34"/>
    <w:qFormat/>
    <w:uiPriority w:val="0"/>
    <w:rPr>
      <w:rFonts w:asciiTheme="minorEastAsia" w:hAnsiTheme="minorEastAsia" w:eastAsiaTheme="minorEastAsia" w:cstheme="minorEastAsia"/>
      <w:b/>
      <w:bCs/>
      <w:kern w:val="2"/>
      <w:sz w:val="30"/>
      <w:szCs w:val="30"/>
    </w:rPr>
  </w:style>
  <w:style w:type="paragraph" w:customStyle="1" w:styleId="36">
    <w:name w:val="标题222"/>
    <w:basedOn w:val="1"/>
    <w:link w:val="37"/>
    <w:qFormat/>
    <w:uiPriority w:val="0"/>
    <w:pPr>
      <w:outlineLvl w:val="1"/>
    </w:pPr>
    <w:rPr>
      <w:rFonts w:asciiTheme="minorEastAsia" w:hAnsiTheme="minorEastAsia" w:eastAsiaTheme="minorEastAsia" w:cstheme="minorEastAsia"/>
      <w:sz w:val="24"/>
      <w:szCs w:val="24"/>
    </w:rPr>
  </w:style>
  <w:style w:type="character" w:customStyle="1" w:styleId="37">
    <w:name w:val="标题222 字符"/>
    <w:basedOn w:val="24"/>
    <w:link w:val="36"/>
    <w:qFormat/>
    <w:uiPriority w:val="0"/>
    <w:rPr>
      <w:rFonts w:asciiTheme="minorEastAsia" w:hAnsiTheme="minorEastAsia" w:eastAsiaTheme="minorEastAsia" w:cstheme="minorEastAsia"/>
      <w:kern w:val="2"/>
      <w:sz w:val="24"/>
      <w:szCs w:val="24"/>
    </w:rPr>
  </w:style>
  <w:style w:type="paragraph" w:customStyle="1" w:styleId="38">
    <w:name w:val="正文1"/>
    <w:basedOn w:val="1"/>
    <w:link w:val="39"/>
    <w:qFormat/>
    <w:uiPriority w:val="0"/>
    <w:pPr>
      <w:widowControl/>
      <w:spacing w:line="360" w:lineRule="auto"/>
      <w:ind w:firstLine="480" w:firstLineChars="200"/>
      <w:outlineLvl w:val="1"/>
    </w:pPr>
    <w:rPr>
      <w:rFonts w:asciiTheme="minorEastAsia" w:hAnsiTheme="minorEastAsia" w:eastAsiaTheme="minorEastAsia" w:cstheme="minorEastAsia"/>
      <w:sz w:val="24"/>
      <w:szCs w:val="24"/>
    </w:rPr>
  </w:style>
  <w:style w:type="character" w:customStyle="1" w:styleId="39">
    <w:name w:val="正文1 字符"/>
    <w:basedOn w:val="24"/>
    <w:link w:val="38"/>
    <w:qFormat/>
    <w:uiPriority w:val="0"/>
    <w:rPr>
      <w:rFonts w:asciiTheme="minorEastAsia" w:hAnsiTheme="minorEastAsia" w:eastAsiaTheme="minorEastAsia" w:cstheme="minorEastAsia"/>
      <w:kern w:val="2"/>
      <w:sz w:val="24"/>
      <w:szCs w:val="24"/>
    </w:rPr>
  </w:style>
  <w:style w:type="paragraph" w:customStyle="1" w:styleId="40">
    <w:name w:val="标题22"/>
    <w:basedOn w:val="1"/>
    <w:link w:val="41"/>
    <w:qFormat/>
    <w:uiPriority w:val="0"/>
    <w:pPr>
      <w:spacing w:line="360" w:lineRule="auto"/>
      <w:jc w:val="center"/>
      <w:outlineLvl w:val="0"/>
    </w:pPr>
    <w:rPr>
      <w:rFonts w:ascii="黑体" w:hAnsi="黑体" w:eastAsia="黑体" w:cstheme="minorEastAsia"/>
      <w:b/>
      <w:bCs/>
      <w:sz w:val="30"/>
      <w:szCs w:val="30"/>
    </w:rPr>
  </w:style>
  <w:style w:type="character" w:customStyle="1" w:styleId="41">
    <w:name w:val="标题22 字符"/>
    <w:basedOn w:val="24"/>
    <w:link w:val="40"/>
    <w:qFormat/>
    <w:uiPriority w:val="0"/>
    <w:rPr>
      <w:rFonts w:ascii="黑体" w:hAnsi="黑体" w:eastAsia="黑体" w:cstheme="minorEastAsia"/>
      <w:b/>
      <w:bCs/>
      <w:kern w:val="2"/>
      <w:sz w:val="30"/>
      <w:szCs w:val="30"/>
    </w:rPr>
  </w:style>
  <w:style w:type="paragraph" w:customStyle="1" w:styleId="42">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376092" w:themeColor="accent1" w:themeShade="BF"/>
      <w:kern w:val="0"/>
      <w:sz w:val="32"/>
    </w:rPr>
  </w:style>
  <w:style w:type="character" w:customStyle="1" w:styleId="43">
    <w:name w:val="标题 3 字符"/>
    <w:basedOn w:val="24"/>
    <w:link w:val="5"/>
    <w:semiHidden/>
    <w:qFormat/>
    <w:uiPriority w:val="0"/>
    <w:rPr>
      <w:rFonts w:ascii="Calibri" w:hAnsi="Calibri"/>
      <w:b/>
      <w:bCs/>
      <w:kern w:val="2"/>
      <w:sz w:val="32"/>
      <w:szCs w:val="32"/>
    </w:rPr>
  </w:style>
  <w:style w:type="paragraph" w:styleId="44">
    <w:name w:val="List Paragraph"/>
    <w:basedOn w:val="1"/>
    <w:qFormat/>
    <w:uiPriority w:val="99"/>
    <w:pPr>
      <w:ind w:firstLine="420" w:firstLineChars="200"/>
    </w:pPr>
  </w:style>
  <w:style w:type="paragraph" w:customStyle="1" w:styleId="45">
    <w:name w:val="修订2"/>
    <w:hidden/>
    <w:unhideWhenUsed/>
    <w:qFormat/>
    <w:uiPriority w:val="99"/>
    <w:rPr>
      <w:rFonts w:ascii="Calibri" w:hAnsi="Calibri" w:eastAsia="宋体" w:cs="Times New Roman"/>
      <w:kern w:val="2"/>
      <w:sz w:val="21"/>
      <w:szCs w:val="22"/>
      <w:lang w:val="en-US" w:eastAsia="zh-CN" w:bidi="ar-SA"/>
    </w:rPr>
  </w:style>
  <w:style w:type="character" w:customStyle="1" w:styleId="46">
    <w:name w:val="批注框文本 字符"/>
    <w:basedOn w:val="24"/>
    <w:link w:val="14"/>
    <w:qFormat/>
    <w:uiPriority w:val="0"/>
    <w:rPr>
      <w:rFonts w:ascii="Calibri" w:hAnsi="Calibri"/>
      <w:kern w:val="2"/>
      <w:sz w:val="18"/>
      <w:szCs w:val="18"/>
    </w:rPr>
  </w:style>
  <w:style w:type="character" w:customStyle="1" w:styleId="47">
    <w:name w:val="批注文字 字符"/>
    <w:basedOn w:val="24"/>
    <w:link w:val="12"/>
    <w:qFormat/>
    <w:uiPriority w:val="99"/>
    <w:rPr>
      <w:rFonts w:ascii="Calibri" w:hAnsi="Calibri"/>
      <w:kern w:val="2"/>
      <w:sz w:val="21"/>
      <w:szCs w:val="22"/>
    </w:rPr>
  </w:style>
  <w:style w:type="character" w:customStyle="1" w:styleId="48">
    <w:name w:val="批注主题 字符"/>
    <w:basedOn w:val="47"/>
    <w:link w:val="21"/>
    <w:qFormat/>
    <w:uiPriority w:val="0"/>
    <w:rPr>
      <w:rFonts w:ascii="Calibri" w:hAnsi="Calibri"/>
      <w:b/>
      <w:bCs/>
      <w:kern w:val="2"/>
      <w:sz w:val="21"/>
      <w:szCs w:val="22"/>
    </w:rPr>
  </w:style>
  <w:style w:type="character" w:customStyle="1" w:styleId="49">
    <w:name w:val="en-code"/>
    <w:basedOn w:val="24"/>
    <w:qFormat/>
    <w:uiPriority w:val="0"/>
  </w:style>
  <w:style w:type="paragraph" w:customStyle="1" w:styleId="50">
    <w:name w:val="TOC 标题2"/>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376092" w:themeColor="accent1" w:themeShade="BF"/>
      <w:kern w:val="0"/>
      <w:sz w:val="32"/>
    </w:rPr>
  </w:style>
  <w:style w:type="paragraph" w:customStyle="1" w:styleId="51">
    <w:name w:val="修订3"/>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emf"/><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1A4C679-F478-4F39-B547-0D4421F96DAF}">
  <ds:schemaRefs/>
</ds:datastoreItem>
</file>

<file path=docProps/app.xml><?xml version="1.0" encoding="utf-8"?>
<Properties xmlns="http://schemas.openxmlformats.org/officeDocument/2006/extended-properties" xmlns:vt="http://schemas.openxmlformats.org/officeDocument/2006/docPropsVTypes">
  <Template>Normal.dotm</Template>
  <Pages>47</Pages>
  <Words>11003</Words>
  <Characters>13349</Characters>
  <Lines>221</Lines>
  <Paragraphs>62</Paragraphs>
  <TotalTime>4</TotalTime>
  <ScaleCrop>false</ScaleCrop>
  <LinksUpToDate>false</LinksUpToDate>
  <CharactersWithSpaces>14090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2026-04-07T01:40:00Z</dcterms:created>
  <dc:creator>zxm</dc:creator>
  <cp:lastModifiedBy>陈文昕</cp:lastModifiedBy>
  <cp:lastPrinted>2026-07-22T03:20:13Z</cp:lastPrinted>
  <dcterms:modified xsi:type="dcterms:W3CDTF">2026-07-22T03:21:56Z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eyJoZGlkIjoiN2FlZGZlODdlZTZiODE1YjgxZmQ3YWZhYWVjY2M4ZDgiLCJ1c2VySWQiOiIzMjY1MjczMzIifQ==</vt:lpwstr>
  </property>
  <property fmtid="{D5CDD505-2E9C-101B-9397-08002B2CF9AE}" pid="3" name="KSOProductBuildVer">
    <vt:lpwstr>2052-12.1.0.26895</vt:lpwstr>
  </property>
  <property fmtid="{D5CDD505-2E9C-101B-9397-08002B2CF9AE}" pid="4" name="ICV">
    <vt:lpwstr>4A9A0C64BEAB4CADB0EC30BE2B2B5B09_13</vt:lpwstr>
  </property>
</Properties>
</file>