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982BE"/>
    <w:p w14:paraId="3884AEED">
      <w:pPr>
        <w:spacing w:line="540" w:lineRule="exact"/>
        <w:jc w:val="center"/>
        <w:rPr>
          <w:rFonts w:hint="default" w:ascii="Times New Roman" w:hAnsi="Times New Roman" w:eastAsia="华文中宋" w:cs="Times New Roman"/>
          <w:b/>
          <w:kern w:val="0"/>
          <w:sz w:val="52"/>
          <w:szCs w:val="52"/>
        </w:rPr>
      </w:pPr>
    </w:p>
    <w:p w14:paraId="6E26D7AB">
      <w:pPr>
        <w:spacing w:line="540" w:lineRule="exact"/>
        <w:rPr>
          <w:rFonts w:hint="default" w:ascii="Times New Roman" w:hAnsi="Times New Roman" w:eastAsia="华文中宋" w:cs="Times New Roman"/>
          <w:b/>
          <w:kern w:val="0"/>
          <w:sz w:val="52"/>
          <w:szCs w:val="52"/>
        </w:rPr>
      </w:pPr>
    </w:p>
    <w:p w14:paraId="6991B8AD">
      <w:pPr>
        <w:spacing w:line="540" w:lineRule="exact"/>
        <w:jc w:val="center"/>
        <w:rPr>
          <w:rFonts w:hint="default" w:ascii="Times New Roman" w:hAnsi="Times New Roman" w:eastAsia="华文中宋" w:cs="Times New Roman"/>
          <w:b/>
          <w:kern w:val="0"/>
          <w:sz w:val="52"/>
          <w:szCs w:val="52"/>
        </w:rPr>
      </w:pPr>
    </w:p>
    <w:p w14:paraId="6C4630D8">
      <w:pPr>
        <w:spacing w:line="540" w:lineRule="exact"/>
        <w:jc w:val="center"/>
        <w:rPr>
          <w:rFonts w:hint="default" w:ascii="Times New Roman" w:hAnsi="Times New Roman" w:eastAsia="华文中宋" w:cs="Times New Roman"/>
          <w:b/>
          <w:kern w:val="0"/>
          <w:sz w:val="52"/>
          <w:szCs w:val="52"/>
        </w:rPr>
      </w:pPr>
    </w:p>
    <w:p w14:paraId="3BF786A6">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lang w:val="en-US" w:eastAsia="zh-CN"/>
        </w:rPr>
        <w:t>兴趣班课时费</w:t>
      </w:r>
      <w:r>
        <w:rPr>
          <w:rFonts w:hint="default" w:ascii="Times New Roman" w:hAnsi="Times New Roman" w:eastAsia="方正小标宋_GBK" w:cs="Times New Roman"/>
          <w:kern w:val="0"/>
          <w:sz w:val="48"/>
          <w:szCs w:val="48"/>
        </w:rPr>
        <w:t>项目支出绩效评价</w:t>
      </w:r>
    </w:p>
    <w:p w14:paraId="63531A74">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03F34C08">
      <w:pPr>
        <w:spacing w:line="540" w:lineRule="exact"/>
        <w:jc w:val="center"/>
        <w:rPr>
          <w:rFonts w:hint="default" w:ascii="Times New Roman" w:hAnsi="Times New Roman" w:eastAsia="华文中宋" w:cs="Times New Roman"/>
          <w:b/>
          <w:kern w:val="0"/>
          <w:sz w:val="52"/>
          <w:szCs w:val="52"/>
        </w:rPr>
      </w:pPr>
    </w:p>
    <w:p w14:paraId="1C2C5C4D">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1EFBC8C">
      <w:pPr>
        <w:spacing w:line="540" w:lineRule="exact"/>
        <w:jc w:val="center"/>
        <w:rPr>
          <w:rFonts w:hint="default" w:ascii="Times New Roman" w:hAnsi="Times New Roman" w:eastAsia="仿宋_GB2312" w:cs="Times New Roman"/>
          <w:kern w:val="0"/>
          <w:sz w:val="30"/>
          <w:szCs w:val="30"/>
        </w:rPr>
      </w:pPr>
    </w:p>
    <w:p w14:paraId="31FB09D5">
      <w:pPr>
        <w:spacing w:line="540" w:lineRule="exact"/>
        <w:jc w:val="center"/>
        <w:rPr>
          <w:rFonts w:hint="default" w:ascii="Times New Roman" w:hAnsi="Times New Roman" w:eastAsia="仿宋_GB2312" w:cs="Times New Roman"/>
          <w:kern w:val="0"/>
          <w:sz w:val="30"/>
          <w:szCs w:val="30"/>
        </w:rPr>
      </w:pPr>
    </w:p>
    <w:p w14:paraId="548C57E2">
      <w:pPr>
        <w:spacing w:line="540" w:lineRule="exact"/>
        <w:jc w:val="center"/>
        <w:rPr>
          <w:rFonts w:hint="default" w:ascii="Times New Roman" w:hAnsi="Times New Roman" w:eastAsia="仿宋_GB2312" w:cs="Times New Roman"/>
          <w:kern w:val="0"/>
          <w:sz w:val="30"/>
          <w:szCs w:val="30"/>
        </w:rPr>
      </w:pPr>
    </w:p>
    <w:p w14:paraId="544F7341">
      <w:pPr>
        <w:pStyle w:val="11"/>
        <w:rPr>
          <w:rFonts w:hint="default" w:ascii="Times New Roman" w:hAnsi="Times New Roman" w:cs="Times New Roman"/>
        </w:rPr>
      </w:pPr>
    </w:p>
    <w:p w14:paraId="3FA20B36">
      <w:pPr>
        <w:spacing w:line="540" w:lineRule="exact"/>
        <w:jc w:val="center"/>
        <w:rPr>
          <w:rFonts w:hint="default" w:ascii="Times New Roman" w:hAnsi="Times New Roman" w:eastAsia="仿宋_GB2312" w:cs="Times New Roman"/>
          <w:kern w:val="0"/>
          <w:sz w:val="30"/>
          <w:szCs w:val="30"/>
        </w:rPr>
      </w:pPr>
    </w:p>
    <w:p w14:paraId="594EE847">
      <w:pPr>
        <w:spacing w:line="540" w:lineRule="exact"/>
        <w:rPr>
          <w:rFonts w:hint="default" w:ascii="Times New Roman" w:hAnsi="Times New Roman" w:eastAsia="仿宋_GB2312" w:cs="Times New Roman"/>
          <w:kern w:val="0"/>
          <w:sz w:val="30"/>
          <w:szCs w:val="30"/>
        </w:rPr>
      </w:pPr>
    </w:p>
    <w:p w14:paraId="26290929">
      <w:pPr>
        <w:spacing w:line="700" w:lineRule="exact"/>
        <w:ind w:firstLine="720" w:firstLineChars="2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default" w:eastAsia="仿宋_GB2312" w:cs="Times New Roman"/>
          <w:kern w:val="0"/>
          <w:sz w:val="36"/>
          <w:szCs w:val="36"/>
          <w:lang w:val="en-US" w:eastAsia="zh-CN"/>
        </w:rPr>
        <w:t>：</w:t>
      </w:r>
      <w:r>
        <w:rPr>
          <w:rFonts w:hint="eastAsia" w:eastAsia="仿宋_GB2312" w:cs="Times New Roman"/>
          <w:kern w:val="0"/>
          <w:sz w:val="36"/>
          <w:szCs w:val="36"/>
          <w:lang w:val="en-US" w:eastAsia="zh-CN"/>
        </w:rPr>
        <w:t>兴趣班课时费</w:t>
      </w:r>
      <w:r>
        <w:rPr>
          <w:rFonts w:hint="default" w:eastAsia="仿宋_GB2312" w:cs="Times New Roman"/>
          <w:kern w:val="0"/>
          <w:sz w:val="36"/>
          <w:szCs w:val="36"/>
          <w:lang w:val="en-US" w:eastAsia="zh-CN"/>
        </w:rPr>
        <w:t>项目</w:t>
      </w:r>
    </w:p>
    <w:p w14:paraId="43381415">
      <w:pPr>
        <w:spacing w:line="700" w:lineRule="exact"/>
        <w:ind w:firstLine="720" w:firstLineChars="2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霍尔果斯市青少年活动中心</w:t>
      </w:r>
    </w:p>
    <w:p w14:paraId="302AA4CD">
      <w:pPr>
        <w:spacing w:line="700" w:lineRule="exact"/>
        <w:ind w:firstLine="720" w:firstLineChars="2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霍尔果斯市青少年活动中心</w:t>
      </w:r>
    </w:p>
    <w:p w14:paraId="11897933">
      <w:pPr>
        <w:spacing w:line="700" w:lineRule="exact"/>
        <w:ind w:firstLine="720" w:firstLineChars="2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帕力旦·木哈江</w:t>
      </w:r>
    </w:p>
    <w:p w14:paraId="73345F88">
      <w:pPr>
        <w:spacing w:line="700" w:lineRule="exact"/>
        <w:ind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28</w:t>
      </w:r>
      <w:r>
        <w:rPr>
          <w:rFonts w:hint="default" w:ascii="Times New Roman" w:hAnsi="Times New Roman" w:eastAsia="仿宋_GB2312" w:cs="Times New Roman"/>
          <w:kern w:val="0"/>
          <w:sz w:val="36"/>
          <w:szCs w:val="36"/>
        </w:rPr>
        <w:t>日</w:t>
      </w:r>
    </w:p>
    <w:p w14:paraId="5AB47DCE">
      <w:pPr>
        <w:spacing w:line="540" w:lineRule="exact"/>
        <w:jc w:val="center"/>
        <w:rPr>
          <w:rFonts w:hint="default" w:ascii="Times New Roman" w:hAnsi="Times New Roman" w:eastAsia="仿宋_GB2312" w:cs="Times New Roman"/>
          <w:kern w:val="0"/>
          <w:sz w:val="30"/>
          <w:szCs w:val="30"/>
        </w:rPr>
      </w:pPr>
    </w:p>
    <w:p w14:paraId="1AE96AAB">
      <w:pPr>
        <w:spacing w:line="540" w:lineRule="exact"/>
        <w:rPr>
          <w:rStyle w:val="17"/>
          <w:rFonts w:hint="default" w:ascii="Times New Roman" w:hAnsi="Times New Roman" w:eastAsia="黑体" w:cs="Times New Roman"/>
          <w:b w:val="0"/>
          <w:spacing w:val="-4"/>
          <w:sz w:val="32"/>
          <w:szCs w:val="32"/>
        </w:rPr>
      </w:pPr>
    </w:p>
    <w:p w14:paraId="1484E02A">
      <w:pPr>
        <w:spacing w:line="540" w:lineRule="exact"/>
        <w:ind w:firstLine="640"/>
        <w:rPr>
          <w:rStyle w:val="17"/>
          <w:rFonts w:hint="default" w:ascii="Times New Roman" w:hAnsi="Times New Roman" w:eastAsia="黑体" w:cs="Times New Roman"/>
          <w:b w:val="0"/>
          <w:spacing w:val="-4"/>
          <w:sz w:val="32"/>
          <w:szCs w:val="32"/>
        </w:rPr>
      </w:pPr>
    </w:p>
    <w:p w14:paraId="5FE0C26C">
      <w:pPr>
        <w:spacing w:line="540" w:lineRule="exact"/>
        <w:rPr>
          <w:rStyle w:val="17"/>
          <w:rFonts w:hint="default" w:ascii="Times New Roman" w:hAnsi="Times New Roman" w:eastAsia="黑体" w:cs="Times New Roman"/>
          <w:b w:val="0"/>
          <w:spacing w:val="-4"/>
          <w:sz w:val="32"/>
          <w:szCs w:val="32"/>
        </w:rPr>
      </w:pPr>
    </w:p>
    <w:p w14:paraId="19610A7E">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2058B5EC">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E7E598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D23BDB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50DE33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青少年活动中心作为展示霍尔果斯儿童事业发展的重要窗口，为霍尔果斯儿童发展提供活动、教育、培训、指导和展示的场所。为全市儿童提供科技，文化，艺术，技能各类兴趣，开展妇女儿童心理卫生保健，家庭教育，法律知识等公益活动，组织开展妇女儿童对外的文化交流活动，弘扬新疆精神，宣传大美伊犁的风土人情；强化青少年活动中心阵地优势，发挥引领示范、辐射带动作用。</w:t>
      </w:r>
    </w:p>
    <w:p w14:paraId="3277E23D">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029EF46">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以前瞻性的视野，以服务于青少年学生、未成年人健康成长为重点，始终本着“一切为了孩子”的角度出发，培育和弘扬广大青少年社会主义核心价值观，永远听党话、跟党走，扣好人生第一粒扣子。</w:t>
      </w:r>
      <w:r>
        <w:rPr>
          <w:rFonts w:hint="eastAsia" w:eastAsia="仿宋_GB2312" w:cs="Times New Roman"/>
          <w:sz w:val="32"/>
          <w:szCs w:val="32"/>
          <w:highlight w:val="none"/>
          <w:lang w:val="en-US" w:eastAsia="zh-CN"/>
        </w:rPr>
        <w:t>提升青少年文艺综合水平，达到社会认可。</w:t>
      </w:r>
    </w:p>
    <w:p w14:paraId="16C02BF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项目实施情况：本年度共计执行</w:t>
      </w:r>
      <w:r>
        <w:rPr>
          <w:rFonts w:hint="eastAsia" w:ascii="Times New Roman" w:hAnsi="Times New Roman" w:eastAsia="仿宋_GB2312" w:cs="Times New Roman"/>
          <w:sz w:val="32"/>
          <w:szCs w:val="32"/>
          <w:highlight w:val="none"/>
          <w:lang w:val="en-US" w:eastAsia="zh-CN"/>
        </w:rPr>
        <w:t>兴趣班课时费及各类活动</w:t>
      </w:r>
      <w:r>
        <w:rPr>
          <w:rFonts w:hint="default" w:ascii="Times New Roman" w:hAnsi="Times New Roman" w:eastAsia="仿宋_GB2312" w:cs="Times New Roman"/>
          <w:sz w:val="32"/>
          <w:szCs w:val="32"/>
          <w:highlight w:val="none"/>
          <w:lang w:val="en-US" w:eastAsia="zh-CN"/>
        </w:rPr>
        <w:t>项目资金</w:t>
      </w:r>
      <w:r>
        <w:rPr>
          <w:rFonts w:hint="eastAsia" w:ascii="Times New Roman" w:hAnsi="Times New Roman"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万元，通过</w:t>
      </w:r>
      <w:r>
        <w:rPr>
          <w:rFonts w:hint="eastAsia" w:ascii="Times New Roman" w:hAnsi="Times New Roman" w:eastAsia="仿宋_GB2312" w:cs="Times New Roman"/>
          <w:sz w:val="32"/>
          <w:szCs w:val="32"/>
          <w:highlight w:val="none"/>
          <w:lang w:val="en-US" w:eastAsia="zh-CN"/>
        </w:rPr>
        <w:t>年初工作计划安排</w:t>
      </w:r>
      <w:r>
        <w:rPr>
          <w:rFonts w:hint="default" w:ascii="Times New Roman" w:hAnsi="Times New Roman" w:eastAsia="仿宋_GB2312" w:cs="Times New Roman"/>
          <w:sz w:val="32"/>
          <w:szCs w:val="32"/>
          <w:highlight w:val="none"/>
          <w:lang w:val="en-US" w:eastAsia="zh-CN"/>
        </w:rPr>
        <w:t>，实际实现了以下几点：1：开办兴趣培训班用于老师课时费4</w:t>
      </w:r>
      <w:r>
        <w:rPr>
          <w:rFonts w:hint="eastAsia" w:ascii="Times New Roman" w:hAnsi="Times New Roman" w:eastAsia="仿宋_GB2312" w:cs="Times New Roman"/>
          <w:sz w:val="32"/>
          <w:szCs w:val="32"/>
          <w:highlight w:val="none"/>
          <w:lang w:val="en-US" w:eastAsia="zh-CN"/>
        </w:rPr>
        <w:t>3.04</w:t>
      </w:r>
      <w:r>
        <w:rPr>
          <w:rFonts w:hint="default" w:ascii="Times New Roman" w:hAnsi="Times New Roman" w:eastAsia="仿宋_GB2312" w:cs="Times New Roman"/>
          <w:sz w:val="32"/>
          <w:szCs w:val="32"/>
          <w:highlight w:val="none"/>
          <w:lang w:val="en-US" w:eastAsia="zh-CN"/>
        </w:rPr>
        <w:t>万元。 2：开展各类兴趣活动花费2</w:t>
      </w:r>
      <w:r>
        <w:rPr>
          <w:rFonts w:hint="eastAsia" w:ascii="Times New Roman" w:hAnsi="Times New Roman" w:eastAsia="仿宋_GB2312" w:cs="Times New Roman"/>
          <w:sz w:val="32"/>
          <w:szCs w:val="32"/>
          <w:highlight w:val="none"/>
          <w:lang w:val="en-US" w:eastAsia="zh-CN"/>
        </w:rPr>
        <w:t>7.03</w:t>
      </w:r>
      <w:r>
        <w:rPr>
          <w:rFonts w:hint="default" w:ascii="Times New Roman" w:hAnsi="Times New Roman" w:eastAsia="仿宋_GB2312" w:cs="Times New Roman"/>
          <w:sz w:val="32"/>
          <w:szCs w:val="32"/>
          <w:highlight w:val="none"/>
          <w:lang w:val="en-US" w:eastAsia="zh-CN"/>
        </w:rPr>
        <w:t>万元。 3：打造阵地花费15万元</w:t>
      </w:r>
      <w:r>
        <w:rPr>
          <w:rFonts w:hint="eastAsia" w:eastAsia="仿宋_GB2312" w:cs="Times New Roman"/>
          <w:sz w:val="32"/>
          <w:szCs w:val="32"/>
          <w:highlight w:val="none"/>
          <w:lang w:val="en-US" w:eastAsia="zh-CN"/>
        </w:rPr>
        <w:t>。</w:t>
      </w:r>
    </w:p>
    <w:p w14:paraId="35345AC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CC20FF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3B445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14:paraId="689D998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6DE44451">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32"/>
          <w:szCs w:val="32"/>
          <w:lang w:val="en-US" w:eastAsia="zh-CN"/>
        </w:rPr>
        <w:t>开办兴趣培训班用于老师课时费</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开展各类兴趣活动花费</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打造阵地花费</w:t>
      </w:r>
      <w:r>
        <w:rPr>
          <w:rFonts w:hint="eastAsia" w:ascii="Times New Roman" w:hAnsi="Times New Roman" w:eastAsia="仿宋_GB2312" w:cs="Times New Roman"/>
          <w:sz w:val="32"/>
          <w:szCs w:val="32"/>
          <w:lang w:val="en-US" w:eastAsia="zh-CN"/>
        </w:rPr>
        <w:t>。</w:t>
      </w:r>
    </w:p>
    <w:p w14:paraId="1C6022C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636288C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E941EAD">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紧紧围绕《关于进一步加强和改进未成年人校外活动场地所建设和管理工作的意见》，以推进素质教育为目标，以落实各级教育主管部门的活动为基础，，预期开办40个培训班丰富青少年精神文化需求，以服务于青少年学生、未成年人健康成长为重点，始终本着“一切为了孩子”的角度出发，培育和弘扬广大青少年社会主义核心价值观，永远听党话、跟党走，扣好人生第一粒扣子。</w:t>
      </w:r>
    </w:p>
    <w:p w14:paraId="4D99E1D3">
      <w:pPr>
        <w:numPr>
          <w:ilvl w:val="0"/>
          <w:numId w:val="1"/>
        </w:num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阶段性目标</w:t>
      </w:r>
      <w:r>
        <w:rPr>
          <w:rFonts w:hint="eastAsia" w:ascii="Times New Roman" w:hAnsi="Times New Roman" w:eastAsia="仿宋_GB2312" w:cs="Times New Roman"/>
          <w:sz w:val="32"/>
          <w:szCs w:val="32"/>
          <w:highlight w:val="none"/>
          <w:lang w:eastAsia="zh-CN"/>
        </w:rPr>
        <w:t>：</w:t>
      </w:r>
    </w:p>
    <w:p w14:paraId="5E50337D">
      <w:pPr>
        <w:numPr>
          <w:ilvl w:val="0"/>
          <w:numId w:val="0"/>
        </w:num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上半年完成老师课时费发放20万元，开设20个兴趣班，参加各类活动3余次。</w:t>
      </w:r>
    </w:p>
    <w:p w14:paraId="40651CB2">
      <w:pPr>
        <w:numPr>
          <w:ilvl w:val="0"/>
          <w:numId w:val="0"/>
        </w:num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下半年完成老师课时费发放23.04万元，开设20个兴趣班；参加各类活动2余次，支付各类活动费用27.03万元；完成阵地打造，支付15万元。</w:t>
      </w:r>
    </w:p>
    <w:p w14:paraId="03BF7A51">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highlight w:val="none"/>
        </w:rPr>
        <w:t>二、绩效评价</w:t>
      </w:r>
      <w:r>
        <w:rPr>
          <w:rFonts w:hint="default" w:ascii="Times New Roman" w:hAnsi="Times New Roman" w:eastAsia="黑体" w:cs="Times New Roman"/>
          <w:sz w:val="32"/>
          <w:szCs w:val="32"/>
        </w:rPr>
        <w:t>工作开展情况</w:t>
      </w:r>
    </w:p>
    <w:p w14:paraId="55D0DCF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48AC7D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63BE30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A2AC24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9AF7EF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4AF1B6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55E94B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1862D3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1036E6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E318B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14:paraId="411390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43FDDD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1960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8739C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DA3B9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419FF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6D06A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4841BC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5612E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4607A9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1E064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本项目预算绩效评价报告的评价对象是</w:t>
      </w:r>
      <w:r>
        <w:rPr>
          <w:rFonts w:hint="eastAsia" w:ascii="Times New Roman" w:hAnsi="Times New Roman" w:eastAsia="仿宋_GB2312" w:cs="Times New Roman"/>
          <w:sz w:val="32"/>
          <w:szCs w:val="32"/>
          <w:highlight w:val="none"/>
          <w:lang w:val="en-US" w:eastAsia="zh-CN"/>
        </w:rPr>
        <w:t>兴趣班课时费项目</w:t>
      </w:r>
      <w:r>
        <w:rPr>
          <w:rFonts w:hint="default" w:ascii="Times New Roman" w:hAnsi="Times New Roman" w:eastAsia="仿宋_GB2312" w:cs="Times New Roman"/>
          <w:sz w:val="32"/>
          <w:szCs w:val="32"/>
          <w:highlight w:val="none"/>
        </w:rPr>
        <w:t>及其预算执行情况。该项目由</w:t>
      </w:r>
      <w:r>
        <w:rPr>
          <w:rFonts w:hint="eastAsia" w:ascii="Times New Roman" w:hAnsi="Times New Roman" w:eastAsia="仿宋_GB2312" w:cs="Times New Roman"/>
          <w:sz w:val="32"/>
          <w:szCs w:val="32"/>
          <w:highlight w:val="none"/>
          <w:lang w:val="en-US" w:eastAsia="zh-CN"/>
        </w:rPr>
        <w:t>霍尔果斯市青少年活动中心</w:t>
      </w:r>
      <w:r>
        <w:rPr>
          <w:rFonts w:hint="default" w:ascii="Times New Roman" w:hAnsi="Times New Roman" w:eastAsia="仿宋_GB2312" w:cs="Times New Roman"/>
          <w:sz w:val="32"/>
          <w:szCs w:val="32"/>
          <w:highlight w:val="none"/>
        </w:rPr>
        <w:t>负责实施，</w:t>
      </w:r>
      <w:r>
        <w:rPr>
          <w:rFonts w:hint="eastAsia" w:eastAsia="仿宋_GB2312" w:cs="Times New Roman"/>
          <w:sz w:val="32"/>
          <w:szCs w:val="32"/>
          <w:highlight w:val="none"/>
          <w:lang w:eastAsia="zh-CN"/>
        </w:rPr>
        <w:t>旨</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val="en-US" w:eastAsia="zh-CN"/>
        </w:rPr>
        <w:t>充分发挥好校外活动这块平台作用，大力开展文体、艺术、器乐等活动，为广大青少年提供展示自我兴趣特长的机会。依据霍尔果斯市青少年活动中心的宗旨和业务范围。为保障活动中心各项工作的正常运行，为霍尔果斯青少年提供科技，文化，艺术，技能各类兴趣，组织青少年对外的文化交流活动。丰富青少年精神文化生活，提升幸福指数，强化青少年活动中心阵地优势，发挥引领示范、辐射带动作用。项目预算涵盖从</w:t>
      </w:r>
      <w:r>
        <w:rPr>
          <w:rFonts w:hint="eastAsia" w:ascii="Times New Roman" w:hAnsi="Times New Roman" w:eastAsia="仿宋_GB2312" w:cs="Times New Roman"/>
          <w:sz w:val="32"/>
          <w:szCs w:val="32"/>
          <w:highlight w:val="none"/>
          <w:lang w:val="en-US" w:eastAsia="zh-CN"/>
        </w:rPr>
        <w:t>2024年1月1月至2024年12月</w:t>
      </w:r>
      <w:r>
        <w:rPr>
          <w:rFonts w:hint="eastAsia" w:eastAsia="仿宋_GB2312" w:cs="Times New Roman"/>
          <w:sz w:val="32"/>
          <w:szCs w:val="32"/>
          <w:highlight w:val="none"/>
          <w:lang w:val="en-US" w:eastAsia="zh-CN"/>
        </w:rPr>
        <w:t>25</w:t>
      </w:r>
      <w:r>
        <w:rPr>
          <w:rFonts w:hint="eastAsia" w:ascii="Times New Roman" w:hAnsi="Times New Roman" w:eastAsia="仿宋_GB2312" w:cs="Times New Roman"/>
          <w:sz w:val="32"/>
          <w:szCs w:val="32"/>
          <w:highlight w:val="none"/>
          <w:lang w:val="en-US" w:eastAsia="zh-CN"/>
        </w:rPr>
        <w:t>日的全部资金投入与支出，涉及资金总额为</w:t>
      </w:r>
      <w:r>
        <w:rPr>
          <w:rFonts w:hint="eastAsia" w:eastAsia="仿宋_GB2312" w:cs="Times New Roman"/>
          <w:sz w:val="32"/>
          <w:szCs w:val="32"/>
          <w:highlight w:val="none"/>
          <w:lang w:val="en-US" w:eastAsia="zh-CN"/>
        </w:rPr>
        <w:t>85.07</w:t>
      </w:r>
      <w:r>
        <w:rPr>
          <w:rFonts w:hint="eastAsia" w:ascii="Times New Roman" w:hAnsi="Times New Roman" w:eastAsia="仿宋_GB2312" w:cs="Times New Roman"/>
          <w:sz w:val="32"/>
          <w:szCs w:val="32"/>
          <w:highlight w:val="none"/>
          <w:lang w:val="en-US" w:eastAsia="zh-CN"/>
        </w:rPr>
        <w:t>万元。</w:t>
      </w:r>
    </w:p>
    <w:p w14:paraId="15D43E9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E6A9CD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0B63012">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4763288">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07467005">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67FE2FD4">
      <w:pPr>
        <w:pStyle w:val="11"/>
        <w:widowControl w:val="0"/>
        <w:numPr>
          <w:ilvl w:val="0"/>
          <w:numId w:val="2"/>
        </w:numPr>
        <w:spacing w:before="0" w:after="0" w:line="560" w:lineRule="exact"/>
        <w:ind w:left="0" w:leftChars="0"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highlight w:val="none"/>
        </w:rPr>
        <w:t>社会影响：考察项目对社会、</w:t>
      </w:r>
      <w:r>
        <w:rPr>
          <w:rFonts w:hint="eastAsia" w:ascii="Times New Roman" w:hAnsi="Times New Roman" w:eastAsia="仿宋_GB2312" w:cs="Times New Roman"/>
          <w:b w:val="0"/>
          <w:bCs w:val="0"/>
          <w:highlight w:val="none"/>
          <w:lang w:val="en-US" w:eastAsia="zh-CN"/>
        </w:rPr>
        <w:t>满意度</w:t>
      </w:r>
      <w:r>
        <w:rPr>
          <w:rFonts w:hint="default" w:ascii="Times New Roman" w:hAnsi="Times New Roman" w:eastAsia="仿宋_GB2312" w:cs="Times New Roman"/>
          <w:b w:val="0"/>
          <w:bCs w:val="0"/>
          <w:highlight w:val="none"/>
        </w:rPr>
        <w:t>等方面的综合影响。</w:t>
      </w:r>
      <w:r>
        <w:rPr>
          <w:rFonts w:hint="eastAsia" w:ascii="Times New Roman" w:hAnsi="Times New Roman" w:eastAsia="仿宋_GB2312" w:cs="Times New Roman"/>
          <w:b w:val="0"/>
          <w:bCs w:val="0"/>
          <w:kern w:val="28"/>
          <w:sz w:val="32"/>
          <w:szCs w:val="32"/>
          <w:highlight w:val="none"/>
          <w:lang w:val="en-US" w:eastAsia="zh-CN" w:bidi="ar-SA"/>
        </w:rPr>
        <w:t>对社会产生积极影响，家长对兴趣班的开设认可度很高，同时</w:t>
      </w:r>
      <w:r>
        <w:rPr>
          <w:rFonts w:hint="default" w:ascii="Times New Roman" w:hAnsi="Times New Roman" w:eastAsia="仿宋_GB2312" w:cs="Times New Roman"/>
          <w:b w:val="0"/>
          <w:bCs w:val="0"/>
          <w:kern w:val="28"/>
          <w:sz w:val="32"/>
          <w:szCs w:val="32"/>
          <w:highlight w:val="none"/>
          <w:lang w:val="en-US" w:eastAsia="zh-CN" w:bidi="ar-SA"/>
        </w:rPr>
        <w:t>丰富青少年精神文化生活，提升幸福指数，强化青少年活动中心阵地优势，发挥引领示范、辐射带动作用。</w:t>
      </w:r>
    </w:p>
    <w:p w14:paraId="34148A21">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A144FD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4615DC2">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29D6B675">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324BDD70">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0CA4AA74">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796B83D">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3AB767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286C3BB">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2F22430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6113834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24DDA0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3F4B0A83">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D027BF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515374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382DA530">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45D5981">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7C48946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0BB615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73B4B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66BA1F7">
      <w:pPr>
        <w:spacing w:line="560" w:lineRule="exact"/>
        <w:ind w:firstLine="708" w:firstLineChars="200"/>
        <w:rPr>
          <w:rFonts w:hint="default"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本次绩效自评采用</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成本效益分析法。</w:t>
      </w:r>
      <w:r>
        <w:rPr>
          <w:rFonts w:hint="eastAsia" w:eastAsia="仿宋_GB2312" w:cs="Times New Roman"/>
          <w:color w:val="000000" w:themeColor="text1"/>
          <w:spacing w:val="17"/>
          <w:sz w:val="32"/>
          <w:szCs w:val="32"/>
          <w:highlight w:val="none"/>
          <w:lang w:val="en-US" w:eastAsia="zh-CN"/>
          <w14:textFill>
            <w14:solidFill>
              <w14:schemeClr w14:val="tx1"/>
            </w14:solidFill>
          </w14:textFill>
        </w:rPr>
        <w:t>使用原因：</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通过支出</w:t>
      </w:r>
      <w:r>
        <w:rPr>
          <w:rFonts w:hint="default"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开办兴趣培训班用于老师课时费</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开展各类兴趣活动花费</w:t>
      </w:r>
      <w:r>
        <w:rPr>
          <w:rFonts w:hint="eastAsia" w:eastAsia="仿宋_GB2312" w:cs="Times New Roman"/>
          <w:color w:val="000000" w:themeColor="text1"/>
          <w:spacing w:val="17"/>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打造阵地花费</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等</w:t>
      </w:r>
      <w:r>
        <w:rPr>
          <w:rFonts w:hint="eastAsia" w:eastAsia="仿宋_GB2312" w:cs="Times New Roman"/>
          <w:color w:val="000000" w:themeColor="text1"/>
          <w:spacing w:val="17"/>
          <w:sz w:val="32"/>
          <w:szCs w:val="32"/>
          <w:highlight w:val="none"/>
          <w:lang w:val="en-US" w:eastAsia="zh-CN"/>
          <w14:textFill>
            <w14:solidFill>
              <w14:schemeClr w14:val="tx1"/>
            </w14:solidFill>
          </w14:textFill>
        </w:rPr>
        <w:t>，丰富了青少年学生的文化业余爱好。</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运用</w:t>
      </w:r>
      <w:r>
        <w:rPr>
          <w:rFonts w:hint="default"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成本效</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益分析法</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能够将投入产出更好的关联，促进资金的更合理使用，实现成本可控，提升</w:t>
      </w:r>
      <w:r>
        <w:rPr>
          <w:rFonts w:hint="eastAsia" w:eastAsia="仿宋_GB2312" w:cs="Times New Roman"/>
          <w:color w:val="000000" w:themeColor="text1"/>
          <w:spacing w:val="17"/>
          <w:sz w:val="32"/>
          <w:szCs w:val="32"/>
          <w:highlight w:val="none"/>
          <w:lang w:val="en-US" w:eastAsia="zh-CN"/>
          <w14:textFill>
            <w14:solidFill>
              <w14:schemeClr w14:val="tx1"/>
            </w14:solidFill>
          </w14:textFill>
        </w:rPr>
        <w:t>兴趣班课时费</w:t>
      </w:r>
      <w:r>
        <w:rPr>
          <w:rFonts w:hint="eastAsia" w:ascii="Times New Roman" w:hAnsi="Times New Roman" w:eastAsia="仿宋_GB2312" w:cs="Times New Roman"/>
          <w:color w:val="000000" w:themeColor="text1"/>
          <w:spacing w:val="17"/>
          <w:sz w:val="32"/>
          <w:szCs w:val="32"/>
          <w:highlight w:val="none"/>
          <w:lang w:val="en-US" w:eastAsia="zh-CN"/>
          <w14:textFill>
            <w14:solidFill>
              <w14:schemeClr w14:val="tx1"/>
            </w14:solidFill>
          </w14:textFill>
        </w:rPr>
        <w:t>的控制能力。</w:t>
      </w:r>
    </w:p>
    <w:p w14:paraId="7F72B20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4</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评价标准</w:t>
      </w:r>
    </w:p>
    <w:p w14:paraId="156764E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计划</w:t>
      </w:r>
      <w:r>
        <w:rPr>
          <w:rFonts w:hint="default" w:ascii="Times New Roman" w:hAnsi="Times New Roman" w:eastAsia="仿宋_GB2312" w:cs="Times New Roman"/>
          <w:b w:val="0"/>
          <w:bCs w:val="0"/>
          <w:color w:val="000000" w:themeColor="text1"/>
          <w:highlight w:val="none"/>
          <w14:textFill>
            <w14:solidFill>
              <w14:schemeClr w14:val="tx1"/>
            </w14:solidFill>
          </w14:textFill>
        </w:rPr>
        <w:t>标准。</w:t>
      </w:r>
    </w:p>
    <w:p w14:paraId="5EE8EA24">
      <w:pPr>
        <w:pStyle w:val="11"/>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836A5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F1354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72537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78BEB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673C5C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49726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D01DE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5893A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FBF5D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588448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890EB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3FCD9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3BE3ED7">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78C9AA4">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040B455">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eastAsia="仿宋_GB2312" w:cs="Times New Roman"/>
          <w:kern w:val="2"/>
          <w:sz w:val="32"/>
          <w:szCs w:val="32"/>
          <w:highlight w:val="none"/>
          <w:lang w:val="en-US" w:eastAsia="zh-CN" w:bidi="ar-SA"/>
        </w:rPr>
        <w:t>兴趣班课时费项目在保障培训班老师课时费、各类活动经费及阵地打造这三方面</w:t>
      </w:r>
      <w:r>
        <w:rPr>
          <w:rFonts w:hint="default" w:ascii="Times New Roman" w:hAnsi="Times New Roman" w:eastAsia="仿宋_GB2312" w:cs="Times New Roman"/>
          <w:kern w:val="2"/>
          <w:sz w:val="32"/>
          <w:szCs w:val="32"/>
          <w:highlight w:val="none"/>
          <w:lang w:val="en-US" w:eastAsia="zh-CN" w:bidi="ar-SA"/>
        </w:rPr>
        <w:t>达到了预期的标准与要求。</w:t>
      </w:r>
    </w:p>
    <w:p w14:paraId="01196FF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项目管理方面，</w:t>
      </w:r>
      <w:r>
        <w:rPr>
          <w:rFonts w:hint="eastAsia" w:eastAsia="仿宋_GB2312" w:cs="Times New Roman"/>
          <w:sz w:val="32"/>
          <w:szCs w:val="32"/>
          <w:highlight w:val="none"/>
          <w:lang w:val="en-US" w:eastAsia="zh-CN"/>
        </w:rPr>
        <w:t>霍尔果斯市青少年活动中心</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50E2A7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kern w:val="2"/>
          <w:sz w:val="32"/>
          <w:szCs w:val="32"/>
          <w:highlight w:val="none"/>
          <w:lang w:val="en-US" w:eastAsia="zh-CN" w:bidi="ar-SA"/>
        </w:rPr>
        <w:t>兴趣班课时费支出、各类活动及阵地打造</w:t>
      </w:r>
      <w:r>
        <w:rPr>
          <w:rFonts w:hint="eastAsia" w:eastAsia="仿宋_GB2312" w:cs="Times New Roman"/>
          <w:sz w:val="32"/>
          <w:szCs w:val="32"/>
          <w:highlight w:val="none"/>
          <w:lang w:val="en-US" w:eastAsia="zh-CN"/>
        </w:rPr>
        <w:t>达到了较好的社会效益。</w:t>
      </w:r>
    </w:p>
    <w:p w14:paraId="18946D6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综上所述，</w:t>
      </w:r>
      <w:r>
        <w:rPr>
          <w:rFonts w:hint="eastAsia" w:eastAsia="仿宋_GB2312" w:cs="Times New Roman"/>
          <w:sz w:val="32"/>
          <w:szCs w:val="32"/>
          <w:highlight w:val="none"/>
          <w:lang w:val="en-US" w:eastAsia="zh-CN"/>
        </w:rPr>
        <w:t>青少年活动中心兴趣班课时费</w:t>
      </w:r>
      <w:r>
        <w:rPr>
          <w:rFonts w:hint="default" w:eastAsia="仿宋_GB2312" w:cs="Times New Roman"/>
          <w:sz w:val="32"/>
          <w:szCs w:val="32"/>
          <w:highlight w:val="none"/>
          <w:lang w:val="en-US" w:eastAsia="zh-CN"/>
        </w:rPr>
        <w:t>项目在绩效评价中表现出色，达到了项目的预期目标，并在多个方面取得了显著的成效。</w:t>
      </w:r>
    </w:p>
    <w:p w14:paraId="4110A1E7">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576583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D5A7C1F">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1FFC044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28B0FA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D3B069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D2A958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A9334F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2740A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59144A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83F17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37869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98202C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DF1DDB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79217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8733E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35E33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6AB0EA7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E06151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7765E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39E67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1C3C03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57CDBA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1FEEE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F89FD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3DDA692">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7739517">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29727A7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0AE52B6">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48E5C8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个三级指标构成，权重分值为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897DD0A">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2C301A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B7B73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682E5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FB4897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854A430">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148250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DAAB89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302B7B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88BDD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FEE00F1">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72935C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74D22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A022B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3F918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6257F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247EC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92F1B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D4C2BE5">
      <w:pPr>
        <w:pStyle w:val="11"/>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29CAE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6859F0F">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4CC86EC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7ED028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389C98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30D13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85.07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09A54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1C9733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05F99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B1807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FF7C782">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3A506F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1377D2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3C9076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5E2A95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8A222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442D7E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4BE05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4C0A32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770A8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5497282F">
      <w:pPr>
        <w:pStyle w:val="12"/>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5B80EF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体产出指标完成情况如下：</w:t>
      </w:r>
    </w:p>
    <w:p w14:paraId="751FDCE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E7A99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举办各类活动次数</w:t>
      </w:r>
      <w:r>
        <w:rPr>
          <w:rFonts w:hint="default" w:ascii="Times New Roman" w:hAnsi="Times New Roman" w:eastAsia="仿宋_GB2312" w:cs="Times New Roman"/>
          <w:sz w:val="32"/>
          <w:szCs w:val="32"/>
          <w:highlight w:val="none"/>
        </w:rPr>
        <w:t>，指标值：&gt;=</w:t>
      </w:r>
      <w:r>
        <w:rPr>
          <w:rFonts w:hint="eastAsia" w:ascii="Times New Roman" w:hAnsi="Times New Roman" w:eastAsia="仿宋_GB2312" w:cs="Times New Roman"/>
          <w:sz w:val="32"/>
          <w:szCs w:val="32"/>
          <w:highlight w:val="none"/>
          <w:lang w:val="en-US" w:eastAsia="zh-CN"/>
        </w:rPr>
        <w:t>5次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061BEA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开展培训班数量</w:t>
      </w:r>
      <w:r>
        <w:rPr>
          <w:rFonts w:hint="default" w:ascii="Times New Roman" w:hAnsi="Times New Roman" w:eastAsia="仿宋_GB2312" w:cs="Times New Roman"/>
          <w:sz w:val="32"/>
          <w:szCs w:val="32"/>
          <w:highlight w:val="none"/>
        </w:rPr>
        <w:t>，指标值：&gt;=</w:t>
      </w:r>
      <w:r>
        <w:rPr>
          <w:rFonts w:hint="eastAsia" w:ascii="Times New Roman" w:hAnsi="Times New Roman" w:eastAsia="仿宋_GB2312" w:cs="Times New Roman"/>
          <w:sz w:val="32"/>
          <w:szCs w:val="32"/>
          <w:highlight w:val="none"/>
          <w:lang w:val="en-US" w:eastAsia="zh-CN"/>
        </w:rPr>
        <w:t>40个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18CA42F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打造建设面积</w:t>
      </w:r>
      <w:r>
        <w:rPr>
          <w:rFonts w:hint="default" w:ascii="Times New Roman" w:hAnsi="Times New Roman" w:eastAsia="仿宋_GB2312" w:cs="Times New Roman"/>
          <w:sz w:val="32"/>
          <w:szCs w:val="32"/>
          <w:highlight w:val="none"/>
        </w:rPr>
        <w:t>，指标值：&gt;=</w:t>
      </w:r>
      <w:r>
        <w:rPr>
          <w:rFonts w:hint="eastAsia" w:eastAsia="仿宋_GB2312" w:cs="Times New Roman"/>
          <w:sz w:val="32"/>
          <w:szCs w:val="32"/>
          <w:highlight w:val="none"/>
          <w:lang w:val="en-US" w:eastAsia="zh-CN"/>
        </w:rPr>
        <w:t>100平方米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100平米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352181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B61EAF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活动参与</w:t>
      </w:r>
      <w:r>
        <w:rPr>
          <w:rFonts w:hint="default" w:ascii="Times New Roman" w:hAnsi="Times New Roman" w:eastAsia="仿宋_GB2312" w:cs="Times New Roman"/>
          <w:sz w:val="32"/>
          <w:szCs w:val="32"/>
          <w:highlight w:val="none"/>
        </w:rPr>
        <w:t>率，指标值：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13D28F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阵地建设验收合格率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7ED3806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DE19F4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项目按时完成</w:t>
      </w:r>
      <w:r>
        <w:rPr>
          <w:rFonts w:hint="default" w:ascii="Times New Roman" w:hAnsi="Times New Roman" w:eastAsia="仿宋_GB2312" w:cs="Times New Roman"/>
          <w:sz w:val="32"/>
          <w:szCs w:val="32"/>
          <w:highlight w:val="none"/>
        </w:rPr>
        <w:t>率，指标值：=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4F1259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2FC5D7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培训班老师课时费</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43.04万元</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43.04万元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369B7D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阵地打造费</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23949D0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各类活动</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27.03万元</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27.03万元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65D9B400">
      <w:pPr>
        <w:pStyle w:val="12"/>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750FAF2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7D4FFD6">
      <w:pPr>
        <w:numPr>
          <w:ilvl w:val="0"/>
          <w:numId w:val="6"/>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0ADBA7BA">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F1612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丰富青少年娱乐文化生活</w:t>
      </w:r>
      <w:r>
        <w:rPr>
          <w:rFonts w:hint="default" w:ascii="Times New Roman" w:hAnsi="Times New Roman" w:eastAsia="仿宋_GB2312" w:cs="Times New Roman"/>
          <w:sz w:val="32"/>
          <w:szCs w:val="32"/>
          <w:highlight w:val="none"/>
        </w:rPr>
        <w:t>，指标值：有效</w:t>
      </w:r>
      <w:r>
        <w:rPr>
          <w:rFonts w:hint="eastAsia" w:eastAsia="仿宋_GB2312" w:cs="Times New Roman"/>
          <w:sz w:val="32"/>
          <w:szCs w:val="32"/>
          <w:highlight w:val="none"/>
          <w:lang w:val="en-US" w:eastAsia="zh-CN"/>
        </w:rPr>
        <w:t>丰富</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;达到丰富</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偏差原因：无。</w:t>
      </w:r>
    </w:p>
    <w:p w14:paraId="206D879A">
      <w:pPr>
        <w:numPr>
          <w:ilvl w:val="0"/>
          <w:numId w:val="6"/>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14:paraId="2F6C5B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培训班青少年</w:t>
      </w:r>
      <w:r>
        <w:rPr>
          <w:rFonts w:hint="default" w:ascii="Times New Roman" w:hAnsi="Times New Roman" w:eastAsia="仿宋_GB2312" w:cs="Times New Roman"/>
          <w:sz w:val="32"/>
          <w:szCs w:val="32"/>
          <w:highlight w:val="none"/>
        </w:rPr>
        <w:t>满意度，指标值：&gt;=9</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%，实际完成值：9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103.16%</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偏差原因：家长对兴趣班的开设开班满意度很高。</w:t>
      </w:r>
    </w:p>
    <w:p w14:paraId="650D7784">
      <w:pPr>
        <w:spacing w:line="560" w:lineRule="exact"/>
        <w:ind w:firstLine="321" w:firstLineChars="1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5CC04D9E">
      <w:pPr>
        <w:pStyle w:val="22"/>
        <w:spacing w:line="560" w:lineRule="exact"/>
        <w:ind w:firstLine="640"/>
        <w:rPr>
          <w:rFonts w:hint="default" w:ascii="Times New Roman" w:hAnsi="Times New Roman"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兴趣班课时费</w:t>
      </w:r>
      <w:r>
        <w:rPr>
          <w:rFonts w:hint="default" w:ascii="Times New Roman" w:hAnsi="Times New Roman" w:eastAsia="仿宋_GB2312" w:cs="Times New Roman"/>
          <w:b w:val="0"/>
          <w:bCs w:val="0"/>
          <w:kern w:val="2"/>
          <w:sz w:val="32"/>
          <w:szCs w:val="32"/>
          <w:highlight w:val="none"/>
          <w:lang w:val="en-US" w:eastAsia="zh-CN" w:bidi="ar-SA"/>
        </w:rPr>
        <w:t>项目年初预算</w:t>
      </w:r>
      <w:r>
        <w:rPr>
          <w:rFonts w:hint="eastAsia" w:eastAsia="仿宋_GB2312" w:cs="Times New Roman"/>
          <w:b w:val="0"/>
          <w:bCs w:val="0"/>
          <w:kern w:val="2"/>
          <w:sz w:val="32"/>
          <w:szCs w:val="32"/>
          <w:highlight w:val="none"/>
          <w:lang w:val="en-US" w:eastAsia="zh-CN" w:bidi="ar-SA"/>
        </w:rPr>
        <w:t>80</w:t>
      </w:r>
      <w:r>
        <w:rPr>
          <w:rFonts w:hint="default" w:ascii="Times New Roman" w:hAnsi="Times New Roman" w:eastAsia="仿宋_GB2312" w:cs="Times New Roman"/>
          <w:b w:val="0"/>
          <w:bCs w:val="0"/>
          <w:kern w:val="2"/>
          <w:sz w:val="32"/>
          <w:szCs w:val="32"/>
          <w:highlight w:val="none"/>
          <w:lang w:val="en-US" w:eastAsia="zh-CN" w:bidi="ar-SA"/>
        </w:rPr>
        <w:t>万元，全年预算</w:t>
      </w:r>
      <w:r>
        <w:rPr>
          <w:rFonts w:hint="eastAsia" w:eastAsia="仿宋_GB2312" w:cs="Times New Roman"/>
          <w:b w:val="0"/>
          <w:bCs w:val="0"/>
          <w:kern w:val="2"/>
          <w:sz w:val="32"/>
          <w:szCs w:val="32"/>
          <w:highlight w:val="none"/>
          <w:lang w:val="en-US" w:eastAsia="zh-CN" w:bidi="ar-SA"/>
        </w:rPr>
        <w:t>85.07</w:t>
      </w:r>
      <w:r>
        <w:rPr>
          <w:rFonts w:hint="default" w:ascii="Times New Roman" w:hAnsi="Times New Roman" w:eastAsia="仿宋_GB2312" w:cs="Times New Roman"/>
          <w:b w:val="0"/>
          <w:bCs w:val="0"/>
          <w:kern w:val="2"/>
          <w:sz w:val="32"/>
          <w:szCs w:val="32"/>
          <w:highlight w:val="none"/>
          <w:lang w:val="en-US" w:eastAsia="zh-CN" w:bidi="ar-SA"/>
        </w:rPr>
        <w:t>万元，实际支出</w:t>
      </w:r>
      <w:r>
        <w:rPr>
          <w:rFonts w:hint="eastAsia" w:eastAsia="仿宋_GB2312" w:cs="Times New Roman"/>
          <w:b w:val="0"/>
          <w:bCs w:val="0"/>
          <w:kern w:val="2"/>
          <w:sz w:val="32"/>
          <w:szCs w:val="32"/>
          <w:highlight w:val="none"/>
          <w:lang w:val="en-US" w:eastAsia="zh-CN" w:bidi="ar-SA"/>
        </w:rPr>
        <w:t>85.07</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%，项目绩效指标总体完成率为</w:t>
      </w:r>
      <w:r>
        <w:rPr>
          <w:rFonts w:hint="eastAsia" w:eastAsia="仿宋_GB2312" w:cs="Times New Roman"/>
          <w:b w:val="0"/>
          <w:bCs w:val="0"/>
          <w:kern w:val="2"/>
          <w:sz w:val="32"/>
          <w:szCs w:val="32"/>
          <w:highlight w:val="none"/>
          <w:lang w:val="en-US" w:eastAsia="zh-CN" w:bidi="ar-SA"/>
        </w:rPr>
        <w:t>100.29</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bidi="ar-SA"/>
        </w:rPr>
        <w:t>总体</w:t>
      </w:r>
      <w:r>
        <w:rPr>
          <w:rFonts w:hint="default" w:ascii="Times New Roman" w:hAnsi="Times New Roman" w:eastAsia="仿宋_GB2312" w:cs="Times New Roman"/>
          <w:b w:val="0"/>
          <w:bCs w:val="0"/>
          <w:kern w:val="2"/>
          <w:sz w:val="32"/>
          <w:szCs w:val="32"/>
          <w:highlight w:val="none"/>
          <w:lang w:val="en-US" w:eastAsia="zh-CN" w:bidi="ar-SA"/>
        </w:rPr>
        <w:t>偏差率为</w:t>
      </w:r>
      <w:r>
        <w:rPr>
          <w:rFonts w:hint="eastAsia" w:eastAsia="仿宋_GB2312" w:cs="Times New Roman"/>
          <w:b w:val="0"/>
          <w:bCs w:val="0"/>
          <w:kern w:val="2"/>
          <w:sz w:val="32"/>
          <w:szCs w:val="32"/>
          <w:highlight w:val="none"/>
          <w:lang w:val="en-US" w:eastAsia="zh-CN" w:bidi="ar-SA"/>
        </w:rPr>
        <w:t>0.29</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bidi="ar-SA"/>
        </w:rPr>
        <w:t>偏差</w:t>
      </w:r>
      <w:r>
        <w:rPr>
          <w:rFonts w:hint="default" w:ascii="Times New Roman" w:hAnsi="Times New Roman" w:eastAsia="仿宋_GB2312" w:cs="Times New Roman"/>
          <w:b w:val="0"/>
          <w:bCs w:val="0"/>
          <w:kern w:val="2"/>
          <w:sz w:val="32"/>
          <w:szCs w:val="32"/>
          <w:highlight w:val="none"/>
          <w:lang w:val="en-US" w:eastAsia="zh-CN" w:bidi="ar-SA"/>
        </w:rPr>
        <w:t>原因</w:t>
      </w:r>
      <w:r>
        <w:rPr>
          <w:rFonts w:hint="eastAsia" w:ascii="Times New Roman" w:hAnsi="Times New Roman"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32"/>
          <w:szCs w:val="32"/>
          <w:highlight w:val="none"/>
          <w:lang w:val="en-US" w:eastAsia="zh-CN" w:bidi="ar-SA"/>
        </w:rPr>
        <w:t>后期开班中有学生增加</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32"/>
          <w:szCs w:val="32"/>
          <w:highlight w:val="none"/>
          <w:lang w:val="en-US" w:eastAsia="zh-CN" w:bidi="ar-SA"/>
        </w:rPr>
        <w:t>和后期活动费用增加导致存在偏差，</w:t>
      </w:r>
      <w:r>
        <w:rPr>
          <w:rFonts w:hint="default" w:ascii="Times New Roman" w:hAnsi="Times New Roman" w:eastAsia="仿宋_GB2312" w:cs="Times New Roman"/>
          <w:b w:val="0"/>
          <w:bCs w:val="0"/>
          <w:kern w:val="2"/>
          <w:sz w:val="32"/>
          <w:szCs w:val="32"/>
          <w:highlight w:val="none"/>
          <w:lang w:val="en-US" w:bidi="ar-SA"/>
        </w:rPr>
        <w:t>改进</w:t>
      </w:r>
      <w:r>
        <w:rPr>
          <w:rFonts w:hint="default" w:ascii="Times New Roman" w:hAnsi="Times New Roman" w:eastAsia="仿宋_GB2312" w:cs="Times New Roman"/>
          <w:b w:val="0"/>
          <w:bCs w:val="0"/>
          <w:kern w:val="2"/>
          <w:sz w:val="32"/>
          <w:szCs w:val="32"/>
          <w:highlight w:val="none"/>
          <w:lang w:val="en-US" w:eastAsia="zh-CN" w:bidi="ar-SA"/>
        </w:rPr>
        <w:t>措施</w:t>
      </w:r>
      <w:r>
        <w:rPr>
          <w:rFonts w:hint="eastAsia" w:ascii="Times New Roman" w:hAnsi="Times New Roman"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32"/>
          <w:szCs w:val="32"/>
          <w:highlight w:val="none"/>
          <w:lang w:val="en-US" w:eastAsia="zh-CN" w:bidi="ar-SA"/>
        </w:rPr>
        <w:t>根据班级班次、场地等实际现状合理设置班级人数，优化学生结构。细化学生参与各类活动预算</w:t>
      </w:r>
      <w:r>
        <w:rPr>
          <w:rFonts w:hint="default" w:ascii="Times New Roman" w:hAnsi="Times New Roman" w:eastAsia="仿宋_GB2312" w:cs="Times New Roman"/>
          <w:b w:val="0"/>
          <w:bCs w:val="0"/>
          <w:kern w:val="2"/>
          <w:sz w:val="32"/>
          <w:szCs w:val="32"/>
          <w:highlight w:val="none"/>
          <w:lang w:val="en-US" w:eastAsia="zh-CN" w:bidi="ar-SA"/>
        </w:rPr>
        <w:t>。</w:t>
      </w:r>
    </w:p>
    <w:p w14:paraId="38B43BA2">
      <w:pPr>
        <w:spacing w:line="560" w:lineRule="exact"/>
        <w:ind w:firstLine="640" w:firstLineChars="200"/>
        <w:rPr>
          <w:rStyle w:val="21"/>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F4E3ED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E57ED6C">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 xml:space="preserve"> 科学调研定价</w:t>
      </w:r>
    </w:p>
    <w:p w14:paraId="5BB1098F">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市场调研：定期走访当地同类培训机构、学校兴趣社团，了解绘画、舞蹈、乐器等热门兴趣班的课时费标准，掌握市场价格区间。</w:t>
      </w:r>
    </w:p>
    <w:p w14:paraId="7D0B1431">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 xml:space="preserve"> 成本核算：精确计算运营成本，涵盖教师薪酬（占比约40%-60%）、场地租赁与维护、教学设备购置与损耗、教材教具费用、行政办公支出等。如舞蹈班，需考虑舞蹈教室租金、地板维护、音响设备购置及更新等费用，确保课时费覆盖成本并维持中心可持续运营。</w:t>
      </w:r>
    </w:p>
    <w:p w14:paraId="207BD48C">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 xml:space="preserve"> 分层定价：依据课程性质、难度、师资配置、授课形式设置阶梯式收费。例如，基础类课程（如少儿美术启蒙、书法入门）课时费较低；专业提升类课程（如素描进阶、古筝演奏）课时费较高；一对一课程价格高于小班课程，小班课程又高于大班课程。</w:t>
      </w:r>
    </w:p>
    <w:p w14:paraId="644E6BE4">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时段差异定价：根据上课时间设置不同价格，热门时段（周末、寒暑假白天）课时费稍高，非热门时段（工作日晚上、寒暑假下午）给予适当优惠，平衡各时段学员人数。</w:t>
      </w:r>
    </w:p>
    <w:p w14:paraId="5CE65E37">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 xml:space="preserve"> 透明化管理</w:t>
      </w:r>
    </w:p>
    <w:p w14:paraId="2BD9E026">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费用公示：通过活动中心官网、微信公众号、宣传栏等渠道，详细公示各兴趣班课时费标准、收费依据、优惠政策，确保家长清晰知晓费用构成。</w:t>
      </w:r>
    </w:p>
    <w:p w14:paraId="1CACB526">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票据规范：为每笔收费开具正规票据，注明课程名称、课时数量、单价、总价、缴费日期等信息，便于家长核对与报销。</w:t>
      </w:r>
    </w:p>
    <w:p w14:paraId="48E6BC7F">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公益惠民举措</w:t>
      </w:r>
    </w:p>
    <w:p w14:paraId="45A168AD">
      <w:pPr>
        <w:pStyle w:val="11"/>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公益补贴课程：争取政府财政补贴、社会捐赠，开设部分低收费或免费公益兴趣班，针对家庭经济困难青少年、留守儿童等群体，提供平等学习机会。</w:t>
      </w:r>
    </w:p>
    <w:p w14:paraId="5E5A4582">
      <w:pPr>
        <w:pStyle w:val="11"/>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体验课与奖学金：定期推出免费体验课，让学员感受课程魅力后再决定是否报名；设立学习进步奖学金，对表现优异学员给予课时费减免或返还奖励。严格</w:t>
      </w:r>
      <w:r>
        <w:rPr>
          <w:rFonts w:hint="eastAsia" w:ascii="Times New Roman" w:hAnsi="Times New Roman" w:eastAsia="仿宋_GB2312" w:cs="Times New Roman"/>
          <w:b w:val="0"/>
          <w:bCs w:val="0"/>
          <w:kern w:val="2"/>
          <w:sz w:val="32"/>
          <w:szCs w:val="32"/>
          <w:highlight w:val="none"/>
          <w:lang w:val="en-US" w:eastAsia="zh-CN" w:bidi="ar-SA"/>
        </w:rPr>
        <w:t>按照年初活动中心制定的工作计划开展兴趣班培训工作</w:t>
      </w:r>
      <w:r>
        <w:rPr>
          <w:rFonts w:hint="default" w:ascii="Times New Roman" w:hAnsi="Times New Roman" w:eastAsia="仿宋_GB2312" w:cs="Times New Roman"/>
          <w:b w:val="0"/>
          <w:bCs w:val="0"/>
          <w:kern w:val="2"/>
          <w:sz w:val="32"/>
          <w:szCs w:val="32"/>
          <w:highlight w:val="none"/>
          <w:lang w:val="en-US" w:eastAsia="zh-CN" w:bidi="ar-SA"/>
        </w:rPr>
        <w:t>。</w:t>
      </w:r>
    </w:p>
    <w:p w14:paraId="718E73AD">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748C3D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青少年活动中心兴趣班课时费项目在实际运营中可能面临诸多挑战，以下从定价机制、收费管理的问题及背后</w:t>
      </w:r>
      <w:r>
        <w:rPr>
          <w:rFonts w:hint="eastAsia" w:eastAsia="仿宋_GB2312" w:cs="Times New Roman"/>
          <w:sz w:val="32"/>
          <w:szCs w:val="32"/>
          <w:highlight w:val="none"/>
          <w:lang w:val="en-US" w:eastAsia="zh-CN"/>
        </w:rPr>
        <w:t>分析</w:t>
      </w:r>
      <w:r>
        <w:rPr>
          <w:rFonts w:hint="default" w:ascii="Times New Roman" w:hAnsi="Times New Roman" w:eastAsia="仿宋_GB2312" w:cs="Times New Roman"/>
          <w:sz w:val="32"/>
          <w:szCs w:val="32"/>
          <w:highlight w:val="none"/>
          <w:lang w:val="en-US" w:eastAsia="zh-CN"/>
        </w:rPr>
        <w:t>原因：</w:t>
      </w:r>
    </w:p>
    <w:p w14:paraId="5B33856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 定价机制不合理</w:t>
      </w:r>
    </w:p>
    <w:p w14:paraId="2B8CA2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缺乏动态调整：部分活动中心的课时费标准多年未变，未充分考虑物价上涨、师资成本增加等因素。如近年来随着通货膨胀，教学设备采购、场地租赁成本逐年上升，但课时费却维持原有水平，导致运营成本压力增大。究其原因，主要是缺乏完善的市场调研和成本监控机制，未能及时获取行业动态和成本变化数据，难以做出科学的价格调整决策。</w:t>
      </w:r>
    </w:p>
    <w:p w14:paraId="097D53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定价依据单一：单纯依据课程类型或授课时长定价，忽略了课程实际成本差异。例如，一些科技类课程（如机器人编程、3D打印）所需的设备昂贵且更新换代快，耗材成本高，但课时费却与普通手工课程相近，无法体现课程的真实价值。这是由于在定价过程中，没有对每门课程的具体成本进行精细化核算，导致定价缺乏合理性。</w:t>
      </w:r>
    </w:p>
    <w:p w14:paraId="7EEE04E2">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03E151AC">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为优化青少年活动中心兴趣班的开设及开班活动，需从课程规划、招生宣传、开班筹备到后续运营等多环节着手，兼顾专业性与趣味性，提升服务质量和吸引力。以下是具体建议：</w:t>
      </w:r>
    </w:p>
    <w:p w14:paraId="2DD142AB">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 xml:space="preserve"> </w:t>
      </w:r>
      <w:r>
        <w:rPr>
          <w:rFonts w:hint="default" w:ascii="Times New Roman" w:hAnsi="Times New Roman" w:eastAsia="仿宋_GB2312" w:cs="Times New Roman"/>
          <w:sz w:val="32"/>
          <w:szCs w:val="32"/>
          <w:highlight w:val="none"/>
          <w:lang w:val="en-US" w:eastAsia="zh-CN"/>
        </w:rPr>
        <w:t>精准规划课程体系</w:t>
      </w:r>
    </w:p>
    <w:p w14:paraId="7B178962">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开展需求调研：通过线上问卷、线下访谈等方式，收集青少年及家长对兴趣课程的需求，如对新兴课程（人工智能启蒙、无人机操作、动漫设计）的意向，结合本地文化特色（如地方戏曲、传统手工艺），开发具有地域特色的课程，提高课程契合度。</w:t>
      </w:r>
    </w:p>
    <w:p w14:paraId="1E5B427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分层分类设计：按照年龄、技能水平划分课程层次，如少儿舞蹈启蒙班、青少年舞蹈进阶班；同时，设置基础兴趣类、专业提升类、实践拓展类等不同类型课程，满足多样化需求，避免课程同质化。</w:t>
      </w:r>
    </w:p>
    <w:p w14:paraId="7BB59A4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创新招生宣传模式</w:t>
      </w:r>
    </w:p>
    <w:p w14:paraId="01F4236A">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线上线下结合：利用微信公众号、短视频平台发布课程介绍、学员作品展示、教学成果等内容，吸引关注；举办线下开放日，邀请家长和青少年参观体验课程，安排教师现场讲解和互动，增强直观感受。</w:t>
      </w:r>
    </w:p>
    <w:p w14:paraId="5AA4BF0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口碑营销：鼓励已报名学员和家长分享学习体验，建立推荐奖励机制，如老学员推荐新学员成功报名，双方均可获得课时赠送或学习用品奖励，扩大招生影响力。</w:t>
      </w:r>
    </w:p>
    <w:p w14:paraId="0EAACF9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完善开班筹备工作</w:t>
      </w:r>
    </w:p>
    <w:p w14:paraId="4C1DB2C2">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做好学员管理：开班前对学员进行信息登记和分班，了解学员基础和特殊需求；建立家长沟通群，及时发布课程安排、注意事项等信息，加强家校沟通。</w:t>
      </w:r>
    </w:p>
    <w:p w14:paraId="56D7D01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highlight w:val="none"/>
          <w:lang w:val="en-US" w:eastAsia="zh-CN"/>
        </w:rPr>
        <w:t>保障教学资源：确保教室、设备、教材等教学资源到位</w:t>
      </w:r>
      <w:r>
        <w:rPr>
          <w:rFonts w:hint="eastAsia" w:eastAsia="仿宋_GB2312" w:cs="Times New Roman"/>
          <w:sz w:val="32"/>
          <w:szCs w:val="32"/>
          <w:highlight w:val="none"/>
          <w:lang w:val="en-US" w:eastAsia="zh-CN"/>
        </w:rPr>
        <w:t>。</w:t>
      </w: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6F51E5A">
      <w:pPr>
        <w:pStyle w:val="13"/>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420C7EA3">
      <w:pPr>
        <w:rPr>
          <w:rFonts w:hint="default" w:ascii="Times New Roman" w:hAnsi="Times New Roman" w:cs="Times New Roman"/>
        </w:rPr>
        <w:sectPr>
          <w:footerReference r:id="rId3" w:type="default"/>
          <w:pgSz w:w="11906" w:h="16838"/>
          <w:pgMar w:top="1440" w:right="1558" w:bottom="1440" w:left="1800" w:header="851" w:footer="992" w:gutter="0"/>
          <w:cols w:space="425" w:num="1"/>
          <w:docGrid w:type="lines" w:linePitch="312" w:charSpace="0"/>
        </w:sectPr>
      </w:pPr>
    </w:p>
    <w:p w14:paraId="6E43D5D6">
      <w:pPr>
        <w:rPr>
          <w:rFonts w:hint="default" w:ascii="Times New Roman" w:hAnsi="Times New Roman" w:cs="Times New Roman"/>
        </w:rPr>
      </w:pPr>
      <w:bookmarkStart w:id="1" w:name="_GoBack"/>
      <w:bookmarkEnd w:id="1"/>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C8003BF">
        <w:pPr>
          <w:pStyle w:val="8"/>
          <w:jc w:val="center"/>
        </w:pPr>
        <w:r>
          <w:fldChar w:fldCharType="begin"/>
        </w:r>
        <w:r>
          <w:instrText xml:space="preserve">PAGE   \* MERGEFORMAT</w:instrText>
        </w:r>
        <w:r>
          <w:fldChar w:fldCharType="separate"/>
        </w:r>
        <w:r>
          <w:rPr>
            <w:lang w:val="zh-CN"/>
          </w:rPr>
          <w:t>13</w:t>
        </w:r>
        <w:r>
          <w:fldChar w:fldCharType="end"/>
        </w:r>
      </w:p>
    </w:sdtContent>
  </w:sdt>
  <w:p w14:paraId="017D3AD9">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1"/>
      <w:numFmt w:val="decimal"/>
      <w:lvlText w:val="%1."/>
      <w:lvlJc w:val="left"/>
      <w:pPr>
        <w:tabs>
          <w:tab w:val="left" w:pos="312"/>
        </w:tabs>
      </w:pPr>
    </w:lvl>
  </w:abstractNum>
  <w:abstractNum w:abstractNumId="5">
    <w:nsid w:val="25B654F3"/>
    <w:multiLevelType w:val="singleLevel"/>
    <w:tmpl w:val="25B654F3"/>
    <w:lvl w:ilvl="0" w:tentative="0">
      <w:start w:val="2"/>
      <w:numFmt w:val="chineseCounting"/>
      <w:suff w:val="nothing"/>
      <w:lvlText w:val="（%1）"/>
      <w:lvlJc w:val="left"/>
      <w:rPr>
        <w:rFonts w:hint="eastAsia"/>
      </w:rPr>
    </w:lvl>
  </w:abstractNum>
  <w:abstractNum w:abstractNumId="6">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ZTJkYzQ0MDg1MGZkZGI3MzRjODYyNDMyZWIyZjQifQ=="/>
  </w:docVars>
  <w:rsids>
    <w:rsidRoot w:val="00000000"/>
    <w:rsid w:val="69984D3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3"/>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7"/>
    <w:qFormat/>
    <w:uiPriority w:val="0"/>
    <w:rPr>
      <w:rFonts w:ascii="Times New Roman" w:hAnsi="Times New Roman" w:eastAsia="宋体" w:cs="Times New Roman"/>
      <w:kern w:val="2"/>
      <w:sz w:val="18"/>
      <w:szCs w:val="18"/>
    </w:rPr>
  </w:style>
  <w:style w:type="character" w:customStyle="1" w:styleId="24">
    <w:name w:val="页眉 字符"/>
    <w:basedOn w:val="16"/>
    <w:link w:val="9"/>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DBF617CF58AF4C19A3F0158290AB7D9E</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cb5772c-9dc0-4d7f-8992-a3d17373a5a3}">
  <ds:schemaRefs/>
</ds:datastoreItem>
</file>

<file path=docProps/app.xml><?xml version="1.0" encoding="utf-8"?>
<Properties xmlns="http://schemas.openxmlformats.org/officeDocument/2006/extended-properties" xmlns:vt="http://schemas.openxmlformats.org/officeDocument/2006/docPropsVTypes">
  <Template>Normal</Template>
  <Pages>24</Pages>
  <Words>13120</Words>
  <Characters>13478</Characters>
  <Lines>58</Lines>
  <Paragraphs>16</Paragraphs>
  <TotalTime>47</TotalTime>
  <ScaleCrop>false</ScaleCrop>
  <LinksUpToDate>false</LinksUpToDate>
  <CharactersWithSpaces>13509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2025-12-05T07:40:31Z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DBF617CF58AF4C19A3F0158290AB7D9E</vt:lpwstr>
  </property>
  <property fmtid="{D5CDD505-2E9C-101B-9397-08002B2CF9AE}" pid="4" name="KSOTemplateDocerSaveRecord">
    <vt:lpwstr>eyJoZGlkIjoiN2E1ZDY0MDI5MTE3YjM0ZGMyMzg4N2EwMDI4ZjJiM2YiLCJ1c2VySWQiOiI0MzE2NzY3NzkifQ==</vt:lpwstr>
  </property>
</Properties>
</file>