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50BAD55"/>
    <w:p w14:paraId="5BECC89B">
      <w:pPr>
        <w:spacing w:line="540" w:lineRule="exact"/>
        <w:jc w:val="center"/>
        <w:rPr>
          <w:rFonts w:hint="default" w:ascii="Times New Roman" w:hAnsi="Times New Roman" w:eastAsia="华文中宋" w:cs="Times New Roman"/>
          <w:b/>
          <w:kern w:val="0"/>
          <w:sz w:val="52"/>
          <w:szCs w:val="52"/>
        </w:rPr>
      </w:pPr>
    </w:p>
    <w:p w14:paraId="66BB8A6F">
      <w:pPr>
        <w:spacing w:line="540" w:lineRule="exact"/>
        <w:rPr>
          <w:rFonts w:hint="default" w:ascii="Times New Roman" w:hAnsi="Times New Roman" w:eastAsia="华文中宋" w:cs="Times New Roman"/>
          <w:b/>
          <w:kern w:val="0"/>
          <w:sz w:val="52"/>
          <w:szCs w:val="52"/>
        </w:rPr>
      </w:pPr>
    </w:p>
    <w:p w14:paraId="65F2B827">
      <w:pPr>
        <w:spacing w:line="540" w:lineRule="exact"/>
        <w:jc w:val="center"/>
        <w:rPr>
          <w:rFonts w:hint="default" w:ascii="Times New Roman" w:hAnsi="Times New Roman" w:eastAsia="华文中宋" w:cs="Times New Roman"/>
          <w:b/>
          <w:kern w:val="0"/>
          <w:sz w:val="52"/>
          <w:szCs w:val="52"/>
        </w:rPr>
      </w:pPr>
    </w:p>
    <w:p w14:paraId="787C89A6">
      <w:pPr>
        <w:spacing w:line="540" w:lineRule="exact"/>
        <w:jc w:val="center"/>
        <w:rPr>
          <w:rFonts w:hint="default" w:ascii="Times New Roman" w:hAnsi="Times New Roman" w:eastAsia="华文中宋" w:cs="Times New Roman"/>
          <w:b/>
          <w:kern w:val="0"/>
          <w:sz w:val="52"/>
          <w:szCs w:val="52"/>
        </w:rPr>
      </w:pPr>
    </w:p>
    <w:p w14:paraId="2E5242FF">
      <w:pPr>
        <w:spacing w:line="540" w:lineRule="exact"/>
        <w:jc w:val="center"/>
        <w:rPr>
          <w:rFonts w:hint="default" w:ascii="Times New Roman" w:hAnsi="Times New Roman" w:eastAsia="方正小标宋_GBK" w:cs="Times New Roman"/>
          <w:kern w:val="0"/>
          <w:sz w:val="48"/>
          <w:szCs w:val="48"/>
        </w:rPr>
      </w:pPr>
      <w:r>
        <w:rPr>
          <w:rFonts w:ascii="宋体" w:hAnsi="宋体" w:eastAsia="宋体" w:cs="宋体"/>
          <w:sz w:val="24"/>
          <w:szCs w:val="24"/>
        </w:rPr>
        <w:br w:type="textWrapping"/>
      </w:r>
      <w:r>
        <w:rPr>
          <w:rFonts w:hint="eastAsia" w:ascii="Times New Roman" w:hAnsi="Times New Roman" w:eastAsia="方正小标宋_GBK" w:cs="Times New Roman"/>
          <w:kern w:val="0"/>
          <w:sz w:val="48"/>
          <w:szCs w:val="48"/>
        </w:rPr>
        <w:t>202</w:t>
      </w:r>
      <w:r>
        <w:rPr>
          <w:rFonts w:hint="eastAsia" w:eastAsia="方正小标宋_GBK" w:cs="Times New Roman"/>
          <w:kern w:val="0"/>
          <w:sz w:val="48"/>
          <w:szCs w:val="48"/>
          <w:lang w:val="en-US" w:eastAsia="zh-CN"/>
        </w:rPr>
        <w:t>3</w:t>
      </w:r>
      <w:r>
        <w:rPr>
          <w:rFonts w:hint="eastAsia" w:ascii="Times New Roman" w:hAnsi="Times New Roman" w:eastAsia="方正小标宋_GBK" w:cs="Times New Roman"/>
          <w:kern w:val="0"/>
          <w:sz w:val="48"/>
          <w:szCs w:val="48"/>
        </w:rPr>
        <w:t>年民贸民品企业贴息</w:t>
      </w:r>
      <w:r>
        <w:rPr>
          <w:rFonts w:hint="default" w:ascii="Times New Roman" w:hAnsi="Times New Roman" w:eastAsia="方正小标宋_GBK" w:cs="Times New Roman"/>
          <w:kern w:val="0"/>
          <w:sz w:val="48"/>
          <w:szCs w:val="48"/>
        </w:rPr>
        <w:t>项目支出绩效评价报告</w:t>
      </w:r>
    </w:p>
    <w:p w14:paraId="6BE70AB0">
      <w:pPr>
        <w:spacing w:line="540" w:lineRule="exact"/>
        <w:jc w:val="center"/>
        <w:rPr>
          <w:rFonts w:hint="default" w:ascii="Times New Roman" w:hAnsi="Times New Roman" w:eastAsia="华文中宋" w:cs="Times New Roman"/>
          <w:b/>
          <w:kern w:val="0"/>
          <w:sz w:val="52"/>
          <w:szCs w:val="52"/>
        </w:rPr>
      </w:pPr>
    </w:p>
    <w:p w14:paraId="4B6F5D14">
      <w:pPr>
        <w:spacing w:line="540" w:lineRule="exact"/>
        <w:jc w:val="center"/>
        <w:rPr>
          <w:rFonts w:hint="default" w:ascii="Times New Roman" w:hAnsi="Times New Roman" w:eastAsia="仿宋_GB2312" w:cs="Times New Roman"/>
          <w:kern w:val="0"/>
          <w:sz w:val="36"/>
          <w:szCs w:val="36"/>
        </w:rPr>
      </w:pPr>
      <w:r>
        <w:rPr>
          <w:rFonts w:hint="default" w:ascii="Times New Roman" w:hAnsi="Times New Roman" w:eastAsia="仿宋_GB2312" w:cs="Times New Roman"/>
          <w:kern w:val="0"/>
          <w:sz w:val="36"/>
          <w:szCs w:val="36"/>
        </w:rPr>
        <w:t>（202</w:t>
      </w:r>
      <w:r>
        <w:rPr>
          <w:rFonts w:hint="default" w:ascii="Times New Roman" w:hAnsi="Times New Roman" w:eastAsia="仿宋_GB2312" w:cs="Times New Roman"/>
          <w:kern w:val="0"/>
          <w:sz w:val="36"/>
          <w:szCs w:val="36"/>
          <w:lang w:val="en-US" w:eastAsia="zh-CN"/>
        </w:rPr>
        <w:t>4</w:t>
      </w:r>
      <w:r>
        <w:rPr>
          <w:rFonts w:hint="default" w:ascii="Times New Roman" w:hAnsi="Times New Roman" w:eastAsia="仿宋_GB2312" w:cs="Times New Roman"/>
          <w:kern w:val="0"/>
          <w:sz w:val="36"/>
          <w:szCs w:val="36"/>
        </w:rPr>
        <w:t>年度）</w:t>
      </w:r>
    </w:p>
    <w:p w14:paraId="3A69491D">
      <w:pPr>
        <w:spacing w:line="540" w:lineRule="exact"/>
        <w:jc w:val="center"/>
        <w:rPr>
          <w:rFonts w:hint="default" w:ascii="Times New Roman" w:hAnsi="Times New Roman" w:eastAsia="仿宋_GB2312" w:cs="Times New Roman"/>
          <w:kern w:val="0"/>
          <w:sz w:val="30"/>
          <w:szCs w:val="30"/>
        </w:rPr>
      </w:pPr>
    </w:p>
    <w:p w14:paraId="481B0E7D">
      <w:pPr>
        <w:spacing w:line="540" w:lineRule="exact"/>
        <w:jc w:val="center"/>
        <w:rPr>
          <w:rFonts w:hint="default" w:ascii="Times New Roman" w:hAnsi="Times New Roman" w:eastAsia="仿宋_GB2312" w:cs="Times New Roman"/>
          <w:kern w:val="0"/>
          <w:sz w:val="30"/>
          <w:szCs w:val="30"/>
        </w:rPr>
      </w:pPr>
    </w:p>
    <w:p w14:paraId="5445F404">
      <w:pPr>
        <w:spacing w:line="540" w:lineRule="exact"/>
        <w:jc w:val="center"/>
        <w:rPr>
          <w:rFonts w:hint="default" w:ascii="Times New Roman" w:hAnsi="Times New Roman" w:eastAsia="仿宋_GB2312" w:cs="Times New Roman"/>
          <w:kern w:val="0"/>
          <w:sz w:val="30"/>
          <w:szCs w:val="30"/>
        </w:rPr>
      </w:pPr>
    </w:p>
    <w:p w14:paraId="537BDBB2">
      <w:pPr>
        <w:pStyle w:val="2"/>
        <w:rPr>
          <w:rFonts w:hint="default" w:ascii="Times New Roman" w:hAnsi="Times New Roman" w:cs="Times New Roman"/>
        </w:rPr>
      </w:pPr>
    </w:p>
    <w:p w14:paraId="14589F7E">
      <w:pPr>
        <w:spacing w:line="540" w:lineRule="exact"/>
        <w:jc w:val="center"/>
        <w:rPr>
          <w:rFonts w:hint="default" w:ascii="Times New Roman" w:hAnsi="Times New Roman" w:eastAsia="仿宋_GB2312" w:cs="Times New Roman"/>
          <w:kern w:val="0"/>
          <w:sz w:val="30"/>
          <w:szCs w:val="30"/>
        </w:rPr>
      </w:pPr>
    </w:p>
    <w:p w14:paraId="01D0CDC3">
      <w:pPr>
        <w:spacing w:line="540" w:lineRule="exact"/>
        <w:rPr>
          <w:rFonts w:hint="default" w:ascii="Times New Roman" w:hAnsi="Times New Roman" w:eastAsia="仿宋_GB2312" w:cs="Times New Roman"/>
          <w:kern w:val="0"/>
          <w:sz w:val="30"/>
          <w:szCs w:val="30"/>
        </w:rPr>
      </w:pPr>
    </w:p>
    <w:p w14:paraId="2DCA57B7">
      <w:pPr>
        <w:spacing w:line="700" w:lineRule="exact"/>
        <w:ind w:firstLine="1440" w:firstLineChars="400"/>
        <w:jc w:val="left"/>
        <w:rPr>
          <w:rFonts w:hint="default" w:ascii="Times New Roman" w:hAnsi="Times New Roman" w:eastAsia="仿宋_GB2312" w:cs="Times New Roman"/>
          <w:kern w:val="0"/>
          <w:sz w:val="36"/>
          <w:szCs w:val="36"/>
        </w:rPr>
      </w:pPr>
      <w:r>
        <w:rPr>
          <w:rFonts w:hint="default" w:ascii="Times New Roman" w:hAnsi="Times New Roman" w:eastAsia="仿宋_GB2312" w:cs="Times New Roman"/>
          <w:kern w:val="0"/>
          <w:sz w:val="36"/>
          <w:szCs w:val="36"/>
        </w:rPr>
        <w:t>项目名称：</w:t>
      </w:r>
      <w:r>
        <w:rPr>
          <w:rFonts w:hint="eastAsia" w:ascii="Times New Roman" w:hAnsi="Times New Roman" w:eastAsia="仿宋_GB2312" w:cs="Times New Roman"/>
          <w:kern w:val="0"/>
          <w:sz w:val="36"/>
          <w:szCs w:val="36"/>
        </w:rPr>
        <w:t>2023年民贸民品企业贴息</w:t>
      </w:r>
    </w:p>
    <w:p w14:paraId="0114A5D7">
      <w:pPr>
        <w:spacing w:line="700" w:lineRule="exact"/>
        <w:ind w:left="4676" w:leftChars="684" w:hanging="3240" w:hangingChars="900"/>
        <w:jc w:val="left"/>
        <w:rPr>
          <w:rFonts w:hint="eastAsia" w:ascii="Times New Roman" w:hAnsi="Times New Roman" w:eastAsia="仿宋_GB2312" w:cs="Times New Roman"/>
          <w:kern w:val="0"/>
          <w:sz w:val="36"/>
          <w:szCs w:val="36"/>
          <w:lang w:eastAsia="zh-CN"/>
        </w:rPr>
      </w:pPr>
      <w:r>
        <w:rPr>
          <w:rFonts w:hint="default" w:ascii="Times New Roman" w:hAnsi="Times New Roman" w:eastAsia="仿宋_GB2312" w:cs="Times New Roman"/>
          <w:kern w:val="0"/>
          <w:sz w:val="36"/>
          <w:szCs w:val="36"/>
        </w:rPr>
        <w:t>实施单位（公章）：</w:t>
      </w:r>
      <w:r>
        <w:rPr>
          <w:rFonts w:hint="eastAsia" w:eastAsia="仿宋_GB2312" w:cs="Times New Roman"/>
          <w:kern w:val="0"/>
          <w:sz w:val="36"/>
          <w:szCs w:val="36"/>
          <w:lang w:eastAsia="zh-CN"/>
        </w:rPr>
        <w:t>中国共产党霍尔果斯市委员会统一战线工作部</w:t>
      </w:r>
    </w:p>
    <w:p w14:paraId="7AD3FC95">
      <w:pPr>
        <w:spacing w:line="700" w:lineRule="exact"/>
        <w:ind w:left="4676" w:leftChars="684" w:hanging="3240" w:hangingChars="900"/>
        <w:jc w:val="left"/>
        <w:rPr>
          <w:rFonts w:hint="eastAsia" w:ascii="Times New Roman" w:hAnsi="Times New Roman" w:eastAsia="仿宋_GB2312" w:cs="Times New Roman"/>
          <w:kern w:val="0"/>
          <w:sz w:val="36"/>
          <w:szCs w:val="36"/>
          <w:lang w:eastAsia="zh-CN"/>
        </w:rPr>
      </w:pPr>
      <w:r>
        <w:rPr>
          <w:rFonts w:hint="default" w:ascii="Times New Roman" w:hAnsi="Times New Roman" w:eastAsia="仿宋_GB2312" w:cs="Times New Roman"/>
          <w:kern w:val="0"/>
          <w:sz w:val="36"/>
          <w:szCs w:val="36"/>
        </w:rPr>
        <w:t>主管部门（公章）：</w:t>
      </w:r>
      <w:r>
        <w:rPr>
          <w:rFonts w:hint="eastAsia" w:eastAsia="仿宋_GB2312" w:cs="Times New Roman"/>
          <w:kern w:val="0"/>
          <w:sz w:val="36"/>
          <w:szCs w:val="36"/>
          <w:lang w:eastAsia="zh-CN"/>
        </w:rPr>
        <w:t>中国共产党霍尔果斯市委员会统一战线工作部</w:t>
      </w:r>
    </w:p>
    <w:p w14:paraId="7429FA42">
      <w:pPr>
        <w:spacing w:line="700" w:lineRule="exact"/>
        <w:ind w:firstLine="1440" w:firstLineChars="400"/>
        <w:jc w:val="left"/>
        <w:rPr>
          <w:rFonts w:hint="eastAsia" w:ascii="Times New Roman" w:hAnsi="Times New Roman" w:eastAsia="仿宋_GB2312" w:cs="Times New Roman"/>
          <w:kern w:val="0"/>
          <w:sz w:val="36"/>
          <w:szCs w:val="36"/>
          <w:lang w:eastAsia="zh-CN"/>
        </w:rPr>
      </w:pPr>
      <w:r>
        <w:rPr>
          <w:rFonts w:hint="default" w:ascii="Times New Roman" w:hAnsi="Times New Roman" w:eastAsia="仿宋_GB2312" w:cs="Times New Roman"/>
          <w:kern w:val="0"/>
          <w:sz w:val="36"/>
          <w:szCs w:val="36"/>
        </w:rPr>
        <w:t>项目负责人（签章）：</w:t>
      </w:r>
      <w:r>
        <w:rPr>
          <w:rFonts w:hint="eastAsia" w:ascii="Times New Roman" w:hAnsi="Times New Roman" w:eastAsia="仿宋_GB2312" w:cs="Times New Roman"/>
          <w:kern w:val="0"/>
          <w:sz w:val="36"/>
          <w:szCs w:val="36"/>
          <w:lang w:eastAsia="zh-CN"/>
        </w:rPr>
        <w:t>尚鹏任</w:t>
      </w:r>
    </w:p>
    <w:p w14:paraId="2B2A29F0">
      <w:pPr>
        <w:spacing w:line="700" w:lineRule="exact"/>
        <w:ind w:firstLine="1440" w:firstLineChars="400"/>
        <w:jc w:val="left"/>
        <w:rPr>
          <w:rFonts w:hint="default" w:ascii="Times New Roman" w:hAnsi="Times New Roman" w:eastAsia="仿宋_GB2312" w:cs="Times New Roman"/>
          <w:kern w:val="0"/>
          <w:sz w:val="30"/>
          <w:szCs w:val="30"/>
        </w:rPr>
      </w:pPr>
      <w:r>
        <w:rPr>
          <w:rFonts w:hint="default" w:ascii="Times New Roman" w:hAnsi="Times New Roman" w:eastAsia="仿宋_GB2312" w:cs="Times New Roman"/>
          <w:kern w:val="0"/>
          <w:sz w:val="36"/>
          <w:szCs w:val="36"/>
        </w:rPr>
        <w:t>填报时间：</w:t>
      </w:r>
      <w:r>
        <w:rPr>
          <w:rFonts w:hint="eastAsia" w:eastAsia="仿宋_GB2312" w:cs="Times New Roman"/>
          <w:kern w:val="0"/>
          <w:sz w:val="36"/>
          <w:szCs w:val="36"/>
          <w:lang w:val="en-US" w:eastAsia="zh-CN"/>
        </w:rPr>
        <w:t>2025</w:t>
      </w:r>
      <w:r>
        <w:rPr>
          <w:rFonts w:hint="default" w:ascii="Times New Roman" w:hAnsi="Times New Roman" w:eastAsia="仿宋_GB2312" w:cs="Times New Roman"/>
          <w:kern w:val="0"/>
          <w:sz w:val="36"/>
          <w:szCs w:val="36"/>
        </w:rPr>
        <w:t>年</w:t>
      </w:r>
      <w:r>
        <w:rPr>
          <w:rFonts w:hint="eastAsia" w:eastAsia="仿宋_GB2312" w:cs="Times New Roman"/>
          <w:kern w:val="0"/>
          <w:sz w:val="36"/>
          <w:szCs w:val="36"/>
          <w:lang w:val="en-US" w:eastAsia="zh-CN"/>
        </w:rPr>
        <w:t>5</w:t>
      </w:r>
      <w:r>
        <w:rPr>
          <w:rFonts w:hint="default" w:ascii="Times New Roman" w:hAnsi="Times New Roman" w:eastAsia="仿宋_GB2312" w:cs="Times New Roman"/>
          <w:kern w:val="0"/>
          <w:sz w:val="36"/>
          <w:szCs w:val="36"/>
        </w:rPr>
        <w:t>月</w:t>
      </w:r>
      <w:r>
        <w:rPr>
          <w:rFonts w:hint="eastAsia" w:eastAsia="仿宋_GB2312" w:cs="Times New Roman"/>
          <w:kern w:val="0"/>
          <w:sz w:val="36"/>
          <w:szCs w:val="36"/>
          <w:lang w:val="en-US" w:eastAsia="zh-CN"/>
        </w:rPr>
        <w:t>22</w:t>
      </w:r>
      <w:r>
        <w:rPr>
          <w:rFonts w:hint="default" w:ascii="Times New Roman" w:hAnsi="Times New Roman" w:eastAsia="仿宋_GB2312" w:cs="Times New Roman"/>
          <w:kern w:val="0"/>
          <w:sz w:val="36"/>
          <w:szCs w:val="36"/>
        </w:rPr>
        <w:t>日</w:t>
      </w:r>
      <w:bookmarkStart w:id="3" w:name="_GoBack"/>
      <w:bookmarkEnd w:id="3"/>
    </w:p>
    <w:p w14:paraId="266A3626">
      <w:pPr>
        <w:spacing w:line="560" w:lineRule="exact"/>
        <w:rPr>
          <w:rFonts w:hint="default" w:ascii="Times New Roman" w:hAnsi="Times New Roman" w:eastAsia="黑体" w:cs="Times New Roman"/>
          <w:bCs/>
          <w:sz w:val="32"/>
          <w:szCs w:val="32"/>
        </w:rPr>
        <w:sectPr>
          <w:pgSz w:w="11906" w:h="16838"/>
          <w:pgMar w:top="1440" w:right="1558" w:bottom="1440" w:left="1800" w:header="851" w:footer="992" w:gutter="0"/>
          <w:cols w:space="425" w:num="1"/>
          <w:docGrid w:type="lines" w:linePitch="312" w:charSpace="0"/>
        </w:sectPr>
      </w:pPr>
    </w:p>
    <w:p w14:paraId="33C81F46">
      <w:pPr>
        <w:spacing w:line="560" w:lineRule="exact"/>
        <w:ind w:firstLine="640" w:firstLineChars="200"/>
        <w:rPr>
          <w:rFonts w:hint="default" w:ascii="Times New Roman" w:hAnsi="Times New Roman" w:eastAsia="黑体" w:cs="Times New Roman"/>
          <w:bCs/>
          <w:sz w:val="32"/>
          <w:szCs w:val="32"/>
        </w:rPr>
      </w:pPr>
      <w:r>
        <w:rPr>
          <w:rFonts w:hint="default" w:ascii="Times New Roman" w:hAnsi="Times New Roman" w:eastAsia="黑体" w:cs="Times New Roman"/>
          <w:bCs/>
          <w:sz w:val="32"/>
          <w:szCs w:val="32"/>
        </w:rPr>
        <w:t>一、基本情况</w:t>
      </w:r>
    </w:p>
    <w:p w14:paraId="47217751">
      <w:pPr>
        <w:spacing w:line="560" w:lineRule="exact"/>
        <w:ind w:firstLine="643" w:firstLineChars="200"/>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（一）项目概况</w:t>
      </w:r>
    </w:p>
    <w:p w14:paraId="54937EB9">
      <w:pPr>
        <w:spacing w:line="560" w:lineRule="exact"/>
        <w:ind w:firstLine="643" w:firstLineChars="200"/>
        <w:rPr>
          <w:rFonts w:hint="default" w:ascii="Times New Roman" w:hAnsi="Times New Roman" w:eastAsia="仿宋_GB2312" w:cs="Times New Roman"/>
          <w:b/>
          <w:bCs/>
          <w:sz w:val="32"/>
          <w:szCs w:val="32"/>
          <w:highlight w:val="none"/>
        </w:rPr>
      </w:pPr>
      <w:r>
        <w:rPr>
          <w:rFonts w:hint="default" w:ascii="Times New Roman" w:hAnsi="Times New Roman" w:eastAsia="仿宋_GB2312" w:cs="Times New Roman"/>
          <w:b/>
          <w:bCs/>
          <w:sz w:val="32"/>
          <w:szCs w:val="32"/>
          <w:highlight w:val="none"/>
        </w:rPr>
        <w:t>1</w:t>
      </w:r>
      <w:r>
        <w:rPr>
          <w:rFonts w:hint="default" w:ascii="Times New Roman" w:hAnsi="Times New Roman" w:eastAsia="仿宋_GB2312" w:cs="Times New Roman"/>
          <w:b/>
          <w:bCs/>
          <w:sz w:val="32"/>
          <w:szCs w:val="32"/>
          <w:highlight w:val="none"/>
          <w:lang w:val="en-US" w:eastAsia="zh-CN"/>
        </w:rPr>
        <w:t>.</w:t>
      </w:r>
      <w:r>
        <w:rPr>
          <w:rFonts w:hint="default" w:ascii="Times New Roman" w:hAnsi="Times New Roman" w:eastAsia="仿宋_GB2312" w:cs="Times New Roman"/>
          <w:b/>
          <w:bCs/>
          <w:sz w:val="32"/>
          <w:szCs w:val="32"/>
          <w:highlight w:val="none"/>
        </w:rPr>
        <w:t>项目背景</w:t>
      </w:r>
    </w:p>
    <w:p w14:paraId="43E9FCEB">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eastAsia" w:ascii="Times New Roman" w:hAnsi="Times New Roman" w:eastAsia="仿宋_GB2312" w:cs="Times New Roman"/>
          <w:sz w:val="32"/>
          <w:szCs w:val="32"/>
          <w:highlight w:val="none"/>
          <w:lang w:val="en-US" w:eastAsia="zh-CN"/>
        </w:rPr>
        <w:t>本项目依据《关于结算2023年度民族贸易和民族特需商品生产贷款贴息引导支持资金的通知》要求，结合本地区相关政策，带动当地就业和相关产业发展，通过对民贸民品企业给予贷款贴息，能够降低企业融资成本，增强其发展能力，带动当地就业和相关产业发展，推动民族地区经济增长，缩小与其他地区的经济差距。</w:t>
      </w:r>
    </w:p>
    <w:p w14:paraId="474D1A0E">
      <w:pPr>
        <w:pStyle w:val="2"/>
        <w:numPr>
          <w:ilvl w:val="0"/>
          <w:numId w:val="0"/>
        </w:numPr>
        <w:spacing w:before="0" w:after="0" w:line="560" w:lineRule="exact"/>
        <w:ind w:firstLine="643" w:firstLineChars="200"/>
        <w:jc w:val="both"/>
        <w:rPr>
          <w:rFonts w:hint="default" w:ascii="Times New Roman" w:hAnsi="Times New Roman" w:eastAsia="仿宋_GB2312" w:cs="Times New Roman"/>
          <w:kern w:val="2"/>
        </w:rPr>
      </w:pPr>
      <w:r>
        <w:rPr>
          <w:rFonts w:hint="default" w:ascii="Times New Roman" w:hAnsi="Times New Roman" w:eastAsia="仿宋_GB2312" w:cs="Times New Roman"/>
          <w:kern w:val="2"/>
          <w:lang w:val="en-US" w:eastAsia="zh-CN"/>
        </w:rPr>
        <w:t>2.</w:t>
      </w:r>
      <w:r>
        <w:rPr>
          <w:rFonts w:hint="default" w:ascii="Times New Roman" w:hAnsi="Times New Roman" w:eastAsia="仿宋_GB2312" w:cs="Times New Roman"/>
          <w:kern w:val="2"/>
        </w:rPr>
        <w:t>项目主要内容：</w:t>
      </w:r>
    </w:p>
    <w:p w14:paraId="0806587A">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项目主要内容：</w:t>
      </w:r>
      <w:r>
        <w:rPr>
          <w:rFonts w:hint="eastAsia" w:ascii="Times New Roman" w:hAnsi="Times New Roman" w:eastAsia="仿宋_GB2312" w:cs="Times New Roman"/>
          <w:sz w:val="32"/>
          <w:szCs w:val="32"/>
          <w:highlight w:val="none"/>
          <w:lang w:val="en-US" w:eastAsia="zh-CN"/>
        </w:rPr>
        <w:t>为满足少数民族群众生产生活需要，促进民族地区贸易发展，保障民族特需商品供应，加强民族贸易和民族特需商品生产贷款贴息管理，提高贴息资金使用效益，引导支持地方落实贴息政策。</w:t>
      </w:r>
    </w:p>
    <w:p w14:paraId="2C40D7A5">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项目实施情况：</w:t>
      </w:r>
      <w:r>
        <w:rPr>
          <w:rFonts w:hint="eastAsia" w:ascii="Times New Roman" w:hAnsi="Times New Roman" w:eastAsia="仿宋_GB2312" w:cs="Times New Roman"/>
          <w:sz w:val="32"/>
          <w:szCs w:val="32"/>
          <w:highlight w:val="none"/>
          <w:lang w:val="en-US" w:eastAsia="zh-CN"/>
        </w:rPr>
        <w:t>项目已经完成为8家民贸民品企业进行核定补齐2023年贷款贴息共计192.72万元，达到了为民贸民品企业注入经济活力、促进企业健康发展的目标。</w:t>
      </w:r>
    </w:p>
    <w:p w14:paraId="56603091">
      <w:pPr>
        <w:spacing w:line="560" w:lineRule="exact"/>
        <w:ind w:firstLine="643" w:firstLineChars="200"/>
        <w:rPr>
          <w:rFonts w:hint="default" w:ascii="Times New Roman" w:hAnsi="Times New Roman" w:eastAsia="仿宋_GB2312" w:cs="Times New Roman"/>
          <w:b/>
          <w:bCs/>
          <w:sz w:val="32"/>
          <w:szCs w:val="32"/>
        </w:rPr>
      </w:pPr>
      <w:r>
        <w:rPr>
          <w:rFonts w:hint="default" w:ascii="Times New Roman" w:hAnsi="Times New Roman" w:eastAsia="仿宋_GB2312" w:cs="Times New Roman"/>
          <w:b/>
          <w:bCs/>
          <w:sz w:val="32"/>
          <w:szCs w:val="32"/>
        </w:rPr>
        <w:t>3</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b/>
          <w:bCs/>
          <w:sz w:val="32"/>
          <w:szCs w:val="32"/>
        </w:rPr>
        <w:t>资金投入和使用情况</w:t>
      </w:r>
    </w:p>
    <w:p w14:paraId="2839890C">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（1）资金投入情况</w:t>
      </w:r>
    </w:p>
    <w:p w14:paraId="4A251EF3">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该项目年初预算数</w:t>
      </w:r>
      <w:r>
        <w:rPr>
          <w:rFonts w:hint="eastAsia" w:eastAsia="仿宋_GB2312" w:cs="Times New Roman"/>
          <w:sz w:val="32"/>
          <w:szCs w:val="32"/>
          <w:highlight w:val="none"/>
          <w:lang w:val="en-US" w:eastAsia="zh-CN"/>
        </w:rPr>
        <w:t>192.72</w:t>
      </w:r>
      <w:r>
        <w:rPr>
          <w:rFonts w:hint="default" w:ascii="Times New Roman" w:hAnsi="Times New Roman" w:eastAsia="仿宋_GB2312" w:cs="Times New Roman"/>
          <w:sz w:val="32"/>
          <w:szCs w:val="32"/>
          <w:highlight w:val="none"/>
          <w:lang w:val="en-US" w:eastAsia="zh-CN"/>
        </w:rPr>
        <w:t>万元，全年预算数</w:t>
      </w:r>
      <w:r>
        <w:rPr>
          <w:rFonts w:hint="eastAsia" w:eastAsia="仿宋_GB2312" w:cs="Times New Roman"/>
          <w:sz w:val="32"/>
          <w:szCs w:val="32"/>
          <w:highlight w:val="none"/>
          <w:lang w:val="en-US" w:eastAsia="zh-CN"/>
        </w:rPr>
        <w:t>192.72</w:t>
      </w:r>
      <w:r>
        <w:rPr>
          <w:rFonts w:hint="default" w:ascii="Times New Roman" w:hAnsi="Times New Roman" w:eastAsia="仿宋_GB2312" w:cs="Times New Roman"/>
          <w:sz w:val="32"/>
          <w:szCs w:val="32"/>
          <w:highlight w:val="none"/>
          <w:lang w:val="en-US" w:eastAsia="zh-CN"/>
        </w:rPr>
        <w:t>万元，该项目资金已全部落实到位，资金来源为</w:t>
      </w:r>
      <w:r>
        <w:rPr>
          <w:rFonts w:hint="eastAsia" w:eastAsia="仿宋_GB2312" w:cs="Times New Roman"/>
          <w:sz w:val="32"/>
          <w:szCs w:val="32"/>
          <w:highlight w:val="none"/>
          <w:lang w:val="en-US" w:eastAsia="zh-CN"/>
        </w:rPr>
        <w:t>财政拨款</w:t>
      </w:r>
      <w:r>
        <w:rPr>
          <w:rFonts w:hint="default" w:ascii="Times New Roman" w:hAnsi="Times New Roman" w:eastAsia="仿宋_GB2312" w:cs="Times New Roman"/>
          <w:sz w:val="32"/>
          <w:szCs w:val="32"/>
          <w:highlight w:val="none"/>
          <w:lang w:val="en-US" w:eastAsia="zh-CN"/>
        </w:rPr>
        <w:t>。</w:t>
      </w:r>
    </w:p>
    <w:p w14:paraId="3DC64F29">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（2）资金使用情况</w:t>
      </w:r>
    </w:p>
    <w:p w14:paraId="058CD2A0">
      <w:pPr>
        <w:spacing w:line="560" w:lineRule="exact"/>
        <w:ind w:firstLine="640" w:firstLineChars="20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该项目年初预算数</w:t>
      </w:r>
      <w:r>
        <w:rPr>
          <w:rFonts w:hint="eastAsia" w:eastAsia="仿宋_GB2312" w:cs="Times New Roman"/>
          <w:sz w:val="32"/>
          <w:szCs w:val="32"/>
          <w:highlight w:val="none"/>
          <w:lang w:val="en-US" w:eastAsia="zh-CN"/>
        </w:rPr>
        <w:t>192.72</w:t>
      </w:r>
      <w:r>
        <w:rPr>
          <w:rFonts w:hint="default" w:ascii="Times New Roman" w:hAnsi="Times New Roman" w:eastAsia="仿宋_GB2312" w:cs="Times New Roman"/>
          <w:sz w:val="32"/>
          <w:szCs w:val="32"/>
          <w:highlight w:val="none"/>
          <w:lang w:val="en-US" w:eastAsia="zh-CN"/>
        </w:rPr>
        <w:t>万元，全年预算数</w:t>
      </w:r>
      <w:r>
        <w:rPr>
          <w:rFonts w:hint="eastAsia" w:eastAsia="仿宋_GB2312" w:cs="Times New Roman"/>
          <w:sz w:val="32"/>
          <w:szCs w:val="32"/>
          <w:highlight w:val="none"/>
          <w:lang w:val="en-US" w:eastAsia="zh-CN"/>
        </w:rPr>
        <w:t>192.72</w:t>
      </w:r>
      <w:r>
        <w:rPr>
          <w:rFonts w:hint="default" w:ascii="Times New Roman" w:hAnsi="Times New Roman" w:eastAsia="仿宋_GB2312" w:cs="Times New Roman"/>
          <w:sz w:val="32"/>
          <w:szCs w:val="32"/>
          <w:highlight w:val="none"/>
          <w:lang w:val="en-US" w:eastAsia="zh-CN"/>
        </w:rPr>
        <w:t>万元</w:t>
      </w:r>
      <w:r>
        <w:rPr>
          <w:rFonts w:hint="eastAsia" w:ascii="Times New Roman" w:hAnsi="Times New Roman"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lang w:val="en-US" w:eastAsia="zh-CN"/>
        </w:rPr>
        <w:t>全年执行数</w:t>
      </w:r>
      <w:r>
        <w:rPr>
          <w:rFonts w:hint="eastAsia" w:eastAsia="仿宋_GB2312" w:cs="Times New Roman"/>
          <w:sz w:val="32"/>
          <w:szCs w:val="32"/>
          <w:highlight w:val="none"/>
          <w:lang w:val="en-US" w:eastAsia="zh-CN"/>
        </w:rPr>
        <w:t>192.72</w:t>
      </w:r>
      <w:r>
        <w:rPr>
          <w:rFonts w:hint="default" w:ascii="Times New Roman" w:hAnsi="Times New Roman" w:eastAsia="仿宋_GB2312" w:cs="Times New Roman"/>
          <w:sz w:val="32"/>
          <w:szCs w:val="32"/>
          <w:highlight w:val="none"/>
          <w:lang w:val="en-US" w:eastAsia="zh-CN"/>
        </w:rPr>
        <w:t>万元，预算执行率为</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%，主要用于：为8家民贸民品企业进行核定补齐2023年贷款贴息共计192.72万元</w:t>
      </w:r>
      <w:r>
        <w:rPr>
          <w:rFonts w:hint="eastAsia" w:eastAsia="仿宋_GB2312" w:cs="Times New Roman"/>
          <w:sz w:val="32"/>
          <w:szCs w:val="32"/>
          <w:highlight w:val="none"/>
          <w:lang w:val="en-US" w:eastAsia="zh-CN"/>
        </w:rPr>
        <w:t>。</w:t>
      </w:r>
    </w:p>
    <w:p w14:paraId="53DA2724">
      <w:pPr>
        <w:spacing w:line="560" w:lineRule="exact"/>
        <w:ind w:firstLine="643" w:firstLineChars="200"/>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（二）项目绩效目标</w:t>
      </w:r>
    </w:p>
    <w:p w14:paraId="3D97B9F9">
      <w:pP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sz w:val="32"/>
          <w:szCs w:val="32"/>
        </w:rPr>
        <w:t>总体目标</w:t>
      </w:r>
    </w:p>
    <w:p w14:paraId="2BC3BF63">
      <w:pPr>
        <w:shd w:val="clear" w:color="auto" w:fill="auto"/>
        <w:spacing w:line="600" w:lineRule="exact"/>
        <w:ind w:firstLine="640" w:firstLineChars="200"/>
        <w:outlineLvl w:val="0"/>
        <w:rPr>
          <w:rFonts w:hint="eastAsia" w:ascii="Times New Roman" w:hAnsi="Times New Roman" w:eastAsia="仿宋_GB2312" w:cs="Times New Roman"/>
          <w:sz w:val="32"/>
          <w:szCs w:val="32"/>
          <w:highlight w:val="none"/>
          <w:lang w:val="en-US" w:eastAsia="zh-CN"/>
        </w:rPr>
      </w:pPr>
      <w:r>
        <w:rPr>
          <w:rFonts w:hint="eastAsia" w:ascii="Times New Roman" w:hAnsi="Times New Roman" w:eastAsia="仿宋_GB2312" w:cs="Times New Roman"/>
          <w:sz w:val="32"/>
          <w:szCs w:val="32"/>
          <w:highlight w:val="none"/>
          <w:lang w:val="en-US" w:eastAsia="zh-CN"/>
        </w:rPr>
        <w:t>根据《关于结算2023年度民族贸易和民族特需商品生产贷款贴息引导支持资金的通知》，通过为8家民贸民品企业进行核定补齐2023年贷款贴息共计192.72万元，为民贸民品企业注入经济活力，促进企业健康发展。</w:t>
      </w:r>
    </w:p>
    <w:p w14:paraId="4A0E248F">
      <w:pPr>
        <w:spacing w:line="560" w:lineRule="exact"/>
        <w:ind w:firstLine="640" w:firstLineChars="200"/>
        <w:rPr>
          <w:rFonts w:hint="default" w:ascii="Times New Roman" w:hAnsi="Times New Roman" w:eastAsia="仿宋_GB2312" w:cs="Times New Roman"/>
          <w:sz w:val="32"/>
          <w:szCs w:val="32"/>
          <w:highlight w:val="none"/>
        </w:rPr>
      </w:pPr>
      <w:r>
        <w:rPr>
          <w:rFonts w:hint="eastAsia" w:eastAsia="仿宋_GB2312" w:cs="Times New Roman"/>
          <w:sz w:val="32"/>
          <w:szCs w:val="32"/>
          <w:highlight w:val="none"/>
          <w:lang w:val="en-US" w:eastAsia="zh-CN"/>
        </w:rPr>
        <w:t>2.</w:t>
      </w:r>
      <w:r>
        <w:rPr>
          <w:rFonts w:hint="default" w:ascii="Times New Roman" w:hAnsi="Times New Roman" w:eastAsia="仿宋_GB2312" w:cs="Times New Roman"/>
          <w:sz w:val="32"/>
          <w:szCs w:val="32"/>
          <w:highlight w:val="none"/>
        </w:rPr>
        <w:t>阶段性目标</w:t>
      </w:r>
    </w:p>
    <w:p w14:paraId="5D619A9C">
      <w:pPr>
        <w:spacing w:line="560" w:lineRule="exact"/>
        <w:ind w:firstLine="640" w:firstLineChars="200"/>
        <w:rPr>
          <w:rFonts w:hint="default" w:ascii="Times New Roman" w:hAnsi="Times New Roman" w:eastAsia="仿宋_GB2312" w:cs="Times New Roman"/>
          <w:sz w:val="32"/>
          <w:szCs w:val="32"/>
        </w:rPr>
      </w:pPr>
      <w:r>
        <w:rPr>
          <w:rFonts w:hint="eastAsia" w:eastAsia="仿宋_GB2312" w:cs="Times New Roman"/>
          <w:sz w:val="32"/>
          <w:szCs w:val="32"/>
          <w:lang w:val="en-US" w:eastAsia="zh-CN"/>
        </w:rPr>
        <w:t>2024年年初我单位走访企业，宣传民贸民品贴息贷款政策，企业申报民贸民品贴息，自治区审核资质，审核通过后将名单下发各县市，各县市根据实际情况核定</w:t>
      </w:r>
      <w:r>
        <w:rPr>
          <w:rFonts w:hint="eastAsia" w:ascii="Times New Roman" w:hAnsi="Times New Roman" w:eastAsia="仿宋_GB2312" w:cs="Times New Roman"/>
          <w:sz w:val="32"/>
          <w:szCs w:val="32"/>
          <w:highlight w:val="none"/>
          <w:lang w:val="en-US" w:eastAsia="zh-CN"/>
        </w:rPr>
        <w:t>民贸民品企业补齐2023年贷款贴息</w:t>
      </w:r>
      <w:r>
        <w:rPr>
          <w:rFonts w:hint="eastAsia" w:eastAsia="仿宋_GB2312" w:cs="Times New Roman"/>
          <w:sz w:val="32"/>
          <w:szCs w:val="32"/>
          <w:highlight w:val="none"/>
          <w:lang w:val="en-US" w:eastAsia="zh-CN"/>
        </w:rPr>
        <w:t>，</w:t>
      </w:r>
      <w:r>
        <w:rPr>
          <w:rFonts w:hint="eastAsia" w:eastAsia="仿宋_GB2312" w:cs="Times New Roman"/>
          <w:sz w:val="32"/>
          <w:szCs w:val="32"/>
          <w:lang w:val="en-US" w:eastAsia="zh-CN"/>
        </w:rPr>
        <w:t>2024年7月申报民贸民品贴息资金</w:t>
      </w:r>
      <w:r>
        <w:rPr>
          <w:rFonts w:hint="eastAsia" w:ascii="Times New Roman" w:hAnsi="Times New Roman" w:eastAsia="仿宋_GB2312" w:cs="Times New Roman"/>
          <w:sz w:val="32"/>
          <w:szCs w:val="32"/>
          <w:lang w:val="en-US" w:eastAsia="zh-CN"/>
        </w:rPr>
        <w:t>192.72</w:t>
      </w:r>
      <w:r>
        <w:rPr>
          <w:rFonts w:hint="eastAsia" w:ascii="Times New Roman" w:hAnsi="Times New Roman" w:eastAsia="仿宋_GB2312" w:cs="Times New Roman"/>
          <w:sz w:val="32"/>
          <w:szCs w:val="32"/>
        </w:rPr>
        <w:t>万元</w:t>
      </w:r>
      <w:r>
        <w:rPr>
          <w:rFonts w:hint="eastAsia" w:eastAsia="仿宋_GB2312" w:cs="Times New Roman"/>
          <w:sz w:val="32"/>
          <w:szCs w:val="32"/>
          <w:lang w:eastAsia="zh-CN"/>
        </w:rPr>
        <w:t>，</w:t>
      </w:r>
      <w:r>
        <w:rPr>
          <w:rFonts w:hint="eastAsia" w:eastAsia="仿宋_GB2312" w:cs="Times New Roman"/>
          <w:sz w:val="32"/>
          <w:szCs w:val="32"/>
          <w:lang w:val="en-US" w:eastAsia="zh-CN"/>
        </w:rPr>
        <w:t>2024年8月支付完成</w:t>
      </w:r>
      <w:r>
        <w:rPr>
          <w:rFonts w:hint="eastAsia" w:ascii="Times New Roman" w:hAnsi="Times New Roman" w:eastAsia="仿宋_GB2312" w:cs="Times New Roman"/>
          <w:sz w:val="32"/>
          <w:szCs w:val="32"/>
        </w:rPr>
        <w:t>贷款贴息补贴</w:t>
      </w:r>
      <w:r>
        <w:rPr>
          <w:rFonts w:hint="eastAsia" w:ascii="Times New Roman" w:hAnsi="Times New Roman" w:eastAsia="仿宋_GB2312" w:cs="Times New Roman"/>
          <w:sz w:val="32"/>
          <w:szCs w:val="32"/>
          <w:lang w:val="en-US" w:eastAsia="zh-CN"/>
        </w:rPr>
        <w:t>192.72</w:t>
      </w:r>
      <w:r>
        <w:rPr>
          <w:rFonts w:hint="eastAsia" w:ascii="Times New Roman" w:hAnsi="Times New Roman" w:eastAsia="仿宋_GB2312" w:cs="Times New Roman"/>
          <w:sz w:val="32"/>
          <w:szCs w:val="32"/>
        </w:rPr>
        <w:t>万元。</w:t>
      </w:r>
    </w:p>
    <w:p w14:paraId="204632FA">
      <w:pPr>
        <w:spacing w:line="560" w:lineRule="exact"/>
        <w:ind w:firstLine="640" w:firstLineChars="200"/>
        <w:rPr>
          <w:rFonts w:hint="default" w:ascii="Times New Roman" w:hAnsi="Times New Roman" w:eastAsia="黑体" w:cs="Times New Roman"/>
          <w:sz w:val="32"/>
          <w:szCs w:val="32"/>
        </w:rPr>
      </w:pPr>
      <w:r>
        <w:rPr>
          <w:rFonts w:hint="default" w:ascii="Times New Roman" w:hAnsi="Times New Roman" w:eastAsia="黑体" w:cs="Times New Roman"/>
          <w:sz w:val="32"/>
          <w:szCs w:val="32"/>
        </w:rPr>
        <w:t>二、绩效评价工作开展情况</w:t>
      </w:r>
    </w:p>
    <w:p w14:paraId="7A579EB2">
      <w:pPr>
        <w:spacing w:line="560" w:lineRule="exact"/>
        <w:ind w:firstLine="643" w:firstLineChars="200"/>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（一）绩效评价目的、对象和范围</w:t>
      </w:r>
    </w:p>
    <w:p w14:paraId="1A744010">
      <w:pPr>
        <w:pStyle w:val="2"/>
        <w:widowControl w:val="0"/>
        <w:spacing w:before="0" w:after="0" w:line="560" w:lineRule="exact"/>
        <w:ind w:firstLine="640" w:firstLineChars="200"/>
        <w:jc w:val="both"/>
        <w:outlineLvl w:val="9"/>
        <w:rPr>
          <w:rFonts w:hint="default" w:ascii="Times New Roman" w:hAnsi="Times New Roman" w:eastAsia="仿宋_GB2312" w:cs="Times New Roman"/>
          <w:b w:val="0"/>
          <w:bCs w:val="0"/>
          <w:highlight w:val="none"/>
          <w:lang w:val="en-US" w:eastAsia="zh-CN"/>
        </w:rPr>
      </w:pPr>
      <w:r>
        <w:rPr>
          <w:rFonts w:hint="default" w:ascii="Times New Roman" w:hAnsi="Times New Roman" w:eastAsia="仿宋_GB2312" w:cs="Times New Roman"/>
          <w:b w:val="0"/>
          <w:bCs w:val="0"/>
          <w:highlight w:val="none"/>
          <w:lang w:val="en-US" w:eastAsia="zh-CN"/>
        </w:rPr>
        <w:t>1.绩效评价完整性</w:t>
      </w:r>
    </w:p>
    <w:p w14:paraId="0BA57299">
      <w:pPr>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本项目预算绩效评价报告在编制过程中，严格遵循相关法规与标准，确保评价内容的全面性与准确性。报告涵盖了项目从预算编制、执行到完成的全过程，对项目的各项绩效指标进行了细致的梳理与评估。</w:t>
      </w:r>
    </w:p>
    <w:p w14:paraId="488DA88C">
      <w:pPr>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在评价指标体系的构建上，充分考虑了项目的性质、目标以及预期成果，选取了具有代表性和可衡量性的关键指标，涵盖了社会效益等多个维度，力求全方位反映项目的绩效状况。同时，对于每个指标的评价标准和数据来源均进行了明确说明，确保评价结果的客观性和可追溯性。</w:t>
      </w:r>
    </w:p>
    <w:p w14:paraId="731EE8B5">
      <w:pPr>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在数据收集与分析环节，采用了多种科学合理的方法，如实地调研、问卷调查、数据分析等，广泛收集了与项目相关的各类数据，并运用专业的统计分析工具对数据进行深入挖掘，以确保评价结论的科学性和可靠性。此外，还对数据的质量和完整性进行了严格把控，对于缺失或异常的数据进行了合理的处理和说明，保证了评价数据的真实性和有效性。</w:t>
      </w:r>
    </w:p>
    <w:p w14:paraId="7E47F885">
      <w:pPr>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在报告的撰写结构上，按照统一的格式和规范进行编排，内容层次分明、条理清晰。首先对项目的背景、目标和预算安排进行了简要介绍，为后续的绩效评价提供了必要的背景信息；接着详细阐述了绩效评价的指标体系、评价方法和数据来源，为评价过程的透明性和可复现性奠定了基础；然后对各项绩效指标的完成情况进行了逐一分析和评价，指出了项目在实施过程中存在的问题和不足，并提出了相应的改进建议；最后对整个项目的绩效状况进行了综合总结，给出了明确的评价结论和后续工作的建议，为项目的持续改进和决策提供了有力支持。</w:t>
      </w:r>
    </w:p>
    <w:p w14:paraId="70EE40EC">
      <w:pPr>
        <w:spacing w:line="560" w:lineRule="exact"/>
        <w:ind w:firstLine="640" w:firstLineChars="20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本项目预算绩效评价报告在内容、方法和数据等方面均具备较高的完整性，能够真实、客观地反映项目的绩效情况，为项目管理决策提供了有价值的参考依据。在未来的工作中，我们将继续完善绩效评价体系，不断提升评价工作的质量和水平，以更好地服务于项目的管理和优化。</w:t>
      </w:r>
    </w:p>
    <w:p w14:paraId="05A899F9">
      <w:pP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lang w:val="en-US" w:eastAsia="zh-CN"/>
        </w:rPr>
        <w:t>2.</w:t>
      </w:r>
      <w:r>
        <w:rPr>
          <w:rFonts w:hint="default" w:ascii="Times New Roman" w:hAnsi="Times New Roman" w:eastAsia="仿宋_GB2312" w:cs="Times New Roman"/>
          <w:sz w:val="32"/>
          <w:szCs w:val="32"/>
        </w:rPr>
        <w:t>绩效评价的目的</w:t>
      </w:r>
    </w:p>
    <w:p w14:paraId="4CE9C950">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（1）评估项目实施效果</w:t>
      </w:r>
    </w:p>
    <w:p w14:paraId="7845E631">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通过对项目预算执行情况及各项绩效目标达成程度的系统性分析，全面、客观地评估项目在预定周期内的实施效果，包括社会效益等多维度指标，为项目后续的改进与优化提供科学依据。</w:t>
      </w:r>
    </w:p>
    <w:p w14:paraId="07AC4CE3">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（2）提升资源利用效率</w:t>
      </w:r>
    </w:p>
    <w:p w14:paraId="3ACA696B">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深入剖析项目预算资金的投入与产出关系，识别资金使用过程中的冗余环节与低效领域，挖掘潜在的资源优化配置空间，推动项目在有限的预算资源下实现更高的绩效产出，提升整体资源利用效率，确保财政资金的合理、高效运用。</w:t>
      </w:r>
    </w:p>
    <w:p w14:paraId="0BA257CA">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（3）强化项目管理责任</w:t>
      </w:r>
    </w:p>
    <w:p w14:paraId="28975CAE">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明确项目各参与主体在预算绩效管理中的职责与任务，借助绩效评价结果对项目管理过程进行监督与问责，促使项目管理者增强责任意识，主动优化管理流程，完善内部控制机制，提高项目管理水平与执行力，保障项目按计划、高质量推进。</w:t>
      </w:r>
    </w:p>
    <w:p w14:paraId="49435199">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（4）为决策提供支持</w:t>
      </w:r>
    </w:p>
    <w:p w14:paraId="7DF23A9D">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为项目主管部门、财政部门及相关决策层提供详实、准确的绩效评价信息，辅助其在项目审批、预算安排、政策调整等关键决策环节做出更加科学、合理的判断，促进项目资源的合理分配与有效整合，推动项目管理体系的不断完善与升级，提升公共资源配置的精准度与有效性。</w:t>
      </w:r>
    </w:p>
    <w:p w14:paraId="28A3386F">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（5）促进项目持续改进</w:t>
      </w:r>
    </w:p>
    <w:p w14:paraId="325AC89D">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基于绩效评价发现的问题与不足，提出针对性的改进建议与措施，引导项目团队聚焦关键环节，持续优化项目实施方案，加强过程监控与质量把控，形成项目绩效持续改进的良性循环，不断提升项目整体绩效水平，实现项目长期稳定发展的目标。</w:t>
      </w:r>
    </w:p>
    <w:p w14:paraId="0488A215">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highlight w:val="none"/>
        </w:rPr>
      </w:pPr>
      <w:r>
        <w:rPr>
          <w:rFonts w:hint="default" w:ascii="Times New Roman" w:hAnsi="Times New Roman" w:eastAsia="仿宋_GB2312" w:cs="Times New Roman"/>
          <w:sz w:val="32"/>
          <w:szCs w:val="32"/>
          <w:highlight w:val="none"/>
        </w:rPr>
        <w:t>本项目预算绩效评价报告的编制以提升项目绩效为核心，旨在通过科学、严谨的评价工作，为项目管理与决策提供全方位、深层次的支持，推动项目在预算约束下实现高质量、可持续发展，充分发挥财政资金的经济效益与社会效益。</w:t>
      </w:r>
    </w:p>
    <w:p w14:paraId="6AF7CAE5">
      <w:pPr>
        <w:pStyle w:val="2"/>
        <w:widowControl w:val="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lang w:val="en-US" w:eastAsia="zh-CN"/>
        </w:rPr>
        <w:t>3</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b w:val="0"/>
          <w:bCs w:val="0"/>
        </w:rPr>
        <w:t>绩效评价的对象</w:t>
      </w:r>
    </w:p>
    <w:p w14:paraId="7B2E8AAF">
      <w:pPr>
        <w:pStyle w:val="2"/>
        <w:widowControl w:val="0"/>
        <w:spacing w:before="0" w:after="0" w:line="560" w:lineRule="exact"/>
        <w:ind w:firstLine="640" w:firstLineChars="200"/>
        <w:jc w:val="both"/>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rPr>
        <w:t>本项目预算绩效评价报告的评价对象是</w:t>
      </w:r>
      <w:r>
        <w:rPr>
          <w:rFonts w:hint="eastAsia" w:ascii="Times New Roman" w:hAnsi="Times New Roman" w:eastAsia="仿宋_GB2312" w:cs="Times New Roman"/>
          <w:b w:val="0"/>
          <w:bCs w:val="0"/>
          <w:highlight w:val="none"/>
        </w:rPr>
        <w:t>2023年民贸民品企业贴息</w:t>
      </w:r>
      <w:r>
        <w:rPr>
          <w:rFonts w:hint="default" w:ascii="Times New Roman" w:hAnsi="Times New Roman" w:eastAsia="仿宋_GB2312" w:cs="Times New Roman"/>
          <w:b w:val="0"/>
          <w:bCs w:val="0"/>
          <w:highlight w:val="none"/>
        </w:rPr>
        <w:t>及其预算执行情况。该项目由</w:t>
      </w:r>
      <w:r>
        <w:rPr>
          <w:rFonts w:hint="eastAsia" w:ascii="Times New Roman" w:hAnsi="Times New Roman" w:eastAsia="仿宋_GB2312" w:cs="Times New Roman"/>
          <w:b w:val="0"/>
          <w:bCs w:val="0"/>
          <w:highlight w:val="none"/>
          <w:lang w:val="en-US" w:eastAsia="zh-CN"/>
        </w:rPr>
        <w:t>霍尔果斯</w:t>
      </w:r>
      <w:r>
        <w:rPr>
          <w:rFonts w:hint="eastAsia" w:ascii="Times New Roman" w:hAnsi="Times New Roman" w:eastAsia="仿宋_GB2312" w:cs="Times New Roman"/>
          <w:b w:val="0"/>
          <w:bCs w:val="0"/>
          <w:highlight w:val="none"/>
          <w:lang w:eastAsia="zh-CN"/>
        </w:rPr>
        <w:t>市委统战部</w:t>
      </w:r>
      <w:r>
        <w:rPr>
          <w:rFonts w:hint="default" w:ascii="Times New Roman" w:hAnsi="Times New Roman" w:eastAsia="仿宋_GB2312" w:cs="Times New Roman"/>
          <w:b w:val="0"/>
          <w:bCs w:val="0"/>
          <w:highlight w:val="none"/>
        </w:rPr>
        <w:t>负责实施，旨在</w:t>
      </w:r>
      <w:r>
        <w:rPr>
          <w:rFonts w:hint="eastAsia" w:ascii="Times New Roman" w:hAnsi="Times New Roman" w:eastAsia="仿宋_GB2312" w:cs="Times New Roman"/>
          <w:b w:val="0"/>
          <w:bCs w:val="0"/>
          <w:highlight w:val="none"/>
        </w:rPr>
        <w:t>通过为8家民贸民品企业进行核定补齐2023年贷款贴息共计192.72万元，为民贸民品企业注入经济活力，促进企业健康发展</w:t>
      </w:r>
      <w:r>
        <w:rPr>
          <w:rFonts w:hint="default" w:ascii="Times New Roman" w:hAnsi="Times New Roman" w:eastAsia="仿宋_GB2312" w:cs="Times New Roman"/>
          <w:b w:val="0"/>
          <w:bCs w:val="0"/>
          <w:highlight w:val="none"/>
        </w:rPr>
        <w:t>。项目预算涵盖从</w:t>
      </w:r>
      <w:r>
        <w:rPr>
          <w:rFonts w:hint="eastAsia" w:ascii="Times New Roman" w:hAnsi="Times New Roman" w:eastAsia="仿宋_GB2312" w:cs="Times New Roman"/>
          <w:b w:val="0"/>
          <w:bCs w:val="0"/>
          <w:highlight w:val="none"/>
          <w:lang w:val="en-US" w:eastAsia="zh-CN"/>
        </w:rPr>
        <w:t>2024年7月16日</w:t>
      </w:r>
      <w:r>
        <w:rPr>
          <w:rFonts w:hint="default" w:ascii="Times New Roman" w:hAnsi="Times New Roman" w:eastAsia="仿宋_GB2312" w:cs="Times New Roman"/>
          <w:b w:val="0"/>
          <w:bCs w:val="0"/>
          <w:highlight w:val="none"/>
        </w:rPr>
        <w:t>至</w:t>
      </w:r>
      <w:r>
        <w:rPr>
          <w:rFonts w:hint="eastAsia" w:ascii="Times New Roman" w:hAnsi="Times New Roman" w:eastAsia="仿宋_GB2312" w:cs="Times New Roman"/>
          <w:b w:val="0"/>
          <w:bCs w:val="0"/>
          <w:highlight w:val="none"/>
          <w:lang w:val="en-US" w:eastAsia="zh-CN"/>
        </w:rPr>
        <w:t>2024年12月25日</w:t>
      </w:r>
      <w:r>
        <w:rPr>
          <w:rFonts w:hint="default" w:ascii="Times New Roman" w:hAnsi="Times New Roman" w:eastAsia="仿宋_GB2312" w:cs="Times New Roman"/>
          <w:b w:val="0"/>
          <w:bCs w:val="0"/>
          <w:highlight w:val="none"/>
        </w:rPr>
        <w:t>的全部资金投入与支出，涉及资金总额为</w:t>
      </w:r>
      <w:r>
        <w:rPr>
          <w:rFonts w:hint="eastAsia" w:ascii="Times New Roman" w:hAnsi="Times New Roman" w:eastAsia="仿宋_GB2312" w:cs="Times New Roman"/>
          <w:b w:val="0"/>
          <w:bCs w:val="0"/>
          <w:highlight w:val="none"/>
          <w:lang w:val="en-US" w:eastAsia="zh-CN"/>
        </w:rPr>
        <w:t>192.72</w:t>
      </w:r>
      <w:r>
        <w:rPr>
          <w:rFonts w:hint="default" w:ascii="Times New Roman" w:hAnsi="Times New Roman" w:eastAsia="仿宋_GB2312" w:cs="Times New Roman"/>
          <w:b w:val="0"/>
          <w:bCs w:val="0"/>
          <w:highlight w:val="none"/>
          <w:lang w:val="en-US" w:eastAsia="zh-CN"/>
        </w:rPr>
        <w:t>万</w:t>
      </w:r>
      <w:r>
        <w:rPr>
          <w:rFonts w:hint="default" w:ascii="Times New Roman" w:hAnsi="Times New Roman" w:eastAsia="仿宋_GB2312" w:cs="Times New Roman"/>
          <w:b w:val="0"/>
          <w:bCs w:val="0"/>
          <w:highlight w:val="none"/>
        </w:rPr>
        <w:t>元。</w:t>
      </w:r>
    </w:p>
    <w:p w14:paraId="17ADCC0B">
      <w:pPr>
        <w:pStyle w:val="2"/>
        <w:widowControl w:val="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lang w:val="en-US" w:eastAsia="zh-CN"/>
        </w:rPr>
        <w:t>4.</w:t>
      </w:r>
      <w:r>
        <w:rPr>
          <w:rFonts w:hint="default" w:ascii="Times New Roman" w:hAnsi="Times New Roman" w:eastAsia="仿宋_GB2312" w:cs="Times New Roman"/>
          <w:b w:val="0"/>
          <w:bCs w:val="0"/>
        </w:rPr>
        <w:t>绩效评价的范围</w:t>
      </w:r>
    </w:p>
    <w:p w14:paraId="5D7D3B49">
      <w:pPr>
        <w:pStyle w:val="2"/>
        <w:widowControl w:val="0"/>
        <w:spacing w:before="0" w:after="0" w:line="560" w:lineRule="exact"/>
        <w:ind w:firstLine="640" w:firstLineChars="200"/>
        <w:jc w:val="both"/>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rPr>
        <w:t>本项目预算绩效评价报告的评价范围广泛而全面，涵盖了从项目立项至评价时点期间的所有关键预算活动和财务流程。具体而言，评价范围包括但不限于以下几个方面：</w:t>
      </w:r>
    </w:p>
    <w:p w14:paraId="1DDC95D2">
      <w:pPr>
        <w:pStyle w:val="2"/>
        <w:widowControl w:val="0"/>
        <w:numPr>
          <w:ilvl w:val="0"/>
          <w:numId w:val="1"/>
        </w:numPr>
        <w:spacing w:before="0" w:after="0" w:line="560" w:lineRule="exact"/>
        <w:ind w:firstLine="640" w:firstLineChars="200"/>
        <w:jc w:val="both"/>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rPr>
        <w:t>项目预算编制与执行：全面审视项目预算的编制依据、合理性、科学性以及实际执行情况，包括预算调整的原因和效果。</w:t>
      </w:r>
    </w:p>
    <w:p w14:paraId="2503E737">
      <w:pPr>
        <w:pStyle w:val="2"/>
        <w:widowControl w:val="0"/>
        <w:numPr>
          <w:ilvl w:val="0"/>
          <w:numId w:val="1"/>
        </w:numPr>
        <w:spacing w:before="0" w:after="0" w:line="560" w:lineRule="exact"/>
        <w:ind w:firstLine="640" w:firstLineChars="200"/>
        <w:jc w:val="both"/>
        <w:outlineLvl w:val="9"/>
        <w:rPr>
          <w:rFonts w:hint="default" w:ascii="Times New Roman" w:hAnsi="Times New Roman" w:eastAsia="仿宋_GB2312" w:cs="Times New Roman"/>
          <w:b w:val="0"/>
          <w:bCs w:val="0"/>
          <w:highlight w:val="none"/>
          <w:lang w:eastAsia="zh-CN"/>
        </w:rPr>
      </w:pPr>
      <w:r>
        <w:rPr>
          <w:rFonts w:hint="default" w:ascii="Times New Roman" w:hAnsi="Times New Roman" w:eastAsia="仿宋_GB2312" w:cs="Times New Roman"/>
          <w:b w:val="0"/>
          <w:bCs w:val="0"/>
          <w:highlight w:val="none"/>
        </w:rPr>
        <w:t>资金管理：深入分析项目资金的分配、使用和监管情况，确保资金使用的合规性、高效性和透明度。</w:t>
      </w:r>
    </w:p>
    <w:p w14:paraId="3731813B">
      <w:pPr>
        <w:pStyle w:val="2"/>
        <w:widowControl w:val="0"/>
        <w:numPr>
          <w:ilvl w:val="0"/>
          <w:numId w:val="1"/>
        </w:numPr>
        <w:spacing w:before="0" w:after="0" w:line="560" w:lineRule="exact"/>
        <w:ind w:firstLine="640" w:firstLineChars="200"/>
        <w:jc w:val="both"/>
        <w:outlineLvl w:val="9"/>
        <w:rPr>
          <w:rFonts w:hint="default" w:ascii="Times New Roman" w:hAnsi="Times New Roman" w:eastAsia="仿宋_GB2312" w:cs="Times New Roman"/>
          <w:b w:val="0"/>
          <w:bCs w:val="0"/>
          <w:highlight w:val="none"/>
          <w:lang w:eastAsia="zh-CN"/>
        </w:rPr>
      </w:pPr>
      <w:r>
        <w:rPr>
          <w:rFonts w:hint="default" w:ascii="Times New Roman" w:hAnsi="Times New Roman" w:eastAsia="仿宋_GB2312" w:cs="Times New Roman"/>
          <w:b w:val="0"/>
          <w:bCs w:val="0"/>
          <w:highlight w:val="none"/>
        </w:rPr>
        <w:t>项目实施进度与产出：评估项目是否按照既定计划顺利推进，各项任务是否按时完成，以及项目产出的数量、质量和时效性是否符合预期。</w:t>
      </w:r>
    </w:p>
    <w:p w14:paraId="2FBF9DE6">
      <w:pPr>
        <w:pStyle w:val="2"/>
        <w:widowControl w:val="0"/>
        <w:numPr>
          <w:ilvl w:val="0"/>
          <w:numId w:val="1"/>
        </w:numPr>
        <w:spacing w:before="0" w:after="0" w:line="560" w:lineRule="exact"/>
        <w:ind w:firstLine="640" w:firstLineChars="200"/>
        <w:jc w:val="both"/>
        <w:outlineLvl w:val="9"/>
        <w:rPr>
          <w:rFonts w:hint="default" w:ascii="Times New Roman" w:hAnsi="Times New Roman" w:eastAsia="仿宋_GB2312" w:cs="Times New Roman"/>
          <w:b w:val="0"/>
          <w:bCs w:val="0"/>
          <w:highlight w:val="none"/>
          <w:lang w:eastAsia="zh-CN"/>
        </w:rPr>
      </w:pPr>
      <w:r>
        <w:rPr>
          <w:rFonts w:hint="default" w:ascii="Times New Roman" w:hAnsi="Times New Roman" w:eastAsia="仿宋_GB2312" w:cs="Times New Roman"/>
          <w:b w:val="0"/>
          <w:bCs w:val="0"/>
          <w:highlight w:val="none"/>
        </w:rPr>
        <w:t>社会影响：</w:t>
      </w:r>
      <w:r>
        <w:rPr>
          <w:rFonts w:hint="eastAsia" w:ascii="Times New Roman" w:hAnsi="Times New Roman" w:eastAsia="仿宋_GB2312" w:cs="Times New Roman"/>
          <w:b w:val="0"/>
          <w:bCs w:val="0"/>
          <w:highlight w:val="none"/>
          <w:lang w:eastAsia="zh-CN"/>
        </w:rPr>
        <w:t>贴息降低了民贸民品企业的融资成本，使企业有更多资金用于扩大生产规模、提升技术水平、优化产品结构等，从而提高企业的经济效益和市场竞争力，成为拉动地方民族经济发展的重要引擎，促进民族地区民生经济发展，推动新型集体经济健康发展。</w:t>
      </w:r>
    </w:p>
    <w:p w14:paraId="272CEFC3">
      <w:pPr>
        <w:spacing w:line="560" w:lineRule="exact"/>
        <w:ind w:firstLine="643" w:firstLineChars="200"/>
        <w:rPr>
          <w:rFonts w:hint="default" w:ascii="Times New Roman" w:hAnsi="Times New Roman" w:cs="Times New Roman"/>
        </w:rPr>
      </w:pPr>
      <w:r>
        <w:rPr>
          <w:rFonts w:hint="default" w:ascii="Times New Roman" w:hAnsi="Times New Roman" w:eastAsia="楷体_GB2312" w:cs="Times New Roman"/>
          <w:b/>
          <w:bCs/>
          <w:sz w:val="32"/>
          <w:szCs w:val="32"/>
        </w:rPr>
        <w:t>（二）绩效评价原则、评价指标体系（详情见表1）、评价方法、评价标准。</w:t>
      </w:r>
    </w:p>
    <w:p w14:paraId="48EB7950">
      <w:pPr>
        <w:pStyle w:val="2"/>
        <w:widowControl w:val="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1</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b w:val="0"/>
          <w:bCs w:val="0"/>
        </w:rPr>
        <w:t>绩效评价原则</w:t>
      </w:r>
    </w:p>
    <w:p w14:paraId="008313F4">
      <w:pPr>
        <w:spacing w:line="560" w:lineRule="exact"/>
        <w:ind w:firstLine="640" w:firstLineChars="200"/>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本次项目绩效评价遵循以下基本原则：</w:t>
      </w:r>
    </w:p>
    <w:p w14:paraId="174418B5">
      <w:pPr>
        <w:pStyle w:val="2"/>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（1）科学公正。绩效评价应当运用科学合理的方法，按照规范的程序，对项目绩效进行客观、公正的反映。</w:t>
      </w:r>
    </w:p>
    <w:p w14:paraId="4678D738">
      <w:pPr>
        <w:pStyle w:val="2"/>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（2）统筹兼顾。单位自评、部门评价和财政评价应职责明确，各有侧重，相互衔接。单位自评应由项目单位自主实施，即“谁支出、谁自评”。部门评价和财政评价应在单位自评的基础上开展。</w:t>
      </w:r>
    </w:p>
    <w:p w14:paraId="57735EDD">
      <w:pPr>
        <w:pStyle w:val="2"/>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（3）激励约束。绩效评价结果应与预算安排、政策调整、改进管理实质性挂钩，体现奖优罚劣和激励相容导向，有效要安排、低效要压减、无效要问责。</w:t>
      </w:r>
    </w:p>
    <w:p w14:paraId="21E36B4C">
      <w:pPr>
        <w:pStyle w:val="2"/>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（4）公开透明。绩效评价结果应依法依规公开，并自觉接受社会监督。</w:t>
      </w:r>
    </w:p>
    <w:p w14:paraId="70018459">
      <w:pPr>
        <w:pStyle w:val="2"/>
        <w:widowControl w:val="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2</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b w:val="0"/>
          <w:bCs w:val="0"/>
        </w:rPr>
        <w:t>评价指标体系</w:t>
      </w:r>
    </w:p>
    <w:p w14:paraId="0F717182">
      <w:pPr>
        <w:spacing w:line="560" w:lineRule="exact"/>
        <w:ind w:firstLine="708" w:firstLineChars="200"/>
        <w:rPr>
          <w:rFonts w:hint="default" w:ascii="Times New Roman" w:hAnsi="Times New Roman" w:cs="Times New Roman"/>
          <w:color w:val="000000"/>
          <w:spacing w:val="17"/>
          <w:sz w:val="32"/>
          <w:szCs w:val="32"/>
        </w:rPr>
      </w:pPr>
      <w:r>
        <w:rPr>
          <w:rFonts w:hint="default" w:ascii="Times New Roman" w:hAnsi="Times New Roman" w:eastAsia="仿宋_GB2312" w:cs="Times New Roman"/>
          <w:color w:val="000000"/>
          <w:spacing w:val="17"/>
          <w:sz w:val="32"/>
          <w:szCs w:val="32"/>
        </w:rPr>
        <w:t>绩效评价框架是开展绩效评价的核心。绩效评价框架包括评价准则、关键评价问题、评价指标、数据来源、数据收集方法等。指标体系建立过程如下：</w:t>
      </w:r>
    </w:p>
    <w:p w14:paraId="38C9B325">
      <w:pPr>
        <w:spacing w:line="560" w:lineRule="exact"/>
        <w:ind w:firstLine="708" w:firstLineChars="200"/>
        <w:rPr>
          <w:rFonts w:hint="default" w:ascii="Times New Roman" w:hAnsi="Times New Roman" w:eastAsia="仿宋_GB2312" w:cs="Times New Roman"/>
          <w:color w:val="000000"/>
          <w:spacing w:val="17"/>
          <w:sz w:val="32"/>
          <w:szCs w:val="32"/>
        </w:rPr>
      </w:pPr>
      <w:r>
        <w:rPr>
          <w:rFonts w:hint="default" w:ascii="Times New Roman" w:hAnsi="Times New Roman" w:eastAsia="仿宋_GB2312" w:cs="Times New Roman"/>
          <w:color w:val="000000"/>
          <w:spacing w:val="17"/>
          <w:sz w:val="32"/>
          <w:szCs w:val="32"/>
        </w:rPr>
        <w:t>（1）确定评价指标</w:t>
      </w:r>
    </w:p>
    <w:p w14:paraId="09E90A38">
      <w:pPr>
        <w:spacing w:line="560" w:lineRule="exact"/>
        <w:ind w:firstLine="708" w:firstLineChars="200"/>
        <w:rPr>
          <w:rFonts w:hint="default" w:ascii="Times New Roman" w:hAnsi="Times New Roman" w:eastAsia="仿宋_GB2312" w:cs="Times New Roman"/>
          <w:color w:val="000000"/>
          <w:spacing w:val="17"/>
          <w:sz w:val="32"/>
          <w:szCs w:val="32"/>
        </w:rPr>
      </w:pPr>
      <w:r>
        <w:rPr>
          <w:rFonts w:hint="default" w:ascii="Times New Roman" w:hAnsi="Times New Roman" w:eastAsia="仿宋_GB2312" w:cs="Times New Roman"/>
          <w:color w:val="000000"/>
          <w:spacing w:val="17"/>
          <w:sz w:val="32"/>
          <w:szCs w:val="32"/>
        </w:rPr>
        <w:t>采用层次分析法，建立评价指标体系。绩效评价将指标分为项目决策指标、项目过程指标、项目产出指标、项目效益指标四个维度，最终形成一个由多个相互联系的指标组成的多层次指标体系。</w:t>
      </w:r>
    </w:p>
    <w:p w14:paraId="7012A3CB">
      <w:pPr>
        <w:spacing w:line="560" w:lineRule="exact"/>
        <w:ind w:firstLine="708" w:firstLineChars="200"/>
        <w:rPr>
          <w:rFonts w:hint="default" w:ascii="Times New Roman" w:hAnsi="Times New Roman" w:eastAsia="仿宋_GB2312" w:cs="Times New Roman"/>
          <w:color w:val="000000"/>
          <w:spacing w:val="17"/>
          <w:sz w:val="32"/>
          <w:szCs w:val="32"/>
        </w:rPr>
      </w:pPr>
      <w:r>
        <w:rPr>
          <w:rFonts w:hint="default" w:ascii="Times New Roman" w:hAnsi="Times New Roman" w:eastAsia="仿宋_GB2312" w:cs="Times New Roman"/>
          <w:color w:val="000000"/>
          <w:spacing w:val="17"/>
          <w:sz w:val="32"/>
          <w:szCs w:val="32"/>
        </w:rPr>
        <w:t>（2）确定权重</w:t>
      </w:r>
    </w:p>
    <w:p w14:paraId="6DBD0909">
      <w:pPr>
        <w:spacing w:line="560" w:lineRule="exact"/>
        <w:ind w:firstLine="708" w:firstLineChars="200"/>
        <w:rPr>
          <w:rFonts w:hint="default" w:ascii="Times New Roman" w:hAnsi="Times New Roman" w:eastAsia="仿宋_GB2312" w:cs="Times New Roman"/>
          <w:color w:val="FF0000"/>
          <w:spacing w:val="17"/>
          <w:sz w:val="32"/>
          <w:szCs w:val="32"/>
          <w:lang w:eastAsia="zh-CN"/>
        </w:rPr>
      </w:pPr>
      <w:r>
        <w:rPr>
          <w:rFonts w:hint="default" w:ascii="Times New Roman" w:hAnsi="Times New Roman" w:eastAsia="仿宋_GB2312" w:cs="Times New Roman"/>
          <w:color w:val="000000"/>
          <w:spacing w:val="17"/>
          <w:sz w:val="32"/>
          <w:szCs w:val="32"/>
        </w:rPr>
        <w:t>确定各个指标相对于项目总体绩效的权重分值。在绩效评价指标体系中，项目决策权重为20分，项目过程权重为20分，项目产出权重为40分，项目效益权重为20分。</w:t>
      </w:r>
    </w:p>
    <w:p w14:paraId="566381C0">
      <w:pPr>
        <w:spacing w:line="560" w:lineRule="exact"/>
        <w:ind w:firstLine="708" w:firstLineChars="200"/>
        <w:rPr>
          <w:rFonts w:hint="default" w:ascii="Times New Roman" w:hAnsi="Times New Roman" w:eastAsia="仿宋_GB2312" w:cs="Times New Roman"/>
          <w:color w:val="000000"/>
          <w:spacing w:val="17"/>
          <w:sz w:val="32"/>
          <w:szCs w:val="32"/>
        </w:rPr>
      </w:pPr>
      <w:r>
        <w:rPr>
          <w:rFonts w:hint="default" w:ascii="Times New Roman" w:hAnsi="Times New Roman" w:eastAsia="仿宋_GB2312" w:cs="Times New Roman"/>
          <w:color w:val="000000"/>
          <w:spacing w:val="17"/>
          <w:sz w:val="32"/>
          <w:szCs w:val="32"/>
        </w:rPr>
        <w:t>（3）确定指标标准值</w:t>
      </w:r>
    </w:p>
    <w:p w14:paraId="54EBB28F">
      <w:pPr>
        <w:spacing w:line="560" w:lineRule="exact"/>
        <w:ind w:firstLine="708" w:firstLineChars="200"/>
        <w:rPr>
          <w:rFonts w:hint="default" w:ascii="Times New Roman" w:hAnsi="Times New Roman" w:eastAsia="仿宋_GB2312" w:cs="Times New Roman"/>
          <w:color w:val="000000"/>
          <w:spacing w:val="17"/>
          <w:sz w:val="32"/>
          <w:szCs w:val="32"/>
        </w:rPr>
      </w:pPr>
      <w:r>
        <w:rPr>
          <w:rFonts w:hint="default" w:ascii="Times New Roman" w:hAnsi="Times New Roman" w:eastAsia="仿宋_GB2312" w:cs="Times New Roman"/>
          <w:color w:val="000000"/>
          <w:spacing w:val="17"/>
          <w:sz w:val="32"/>
          <w:szCs w:val="32"/>
        </w:rPr>
        <w:t>指标标准值是绩效评价指标的尺度，既要反映同类项目的先进水平，又要符合项目的实际绩效水平。具体采用计划标准等确定此次绩效评价指标标准值。</w:t>
      </w:r>
    </w:p>
    <w:p w14:paraId="5957D02D">
      <w:pPr>
        <w:pStyle w:val="2"/>
        <w:spacing w:before="0" w:after="0" w:line="560" w:lineRule="exact"/>
        <w:ind w:firstLine="708" w:firstLineChars="200"/>
        <w:jc w:val="both"/>
        <w:rPr>
          <w:rFonts w:hint="default" w:ascii="Times New Roman" w:hAnsi="Times New Roman" w:eastAsia="仿宋_GB2312" w:cs="Times New Roman"/>
          <w:b w:val="0"/>
          <w:bCs w:val="0"/>
          <w:color w:val="000000"/>
          <w:spacing w:val="17"/>
          <w:kern w:val="2"/>
        </w:rPr>
      </w:pPr>
      <w:r>
        <w:rPr>
          <w:rFonts w:hint="default" w:ascii="Times New Roman" w:hAnsi="Times New Roman" w:eastAsia="仿宋_GB2312" w:cs="Times New Roman"/>
          <w:b w:val="0"/>
          <w:bCs w:val="0"/>
          <w:color w:val="000000"/>
          <w:spacing w:val="17"/>
          <w:kern w:val="2"/>
        </w:rPr>
        <w:t>绩效评价总分值100分，根据综合评分结果，90（含）-100分为优、80（含）-90分为良、60（含）-80分为中、60分以下为差。</w:t>
      </w:r>
    </w:p>
    <w:p w14:paraId="4BF54DFF">
      <w:pPr>
        <w:pStyle w:val="2"/>
        <w:widowControl w:val="0"/>
        <w:spacing w:before="0" w:after="0" w:line="560" w:lineRule="exact"/>
        <w:ind w:firstLine="708" w:firstLineChars="200"/>
        <w:jc w:val="both"/>
        <w:outlineLvl w:val="9"/>
        <w:rPr>
          <w:rFonts w:hint="default" w:ascii="Times New Roman" w:hAnsi="Times New Roman" w:eastAsia="仿宋_GB2312" w:cs="Times New Roman"/>
          <w:b w:val="0"/>
          <w:bCs w:val="0"/>
          <w:color w:val="000000"/>
          <w:spacing w:val="17"/>
        </w:rPr>
      </w:pPr>
      <w:r>
        <w:rPr>
          <w:rFonts w:hint="default" w:ascii="Times New Roman" w:hAnsi="Times New Roman" w:eastAsia="仿宋_GB2312" w:cs="Times New Roman"/>
          <w:b w:val="0"/>
          <w:bCs w:val="0"/>
          <w:color w:val="000000"/>
          <w:spacing w:val="17"/>
        </w:rPr>
        <w:t>具体评价指标体系详情见附件1</w:t>
      </w:r>
    </w:p>
    <w:p w14:paraId="1E549B99">
      <w:pPr>
        <w:pStyle w:val="2"/>
        <w:widowControl w:val="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3</w:t>
      </w:r>
      <w:r>
        <w:rPr>
          <w:rFonts w:hint="default" w:ascii="Times New Roman" w:hAnsi="Times New Roman" w:eastAsia="仿宋_GB2312" w:cs="Times New Roman"/>
          <w:b w:val="0"/>
          <w:bCs w:val="0"/>
          <w:lang w:val="en-US" w:eastAsia="zh-CN"/>
        </w:rPr>
        <w:t>.</w:t>
      </w:r>
      <w:r>
        <w:rPr>
          <w:rFonts w:hint="default" w:ascii="Times New Roman" w:hAnsi="Times New Roman" w:eastAsia="仿宋_GB2312" w:cs="Times New Roman"/>
          <w:b w:val="0"/>
          <w:bCs w:val="0"/>
        </w:rPr>
        <w:t>绩效评价方法</w:t>
      </w:r>
    </w:p>
    <w:p w14:paraId="14F48F98">
      <w:pPr>
        <w:spacing w:line="560" w:lineRule="exact"/>
        <w:ind w:firstLine="708" w:firstLineChars="200"/>
        <w:rPr>
          <w:rFonts w:hint="default" w:ascii="Times New Roman" w:hAnsi="Times New Roman" w:eastAsia="仿宋_GB2312" w:cs="Times New Roman"/>
          <w:color w:val="000000"/>
          <w:spacing w:val="17"/>
          <w:sz w:val="32"/>
          <w:szCs w:val="32"/>
        </w:rPr>
      </w:pPr>
      <w:r>
        <w:rPr>
          <w:rFonts w:hint="default" w:ascii="Times New Roman" w:hAnsi="Times New Roman" w:eastAsia="仿宋_GB2312" w:cs="Times New Roman"/>
          <w:color w:val="000000"/>
          <w:spacing w:val="17"/>
          <w:sz w:val="32"/>
          <w:szCs w:val="32"/>
        </w:rPr>
        <w:t>绩效评价从项目决策、项目过程、项目产出、项目效益四个维度进行评价。评价对象为项目目标实施情况，  评价核心为资金的支出完成情况和项目的产出效益。</w:t>
      </w:r>
    </w:p>
    <w:p w14:paraId="1B1A6F12">
      <w:pPr>
        <w:spacing w:line="560" w:lineRule="exact"/>
        <w:ind w:firstLine="708" w:firstLineChars="200"/>
        <w:rPr>
          <w:rFonts w:hint="default" w:eastAsia="仿宋_GB2312" w:cs="Times New Roman"/>
          <w:color w:val="000000"/>
          <w:spacing w:val="17"/>
          <w:sz w:val="32"/>
          <w:szCs w:val="32"/>
          <w:lang w:val="en-US" w:eastAsia="zh-CN"/>
        </w:rPr>
      </w:pPr>
      <w:r>
        <w:rPr>
          <w:rFonts w:hint="default" w:ascii="Times New Roman" w:hAnsi="Times New Roman" w:eastAsia="仿宋_GB2312" w:cs="Times New Roman"/>
          <w:color w:val="000000"/>
          <w:spacing w:val="17"/>
          <w:sz w:val="32"/>
          <w:szCs w:val="32"/>
        </w:rPr>
        <w:t>本次评价指标中，既有定性指标又有定量指标，各类指标因考核内容不同和客观标准不同存在较大差异，因此核定具体指标时采用了不同方法，</w:t>
      </w:r>
      <w:r>
        <w:rPr>
          <w:rFonts w:hint="eastAsia" w:eastAsia="仿宋_GB2312" w:cs="Times New Roman"/>
          <w:color w:val="000000"/>
          <w:spacing w:val="17"/>
          <w:sz w:val="32"/>
          <w:szCs w:val="32"/>
          <w:lang w:eastAsia="zh-CN"/>
        </w:rPr>
        <w:t>本次采用了</w:t>
      </w:r>
      <w:r>
        <w:rPr>
          <w:rFonts w:hint="default" w:eastAsia="仿宋_GB2312" w:cs="Times New Roman"/>
          <w:color w:val="000000"/>
          <w:spacing w:val="17"/>
          <w:sz w:val="32"/>
          <w:szCs w:val="32"/>
          <w:lang w:val="en-US" w:eastAsia="zh-CN"/>
        </w:rPr>
        <w:t>成本效益分析法</w:t>
      </w:r>
      <w:r>
        <w:rPr>
          <w:rFonts w:hint="eastAsia" w:eastAsia="仿宋_GB2312" w:cs="Times New Roman"/>
          <w:color w:val="000000"/>
          <w:spacing w:val="17"/>
          <w:sz w:val="32"/>
          <w:szCs w:val="32"/>
          <w:lang w:val="en-US" w:eastAsia="zh-CN"/>
        </w:rPr>
        <w:t>，</w:t>
      </w:r>
      <w:r>
        <w:rPr>
          <w:rFonts w:hint="default" w:ascii="Times New Roman" w:hAnsi="Times New Roman" w:eastAsia="仿宋_GB2312" w:cs="Times New Roman"/>
          <w:color w:val="000000"/>
          <w:spacing w:val="17"/>
          <w:sz w:val="32"/>
          <w:szCs w:val="32"/>
        </w:rPr>
        <w:t>具体评价方法如下：</w:t>
      </w:r>
      <w:r>
        <w:rPr>
          <w:rFonts w:hint="eastAsia" w:eastAsia="仿宋_GB2312" w:cs="Times New Roman"/>
          <w:color w:val="000000"/>
          <w:spacing w:val="17"/>
          <w:sz w:val="32"/>
          <w:szCs w:val="32"/>
          <w:lang w:val="en-US" w:eastAsia="zh-CN"/>
        </w:rPr>
        <w:t>通过支</w:t>
      </w:r>
      <w:r>
        <w:rPr>
          <w:rFonts w:hint="eastAsia" w:ascii="Times New Roman" w:hAnsi="Times New Roman" w:eastAsia="仿宋_GB2312" w:cs="Times New Roman"/>
          <w:color w:val="000000"/>
          <w:spacing w:val="17"/>
          <w:sz w:val="32"/>
          <w:szCs w:val="32"/>
          <w:lang w:val="en-US" w:eastAsia="zh-CN"/>
        </w:rPr>
        <w:t>出</w:t>
      </w:r>
      <w:r>
        <w:rPr>
          <w:rFonts w:hint="default" w:ascii="Times New Roman" w:hAnsi="Times New Roman" w:eastAsia="仿宋_GB2312" w:cs="Times New Roman"/>
          <w:color w:val="000000"/>
          <w:spacing w:val="17"/>
          <w:sz w:val="32"/>
          <w:szCs w:val="32"/>
        </w:rPr>
        <w:t>2023年贷款贴息补贴标准</w:t>
      </w:r>
      <w:r>
        <w:rPr>
          <w:rFonts w:hint="eastAsia" w:ascii="Times New Roman" w:hAnsi="Times New Roman" w:eastAsia="仿宋_GB2312" w:cs="Times New Roman"/>
          <w:color w:val="000000"/>
          <w:spacing w:val="17"/>
          <w:sz w:val="32"/>
          <w:szCs w:val="32"/>
          <w:lang w:val="en-US" w:eastAsia="zh-CN"/>
        </w:rPr>
        <w:t>192.72万元，补贴8家民营</w:t>
      </w:r>
      <w:r>
        <w:rPr>
          <w:rFonts w:hint="eastAsia" w:ascii="Times New Roman" w:hAnsi="Times New Roman" w:eastAsia="仿宋_GB2312" w:cs="Times New Roman"/>
          <w:color w:val="000000"/>
          <w:spacing w:val="17"/>
          <w:sz w:val="32"/>
          <w:szCs w:val="32"/>
          <w:highlight w:val="none"/>
          <w:lang w:val="en-US" w:eastAsia="zh-CN"/>
        </w:rPr>
        <w:t>企业</w:t>
      </w:r>
      <w:r>
        <w:rPr>
          <w:rFonts w:hint="eastAsia" w:eastAsia="仿宋_GB2312" w:cs="Times New Roman"/>
          <w:color w:val="000000"/>
          <w:spacing w:val="17"/>
          <w:sz w:val="32"/>
          <w:szCs w:val="32"/>
          <w:highlight w:val="none"/>
          <w:lang w:val="en-US" w:eastAsia="zh-CN"/>
        </w:rPr>
        <w:t>，</w:t>
      </w:r>
      <w:r>
        <w:rPr>
          <w:rFonts w:hint="eastAsia" w:eastAsia="仿宋_GB2312" w:cs="Times New Roman"/>
          <w:color w:val="000000"/>
          <w:spacing w:val="17"/>
          <w:sz w:val="32"/>
          <w:szCs w:val="32"/>
          <w:lang w:val="en-US" w:eastAsia="zh-CN"/>
        </w:rPr>
        <w:t>促进民营企业健康发展。运用</w:t>
      </w:r>
      <w:r>
        <w:rPr>
          <w:rFonts w:hint="default" w:eastAsia="仿宋_GB2312" w:cs="Times New Roman"/>
          <w:color w:val="000000"/>
          <w:spacing w:val="17"/>
          <w:sz w:val="32"/>
          <w:szCs w:val="32"/>
          <w:lang w:val="en-US" w:eastAsia="zh-CN"/>
        </w:rPr>
        <w:t>成本效益分析法</w:t>
      </w:r>
      <w:r>
        <w:rPr>
          <w:rFonts w:hint="eastAsia" w:eastAsia="仿宋_GB2312" w:cs="Times New Roman"/>
          <w:color w:val="000000"/>
          <w:spacing w:val="17"/>
          <w:sz w:val="32"/>
          <w:szCs w:val="32"/>
          <w:lang w:val="en-US" w:eastAsia="zh-CN"/>
        </w:rPr>
        <w:t>能够将</w:t>
      </w:r>
      <w:r>
        <w:rPr>
          <w:rFonts w:hint="default" w:eastAsia="仿宋_GB2312" w:cs="Times New Roman"/>
          <w:color w:val="000000"/>
          <w:spacing w:val="17"/>
          <w:sz w:val="32"/>
          <w:szCs w:val="32"/>
          <w:lang w:val="en-US" w:eastAsia="zh-CN"/>
        </w:rPr>
        <w:t>投入与产出</w:t>
      </w:r>
      <w:r>
        <w:rPr>
          <w:rFonts w:hint="eastAsia" w:eastAsia="仿宋_GB2312" w:cs="Times New Roman"/>
          <w:color w:val="000000"/>
          <w:spacing w:val="17"/>
          <w:sz w:val="32"/>
          <w:szCs w:val="32"/>
          <w:lang w:val="en-US" w:eastAsia="zh-CN"/>
        </w:rPr>
        <w:t>更好的关联，促进资金的更合理使用，实现成本可控。</w:t>
      </w:r>
      <w:r>
        <w:rPr>
          <w:rFonts w:hint="default" w:eastAsia="仿宋_GB2312" w:cs="Times New Roman"/>
          <w:color w:val="000000"/>
          <w:spacing w:val="17"/>
          <w:sz w:val="32"/>
          <w:szCs w:val="32"/>
          <w:lang w:val="en-US" w:eastAsia="zh-CN"/>
        </w:rPr>
        <w:t xml:space="preserve"> </w:t>
      </w:r>
    </w:p>
    <w:p w14:paraId="3EEC1FBC">
      <w:pPr>
        <w:pStyle w:val="2"/>
        <w:widowControl w:val="0"/>
        <w:numPr>
          <w:ilvl w:val="0"/>
          <w:numId w:val="2"/>
        </w:numPr>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评价标准</w:t>
      </w:r>
    </w:p>
    <w:p w14:paraId="17489E92">
      <w:pPr>
        <w:pStyle w:val="2"/>
        <w:widowControl w:val="0"/>
        <w:numPr>
          <w:ilvl w:val="0"/>
          <w:numId w:val="0"/>
        </w:numPr>
        <w:spacing w:before="0" w:after="0" w:line="560" w:lineRule="exact"/>
        <w:ind w:firstLine="640" w:firstLineChars="200"/>
        <w:jc w:val="both"/>
        <w:outlineLvl w:val="9"/>
        <w:rPr>
          <w:rFonts w:hint="default" w:ascii="Times New Roman" w:hAnsi="Times New Roman" w:eastAsia="仿宋_GB2312" w:cs="Times New Roman"/>
          <w:b w:val="0"/>
          <w:bCs w:val="0"/>
          <w:lang w:val="en-US" w:eastAsia="zh-CN"/>
        </w:rPr>
      </w:pPr>
      <w:r>
        <w:rPr>
          <w:rFonts w:hint="default" w:ascii="Times New Roman" w:hAnsi="Times New Roman" w:eastAsia="仿宋_GB2312" w:cs="Times New Roman"/>
          <w:b w:val="0"/>
          <w:bCs w:val="0"/>
        </w:rPr>
        <w:t>绩效评价标准通常包括计划标准、行业标准、历史标准等，用于对绩效指标完成情况进行比较、分析、评价。本次评价主要采用了</w:t>
      </w:r>
      <w:r>
        <w:rPr>
          <w:rFonts w:hint="eastAsia" w:ascii="Times New Roman" w:hAnsi="Times New Roman" w:eastAsia="仿宋_GB2312" w:cs="Times New Roman"/>
          <w:b w:val="0"/>
          <w:bCs w:val="0"/>
          <w:lang w:eastAsia="zh-CN"/>
        </w:rPr>
        <w:t>计划</w:t>
      </w:r>
      <w:r>
        <w:rPr>
          <w:rFonts w:hint="default" w:ascii="Times New Roman" w:hAnsi="Times New Roman" w:eastAsia="仿宋_GB2312" w:cs="Times New Roman"/>
          <w:b w:val="0"/>
          <w:bCs w:val="0"/>
        </w:rPr>
        <w:t>标准。</w:t>
      </w:r>
      <w:r>
        <w:rPr>
          <w:rFonts w:hint="eastAsia" w:ascii="Times New Roman" w:hAnsi="Times New Roman" w:eastAsia="仿宋_GB2312" w:cs="Times New Roman"/>
          <w:b w:val="0"/>
          <w:bCs w:val="0"/>
          <w:highlight w:val="none"/>
          <w:lang w:val="en-US" w:eastAsia="zh-CN"/>
        </w:rPr>
        <w:t>原因是：</w:t>
      </w:r>
      <w:r>
        <w:rPr>
          <w:rFonts w:hint="eastAsia" w:ascii="Times New Roman" w:hAnsi="Times New Roman" w:eastAsia="仿宋_GB2312" w:cs="Times New Roman"/>
          <w:b w:val="0"/>
          <w:bCs w:val="0"/>
          <w:lang w:val="en-US" w:eastAsia="zh-CN"/>
        </w:rPr>
        <w:t>根据年初制定的工作计划和绩效指标定额完成量，</w:t>
      </w:r>
      <w:r>
        <w:rPr>
          <w:rFonts w:hint="default" w:ascii="Times New Roman" w:hAnsi="Times New Roman" w:eastAsia="仿宋_GB2312" w:cs="Times New Roman"/>
          <w:b w:val="0"/>
          <w:bCs w:val="0"/>
        </w:rPr>
        <w:t>支持民贸民品企业</w:t>
      </w:r>
      <w:r>
        <w:rPr>
          <w:rFonts w:hint="eastAsia" w:ascii="Times New Roman" w:hAnsi="Times New Roman" w:eastAsia="仿宋_GB2312" w:cs="Times New Roman"/>
          <w:b w:val="0"/>
          <w:bCs w:val="0"/>
          <w:lang w:val="en-US" w:eastAsia="zh-CN"/>
        </w:rPr>
        <w:t>8家，为体现绩效改进的原则，在可实现的条件下确定了相对较高的评价标准。</w:t>
      </w:r>
    </w:p>
    <w:p w14:paraId="76D02E9C">
      <w:pPr>
        <w:pStyle w:val="2"/>
        <w:numPr>
          <w:ilvl w:val="0"/>
          <w:numId w:val="3"/>
        </w:numPr>
        <w:spacing w:before="0" w:after="0" w:line="560" w:lineRule="exact"/>
        <w:ind w:firstLine="711" w:firstLineChars="200"/>
        <w:jc w:val="both"/>
        <w:rPr>
          <w:rFonts w:hint="default" w:ascii="Times New Roman" w:hAnsi="Times New Roman" w:eastAsia="楷体" w:cs="Times New Roman"/>
          <w:color w:val="000000"/>
          <w:spacing w:val="17"/>
        </w:rPr>
      </w:pPr>
      <w:r>
        <w:rPr>
          <w:rFonts w:hint="default" w:ascii="Times New Roman" w:hAnsi="Times New Roman" w:eastAsia="楷体" w:cs="Times New Roman"/>
          <w:color w:val="000000"/>
          <w:spacing w:val="17"/>
        </w:rPr>
        <w:t>绩效评价工作过程</w:t>
      </w:r>
    </w:p>
    <w:p w14:paraId="4943BE41">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1</w:t>
      </w: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前期准备与规划</w:t>
      </w:r>
    </w:p>
    <w:p w14:paraId="56D0A523">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在项目绩效评价工作启动之初，成立了专门的评价工作小组，小组成员由财务专家、项目管理专业人员及相关领域技术骨干组成，确保从多角度、全方位对项目绩效进行评价。同时，明确了评价工作的目标、范围、重点及时间安排，制定了详细的工作计划，为评价工作的顺利开展奠定了坚实基础。</w:t>
      </w:r>
    </w:p>
    <w:p w14:paraId="2B6FE902">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2</w:t>
      </w:r>
      <w:r>
        <w:rPr>
          <w:rFonts w:hint="default" w:ascii="Times New Roman" w:hAnsi="Times New Roman" w:eastAsia="仿宋_GB2312" w:cs="Times New Roman"/>
          <w:sz w:val="32"/>
          <w:szCs w:val="32"/>
          <w:highlight w:val="none"/>
          <w:lang w:eastAsia="zh-CN"/>
        </w:rPr>
        <w:t>）指标体系构建</w:t>
      </w:r>
    </w:p>
    <w:p w14:paraId="4575CC2A">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依据项目的性质、目标以及预期成果，构建了科学合理的绩效评价指标体系。该指标体系涵盖了</w:t>
      </w:r>
      <w:r>
        <w:rPr>
          <w:rFonts w:hint="default" w:ascii="Times New Roman" w:hAnsi="Times New Roman" w:eastAsia="仿宋_GB2312" w:cs="Times New Roman"/>
          <w:color w:val="000000"/>
          <w:spacing w:val="17"/>
          <w:sz w:val="32"/>
          <w:szCs w:val="32"/>
          <w:highlight w:val="none"/>
        </w:rPr>
        <w:t>项目决策、项目过程、项目产出、项目效益四个维度</w:t>
      </w:r>
      <w:r>
        <w:rPr>
          <w:rFonts w:hint="default" w:ascii="Times New Roman" w:hAnsi="Times New Roman" w:eastAsia="仿宋_GB2312" w:cs="Times New Roman"/>
          <w:sz w:val="32"/>
          <w:szCs w:val="32"/>
          <w:highlight w:val="none"/>
          <w:lang w:eastAsia="zh-CN"/>
        </w:rPr>
        <w:t>，选取了具有代表性和可衡量性的关键指标，并为每个指标设定了明确的评价标准与权重，确保评价结果能够全面、准确地反映项目的绩效状况。</w:t>
      </w:r>
    </w:p>
    <w:p w14:paraId="5688E519">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3</w:t>
      </w:r>
      <w:r>
        <w:rPr>
          <w:rFonts w:hint="default" w:ascii="Times New Roman" w:hAnsi="Times New Roman" w:eastAsia="仿宋_GB2312" w:cs="Times New Roman"/>
          <w:sz w:val="32"/>
          <w:szCs w:val="32"/>
          <w:highlight w:val="none"/>
          <w:lang w:eastAsia="zh-CN"/>
        </w:rPr>
        <w:t>）数据收集与整理</w:t>
      </w:r>
    </w:p>
    <w:p w14:paraId="386C1153">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广泛收集与项目相关的各类数据，包括财务报表、项目文档、业务数据、用户反馈等。在数据收集过程中，注重数据的质量与完整性，对缺失或异常的数据进行了合理的处理和补充。随后，对收集到的数据进行了系统的整理与分类，为后续的数据分析提供了有力支持。</w:t>
      </w:r>
    </w:p>
    <w:p w14:paraId="0967B20A">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4</w:t>
      </w:r>
      <w:r>
        <w:rPr>
          <w:rFonts w:hint="default" w:ascii="Times New Roman" w:hAnsi="Times New Roman" w:eastAsia="仿宋_GB2312" w:cs="Times New Roman"/>
          <w:sz w:val="32"/>
          <w:szCs w:val="32"/>
          <w:highlight w:val="none"/>
          <w:lang w:eastAsia="zh-CN"/>
        </w:rPr>
        <w:t>）数据分析与评估</w:t>
      </w:r>
    </w:p>
    <w:p w14:paraId="0F1E8DEC">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对收集到的数据进行了深入挖掘与分析。通过对各项绩效指标的实际完成情况与预期目标进行对比，计算出指标的达成率，并结合指标权重进行综合评分，从而得出项目的整体绩效评价结果。在分析过程中，注重数据之间的关联性与逻辑性，深入剖析项目绩效背后的原因，识别出项目实施过程中的优势与不足，为提出有针对性的改进建议提供了依据。</w:t>
      </w:r>
    </w:p>
    <w:p w14:paraId="29499D9C">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5</w:t>
      </w:r>
      <w:r>
        <w:rPr>
          <w:rFonts w:hint="default" w:ascii="Times New Roman" w:hAnsi="Times New Roman" w:eastAsia="仿宋_GB2312" w:cs="Times New Roman"/>
          <w:sz w:val="32"/>
          <w:szCs w:val="32"/>
          <w:highlight w:val="none"/>
          <w:lang w:eastAsia="zh-CN"/>
        </w:rPr>
        <w:t>）报告撰写与反馈</w:t>
      </w:r>
    </w:p>
    <w:p w14:paraId="0CBE94C1">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根据数据分析与评估的结果，按照统一的格式和规范撰写项目预算绩效评价报告。报告内容包括项目背景、评价目的、评价指标体系、数据收集与分析方法、绩效评价结果、存在问题与改进建议等多个部分，力求条理清晰、重点突出、语言简洁明了。在报告撰写完成后，及时向项目实施主体及相关利益相关者进行反馈，充分听取各方意见与建议，对报告内容进行进一步的完善与优化，确保评价报告的质量与实用性。</w:t>
      </w:r>
    </w:p>
    <w:p w14:paraId="005B7191">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6</w:t>
      </w:r>
      <w:r>
        <w:rPr>
          <w:rFonts w:hint="default" w:ascii="Times New Roman" w:hAnsi="Times New Roman" w:eastAsia="仿宋_GB2312" w:cs="Times New Roman"/>
          <w:sz w:val="32"/>
          <w:szCs w:val="32"/>
          <w:highlight w:val="none"/>
          <w:lang w:eastAsia="zh-CN"/>
        </w:rPr>
        <w:t>）后续跟踪与改进</w:t>
      </w:r>
    </w:p>
    <w:p w14:paraId="477218EE">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在评价报告提交后，我们将持续跟踪项目的改进措施落实情况，定期对项目绩效进行复查与评估，确保项目能够根据评价结果及时调整与优化，实现绩效的持续提升。同时，根据项目实施过程中出现的新情况、新问题，适时调整绩效评价指标体系与方法，保持评价工作的适应性与前瞻性，为项目的长期稳定发展提供有力保障。</w:t>
      </w:r>
    </w:p>
    <w:p w14:paraId="0E77AE5A">
      <w:pPr>
        <w:numPr>
          <w:ilvl w:val="0"/>
          <w:numId w:val="4"/>
        </w:numPr>
        <w:spacing w:line="560" w:lineRule="exact"/>
        <w:ind w:firstLine="640" w:firstLineChars="200"/>
        <w:rPr>
          <w:rFonts w:hint="default" w:ascii="Times New Roman" w:hAnsi="Times New Roman" w:eastAsia="黑体" w:cs="Times New Roman"/>
          <w:sz w:val="32"/>
          <w:szCs w:val="32"/>
        </w:rPr>
      </w:pPr>
      <w:r>
        <w:rPr>
          <w:rFonts w:hint="default" w:ascii="Times New Roman" w:hAnsi="Times New Roman" w:eastAsia="黑体" w:cs="Times New Roman"/>
          <w:sz w:val="32"/>
          <w:szCs w:val="32"/>
        </w:rPr>
        <w:t>综合评价情况及评价结论（附相关评分表）</w:t>
      </w:r>
    </w:p>
    <w:p w14:paraId="55D8EB80">
      <w:pPr>
        <w:pStyle w:val="2"/>
        <w:keepNext w:val="0"/>
        <w:keepLines w:val="0"/>
        <w:pageBreakBefore w:val="0"/>
        <w:widowControl/>
        <w:kinsoku/>
        <w:wordWrap/>
        <w:overflowPunct/>
        <w:topLinePunct w:val="0"/>
        <w:autoSpaceDE/>
        <w:autoSpaceDN/>
        <w:bidi w:val="0"/>
        <w:adjustRightInd/>
        <w:snapToGrid/>
        <w:spacing w:before="0" w:after="0" w:line="560" w:lineRule="exact"/>
        <w:ind w:firstLine="643" w:firstLineChars="200"/>
        <w:jc w:val="both"/>
        <w:textAlignment w:val="auto"/>
        <w:rPr>
          <w:rFonts w:hint="default" w:ascii="Times New Roman" w:hAnsi="Times New Roman" w:eastAsia="楷体_GB2312" w:cs="Times New Roman"/>
          <w:lang w:val="en-US" w:eastAsia="zh-CN"/>
        </w:rPr>
      </w:pPr>
      <w:r>
        <w:rPr>
          <w:rFonts w:hint="default" w:ascii="Times New Roman" w:hAnsi="Times New Roman" w:eastAsia="楷体_GB2312" w:cs="Times New Roman"/>
          <w:lang w:eastAsia="zh-CN"/>
        </w:rPr>
        <w:t>（</w:t>
      </w:r>
      <w:r>
        <w:rPr>
          <w:rFonts w:hint="default" w:ascii="Times New Roman" w:hAnsi="Times New Roman" w:eastAsia="楷体_GB2312" w:cs="Times New Roman"/>
          <w:lang w:val="en-US" w:eastAsia="zh-CN"/>
        </w:rPr>
        <w:t>一</w:t>
      </w:r>
      <w:r>
        <w:rPr>
          <w:rFonts w:hint="default" w:ascii="Times New Roman" w:hAnsi="Times New Roman" w:eastAsia="楷体_GB2312" w:cs="Times New Roman"/>
          <w:lang w:eastAsia="zh-CN"/>
        </w:rPr>
        <w:t>）</w:t>
      </w:r>
      <w:r>
        <w:rPr>
          <w:rFonts w:hint="default" w:ascii="Times New Roman" w:hAnsi="Times New Roman" w:eastAsia="楷体_GB2312" w:cs="Times New Roman"/>
          <w:lang w:val="en-US" w:eastAsia="zh-CN"/>
        </w:rPr>
        <w:t>评价情况</w:t>
      </w:r>
    </w:p>
    <w:p w14:paraId="0F6A2CEB">
      <w:pPr>
        <w:pStyle w:val="9"/>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本项目的综合评价基于对项目各方面绩效的深入分析与评估。从项目目标的达成情况来看，</w:t>
      </w:r>
      <w:r>
        <w:rPr>
          <w:rFonts w:hint="eastAsia" w:ascii="Times New Roman" w:hAnsi="Times New Roman" w:eastAsia="仿宋_GB2312" w:cs="Times New Roman"/>
          <w:sz w:val="32"/>
          <w:szCs w:val="32"/>
          <w:highlight w:val="none"/>
        </w:rPr>
        <w:t>202</w:t>
      </w:r>
      <w:r>
        <w:rPr>
          <w:rFonts w:hint="eastAsia" w:ascii="Times New Roman" w:hAnsi="Times New Roman" w:eastAsia="仿宋_GB2312" w:cs="Times New Roman"/>
          <w:sz w:val="32"/>
          <w:szCs w:val="32"/>
          <w:highlight w:val="none"/>
          <w:lang w:val="en-US" w:eastAsia="zh-CN"/>
        </w:rPr>
        <w:t>3</w:t>
      </w:r>
      <w:r>
        <w:rPr>
          <w:rFonts w:hint="eastAsia" w:ascii="Times New Roman" w:hAnsi="Times New Roman" w:eastAsia="仿宋_GB2312" w:cs="Times New Roman"/>
          <w:sz w:val="32"/>
          <w:szCs w:val="32"/>
          <w:highlight w:val="none"/>
        </w:rPr>
        <w:t>年民贸民品企业贴息</w:t>
      </w:r>
      <w:r>
        <w:rPr>
          <w:rFonts w:hint="default" w:ascii="Times New Roman" w:hAnsi="Times New Roman" w:eastAsia="仿宋_GB2312" w:cs="Times New Roman"/>
          <w:sz w:val="32"/>
          <w:szCs w:val="32"/>
          <w:highlight w:val="none"/>
        </w:rPr>
        <w:t>在</w:t>
      </w:r>
      <w:r>
        <w:rPr>
          <w:rFonts w:hint="eastAsia" w:ascii="Times New Roman" w:hAnsi="Times New Roman" w:eastAsia="仿宋_GB2312" w:cs="Times New Roman"/>
          <w:sz w:val="32"/>
          <w:szCs w:val="32"/>
          <w:highlight w:val="none"/>
        </w:rPr>
        <w:t>为民贸民品企业注入经济活力，促进企业健康发展</w:t>
      </w:r>
      <w:r>
        <w:rPr>
          <w:rFonts w:hint="default" w:ascii="Times New Roman" w:hAnsi="Times New Roman" w:eastAsia="仿宋_GB2312" w:cs="Times New Roman"/>
          <w:sz w:val="32"/>
          <w:szCs w:val="32"/>
          <w:highlight w:val="none"/>
        </w:rPr>
        <w:t>等方面表现出色，达到了预期的标准与要求。同时，项目也在支持民贸民品企业</w:t>
      </w:r>
      <w:r>
        <w:rPr>
          <w:rFonts w:hint="eastAsia" w:ascii="Times New Roman" w:hAnsi="Times New Roman" w:eastAsia="仿宋_GB2312" w:cs="Times New Roman"/>
          <w:sz w:val="32"/>
          <w:szCs w:val="32"/>
          <w:highlight w:val="none"/>
          <w:lang w:eastAsia="zh-CN"/>
        </w:rPr>
        <w:t>方面</w:t>
      </w:r>
      <w:r>
        <w:rPr>
          <w:rFonts w:hint="default" w:ascii="Times New Roman" w:hAnsi="Times New Roman" w:eastAsia="仿宋_GB2312" w:cs="Times New Roman"/>
          <w:sz w:val="32"/>
          <w:szCs w:val="32"/>
          <w:highlight w:val="none"/>
        </w:rPr>
        <w:t>取得了显著的成效，如</w:t>
      </w:r>
      <w:r>
        <w:rPr>
          <w:rFonts w:hint="eastAsia" w:ascii="Times New Roman" w:hAnsi="Times New Roman" w:eastAsia="仿宋_GB2312" w:cs="Times New Roman"/>
          <w:sz w:val="32"/>
          <w:szCs w:val="32"/>
          <w:highlight w:val="none"/>
        </w:rPr>
        <w:t>完成8家民贸民品企业192.72万元贴息资金的发放工作,为民贸民品企业注入经济活力，促进企业健康发展</w:t>
      </w:r>
      <w:r>
        <w:rPr>
          <w:rFonts w:hint="default" w:ascii="Times New Roman" w:hAnsi="Times New Roman" w:eastAsia="仿宋_GB2312" w:cs="Times New Roman"/>
          <w:sz w:val="32"/>
          <w:szCs w:val="32"/>
          <w:highlight w:val="none"/>
        </w:rPr>
        <w:t>等。</w:t>
      </w:r>
    </w:p>
    <w:p w14:paraId="050E6963">
      <w:pPr>
        <w:pStyle w:val="9"/>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在项目管理方面，</w:t>
      </w:r>
      <w:r>
        <w:rPr>
          <w:rFonts w:hint="eastAsia" w:eastAsia="仿宋_GB2312" w:cs="Times New Roman"/>
          <w:sz w:val="32"/>
          <w:szCs w:val="32"/>
          <w:highlight w:val="none"/>
          <w:lang w:eastAsia="zh-CN"/>
        </w:rPr>
        <w:t>市委统战部</w:t>
      </w:r>
      <w:r>
        <w:rPr>
          <w:rFonts w:hint="default" w:ascii="Times New Roman" w:hAnsi="Times New Roman" w:eastAsia="仿宋_GB2312" w:cs="Times New Roman"/>
          <w:sz w:val="32"/>
          <w:szCs w:val="32"/>
          <w:highlight w:val="none"/>
        </w:rPr>
        <w:t>通过有效的规划、组织与协调，项目得以顺利实施，并在预算与时间上保持了良好的控制。</w:t>
      </w:r>
    </w:p>
    <w:p w14:paraId="0C39DD8D">
      <w:pPr>
        <w:pStyle w:val="9"/>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从项目效益的角度来看，本项目不仅实现了预期的社会效益方面产生了积极的影响。具体而言，促进相关企业健康发展方面的提升，为项目的利益相关者带来了实实在在的利益。</w:t>
      </w:r>
    </w:p>
    <w:p w14:paraId="772CABE4">
      <w:pPr>
        <w:pStyle w:val="9"/>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textAlignment w:val="auto"/>
        <w:rPr>
          <w:rFonts w:hint="default" w:ascii="Times New Roman" w:hAnsi="Times New Roman" w:cs="Times New Roman"/>
          <w:highlight w:val="none"/>
        </w:rPr>
      </w:pPr>
      <w:r>
        <w:rPr>
          <w:rFonts w:hint="default" w:ascii="Times New Roman" w:hAnsi="Times New Roman" w:eastAsia="仿宋_GB2312" w:cs="Times New Roman"/>
          <w:sz w:val="32"/>
          <w:szCs w:val="32"/>
          <w:highlight w:val="none"/>
        </w:rPr>
        <w:t>综上所述，</w:t>
      </w:r>
      <w:r>
        <w:rPr>
          <w:rFonts w:hint="eastAsia" w:ascii="Times New Roman" w:hAnsi="Times New Roman" w:eastAsia="仿宋_GB2312" w:cs="Times New Roman"/>
          <w:sz w:val="32"/>
          <w:szCs w:val="32"/>
          <w:highlight w:val="none"/>
        </w:rPr>
        <w:t>202</w:t>
      </w:r>
      <w:r>
        <w:rPr>
          <w:rFonts w:hint="eastAsia" w:ascii="Times New Roman" w:hAnsi="Times New Roman" w:eastAsia="仿宋_GB2312" w:cs="Times New Roman"/>
          <w:sz w:val="32"/>
          <w:szCs w:val="32"/>
          <w:highlight w:val="none"/>
          <w:lang w:val="en-US" w:eastAsia="zh-CN"/>
        </w:rPr>
        <w:t>3</w:t>
      </w:r>
      <w:r>
        <w:rPr>
          <w:rFonts w:hint="eastAsia" w:ascii="Times New Roman" w:hAnsi="Times New Roman" w:eastAsia="仿宋_GB2312" w:cs="Times New Roman"/>
          <w:sz w:val="32"/>
          <w:szCs w:val="32"/>
          <w:highlight w:val="none"/>
        </w:rPr>
        <w:t>年民贸民品企业贴息</w:t>
      </w:r>
      <w:r>
        <w:rPr>
          <w:rFonts w:hint="default" w:ascii="Times New Roman" w:hAnsi="Times New Roman" w:eastAsia="仿宋_GB2312" w:cs="Times New Roman"/>
          <w:sz w:val="32"/>
          <w:szCs w:val="32"/>
          <w:highlight w:val="none"/>
        </w:rPr>
        <w:t>在绩效评价中表现出色，达到了项目的预期目标，并在多个方面取得了显著的成效。</w:t>
      </w:r>
    </w:p>
    <w:p w14:paraId="3BEEC00B">
      <w:pPr>
        <w:pStyle w:val="2"/>
        <w:keepNext w:val="0"/>
        <w:keepLines w:val="0"/>
        <w:pageBreakBefore w:val="0"/>
        <w:widowControl/>
        <w:kinsoku/>
        <w:wordWrap/>
        <w:overflowPunct/>
        <w:topLinePunct w:val="0"/>
        <w:autoSpaceDE/>
        <w:autoSpaceDN/>
        <w:bidi w:val="0"/>
        <w:adjustRightInd/>
        <w:snapToGrid/>
        <w:spacing w:before="0" w:after="0" w:line="560" w:lineRule="exact"/>
        <w:ind w:firstLine="643" w:firstLineChars="200"/>
        <w:jc w:val="both"/>
        <w:textAlignment w:val="auto"/>
        <w:rPr>
          <w:rFonts w:hint="default" w:ascii="Times New Roman" w:hAnsi="Times New Roman" w:eastAsia="楷体_GB2312" w:cs="Times New Roman"/>
          <w:lang w:val="en-US" w:eastAsia="zh-CN"/>
        </w:rPr>
      </w:pPr>
      <w:r>
        <w:rPr>
          <w:rFonts w:hint="default" w:ascii="Times New Roman" w:hAnsi="Times New Roman" w:eastAsia="楷体_GB2312" w:cs="Times New Roman"/>
          <w:lang w:eastAsia="zh-CN"/>
        </w:rPr>
        <w:t>（</w:t>
      </w:r>
      <w:r>
        <w:rPr>
          <w:rFonts w:hint="default" w:ascii="Times New Roman" w:hAnsi="Times New Roman" w:eastAsia="楷体_GB2312" w:cs="Times New Roman"/>
          <w:lang w:val="en-US" w:eastAsia="zh-CN"/>
        </w:rPr>
        <w:t>二</w:t>
      </w:r>
      <w:r>
        <w:rPr>
          <w:rFonts w:hint="default" w:ascii="Times New Roman" w:hAnsi="Times New Roman" w:eastAsia="楷体_GB2312" w:cs="Times New Roman"/>
          <w:lang w:eastAsia="zh-CN"/>
        </w:rPr>
        <w:t>）</w:t>
      </w:r>
      <w:r>
        <w:rPr>
          <w:rFonts w:hint="default" w:ascii="Times New Roman" w:hAnsi="Times New Roman" w:eastAsia="楷体_GB2312" w:cs="Times New Roman"/>
          <w:lang w:val="en-US" w:eastAsia="zh-CN"/>
        </w:rPr>
        <w:t>评价结论</w:t>
      </w:r>
    </w:p>
    <w:p w14:paraId="72409EE7">
      <w:pPr>
        <w:pStyle w:val="2"/>
        <w:widowControl w:val="0"/>
        <w:spacing w:before="0" w:after="0" w:line="560" w:lineRule="exact"/>
        <w:ind w:firstLine="640" w:firstLineChars="200"/>
        <w:jc w:val="both"/>
        <w:outlineLvl w:val="9"/>
        <w:rPr>
          <w:rFonts w:hint="default" w:ascii="Times New Roman" w:hAnsi="Times New Roman" w:eastAsia="仿宋_GB2312" w:cs="Times New Roman"/>
          <w:b w:val="0"/>
          <w:bCs w:val="0"/>
          <w:lang w:eastAsia="zh-CN"/>
        </w:rPr>
      </w:pPr>
      <w:r>
        <w:rPr>
          <w:rFonts w:hint="default" w:ascii="Times New Roman" w:hAnsi="Times New Roman" w:eastAsia="仿宋_GB2312" w:cs="Times New Roman"/>
          <w:b w:val="0"/>
          <w:bCs w:val="0"/>
        </w:rPr>
        <w:t>运用绩效评价组制定的评价指标体系以及财政部《项目支出绩效评价管理办法》（财预〔2020〕10号）文件的评分标准，通过数据采集、问卷调查及访谈等方式，对本项目进行客观评价，最终评分结果：</w:t>
      </w:r>
      <w:r>
        <w:rPr>
          <w:rFonts w:hint="default" w:ascii="Times New Roman" w:hAnsi="Times New Roman" w:eastAsia="仿宋_GB2312" w:cs="Times New Roman"/>
          <w:b w:val="0"/>
          <w:bCs w:val="0"/>
          <w:highlight w:val="none"/>
        </w:rPr>
        <w:t>总得分为</w:t>
      </w:r>
      <w:r>
        <w:rPr>
          <w:rFonts w:hint="eastAsia" w:ascii="Times New Roman" w:hAnsi="Times New Roman" w:eastAsia="仿宋_GB2312" w:cs="Times New Roman"/>
          <w:b w:val="0"/>
          <w:bCs w:val="0"/>
          <w:highlight w:val="none"/>
          <w:lang w:val="en-US" w:eastAsia="zh-CN"/>
        </w:rPr>
        <w:t>100</w:t>
      </w:r>
      <w:r>
        <w:rPr>
          <w:rFonts w:hint="default" w:ascii="Times New Roman" w:hAnsi="Times New Roman" w:eastAsia="仿宋_GB2312" w:cs="Times New Roman"/>
          <w:b w:val="0"/>
          <w:bCs w:val="0"/>
          <w:highlight w:val="none"/>
        </w:rPr>
        <w:t>分，属于“优”。其中，项目决策类指标权重为20分，得分为</w:t>
      </w:r>
      <w:r>
        <w:rPr>
          <w:rFonts w:hint="eastAsia" w:ascii="Times New Roman" w:hAnsi="Times New Roman" w:eastAsia="仿宋_GB2312" w:cs="Times New Roman"/>
          <w:b w:val="0"/>
          <w:bCs w:val="0"/>
          <w:highlight w:val="none"/>
          <w:lang w:val="en-US" w:eastAsia="zh-CN"/>
        </w:rPr>
        <w:t>20</w:t>
      </w:r>
      <w:r>
        <w:rPr>
          <w:rFonts w:hint="default" w:ascii="Times New Roman" w:hAnsi="Times New Roman" w:eastAsia="仿宋_GB2312" w:cs="Times New Roman"/>
          <w:b w:val="0"/>
          <w:bCs w:val="0"/>
          <w:highlight w:val="none"/>
        </w:rPr>
        <w:t xml:space="preserve">分，得分率为 </w:t>
      </w:r>
      <w:r>
        <w:rPr>
          <w:rFonts w:hint="eastAsia" w:ascii="Times New Roman" w:hAnsi="Times New Roman" w:eastAsia="仿宋_GB2312" w:cs="Times New Roman"/>
          <w:b w:val="0"/>
          <w:bCs w:val="0"/>
          <w:highlight w:val="none"/>
          <w:lang w:val="en-US" w:eastAsia="zh-CN"/>
        </w:rPr>
        <w:t>100</w:t>
      </w:r>
      <w:r>
        <w:rPr>
          <w:rFonts w:hint="default" w:ascii="Times New Roman" w:hAnsi="Times New Roman" w:eastAsia="仿宋_GB2312" w:cs="Times New Roman"/>
          <w:b w:val="0"/>
          <w:bCs w:val="0"/>
          <w:highlight w:val="none"/>
        </w:rPr>
        <w:t>%。项目过程类指标权重为20分，得分为</w:t>
      </w:r>
      <w:r>
        <w:rPr>
          <w:rFonts w:hint="eastAsia" w:ascii="Times New Roman" w:hAnsi="Times New Roman" w:eastAsia="仿宋_GB2312" w:cs="Times New Roman"/>
          <w:b w:val="0"/>
          <w:bCs w:val="0"/>
          <w:highlight w:val="none"/>
          <w:lang w:val="en-US" w:eastAsia="zh-CN"/>
        </w:rPr>
        <w:t>20</w:t>
      </w:r>
      <w:r>
        <w:rPr>
          <w:rFonts w:hint="default" w:ascii="Times New Roman" w:hAnsi="Times New Roman" w:eastAsia="仿宋_GB2312" w:cs="Times New Roman"/>
          <w:b w:val="0"/>
          <w:bCs w:val="0"/>
          <w:highlight w:val="none"/>
        </w:rPr>
        <w:t>分，得分率为</w:t>
      </w:r>
      <w:r>
        <w:rPr>
          <w:rFonts w:hint="eastAsia" w:ascii="Times New Roman" w:hAnsi="Times New Roman" w:eastAsia="仿宋_GB2312" w:cs="Times New Roman"/>
          <w:b w:val="0"/>
          <w:bCs w:val="0"/>
          <w:highlight w:val="none"/>
          <w:lang w:val="en-US" w:eastAsia="zh-CN"/>
        </w:rPr>
        <w:t>100</w:t>
      </w:r>
      <w:r>
        <w:rPr>
          <w:rFonts w:hint="default" w:ascii="Times New Roman" w:hAnsi="Times New Roman" w:eastAsia="仿宋_GB2312" w:cs="Times New Roman"/>
          <w:b w:val="0"/>
          <w:bCs w:val="0"/>
          <w:highlight w:val="none"/>
        </w:rPr>
        <w:t>%。项目产出类指标权重为40分，得分为</w:t>
      </w:r>
      <w:r>
        <w:rPr>
          <w:rFonts w:hint="eastAsia" w:ascii="Times New Roman" w:hAnsi="Times New Roman" w:eastAsia="仿宋_GB2312" w:cs="Times New Roman"/>
          <w:b w:val="0"/>
          <w:bCs w:val="0"/>
          <w:highlight w:val="none"/>
          <w:lang w:val="en-US" w:eastAsia="zh-CN"/>
        </w:rPr>
        <w:t>40</w:t>
      </w:r>
      <w:r>
        <w:rPr>
          <w:rFonts w:hint="default" w:ascii="Times New Roman" w:hAnsi="Times New Roman" w:eastAsia="仿宋_GB2312" w:cs="Times New Roman"/>
          <w:b w:val="0"/>
          <w:bCs w:val="0"/>
          <w:highlight w:val="none"/>
        </w:rPr>
        <w:t>分，得分率为</w:t>
      </w:r>
      <w:r>
        <w:rPr>
          <w:rFonts w:hint="eastAsia" w:ascii="Times New Roman" w:hAnsi="Times New Roman" w:eastAsia="仿宋_GB2312" w:cs="Times New Roman"/>
          <w:b w:val="0"/>
          <w:bCs w:val="0"/>
          <w:highlight w:val="none"/>
          <w:lang w:val="en-US" w:eastAsia="zh-CN"/>
        </w:rPr>
        <w:t>100</w:t>
      </w:r>
      <w:r>
        <w:rPr>
          <w:rFonts w:hint="default" w:ascii="Times New Roman" w:hAnsi="Times New Roman" w:eastAsia="仿宋_GB2312" w:cs="Times New Roman"/>
          <w:b w:val="0"/>
          <w:bCs w:val="0"/>
          <w:highlight w:val="none"/>
        </w:rPr>
        <w:t>%。项目效益类指标权重为20分，得分为</w:t>
      </w:r>
      <w:r>
        <w:rPr>
          <w:rFonts w:hint="eastAsia" w:ascii="Times New Roman" w:hAnsi="Times New Roman" w:eastAsia="仿宋_GB2312" w:cs="Times New Roman"/>
          <w:b w:val="0"/>
          <w:bCs w:val="0"/>
          <w:highlight w:val="none"/>
          <w:lang w:val="en-US" w:eastAsia="zh-CN"/>
        </w:rPr>
        <w:t>20</w:t>
      </w:r>
      <w:r>
        <w:rPr>
          <w:rFonts w:hint="default" w:ascii="Times New Roman" w:hAnsi="Times New Roman" w:eastAsia="仿宋_GB2312" w:cs="Times New Roman"/>
          <w:b w:val="0"/>
          <w:bCs w:val="0"/>
          <w:highlight w:val="none"/>
        </w:rPr>
        <w:t>分，得分率为</w:t>
      </w:r>
      <w:r>
        <w:rPr>
          <w:rFonts w:hint="eastAsia" w:ascii="Times New Roman" w:hAnsi="Times New Roman" w:eastAsia="仿宋_GB2312" w:cs="Times New Roman"/>
          <w:b w:val="0"/>
          <w:bCs w:val="0"/>
          <w:highlight w:val="none"/>
          <w:lang w:val="en-US" w:eastAsia="zh-CN"/>
        </w:rPr>
        <w:t>100</w:t>
      </w:r>
      <w:r>
        <w:rPr>
          <w:rFonts w:hint="default" w:ascii="Times New Roman" w:hAnsi="Times New Roman" w:eastAsia="仿宋_GB2312" w:cs="Times New Roman"/>
          <w:b w:val="0"/>
          <w:bCs w:val="0"/>
          <w:highlight w:val="none"/>
        </w:rPr>
        <w:t>%。</w:t>
      </w:r>
      <w:r>
        <w:rPr>
          <w:rFonts w:hint="default" w:ascii="Times New Roman" w:hAnsi="Times New Roman" w:eastAsia="仿宋_GB2312" w:cs="Times New Roman"/>
          <w:b w:val="0"/>
          <w:bCs w:val="0"/>
        </w:rPr>
        <w:t>具体打分情况详见：附件1综合评分表</w:t>
      </w:r>
      <w:r>
        <w:rPr>
          <w:rFonts w:hint="default" w:ascii="Times New Roman" w:hAnsi="Times New Roman" w:eastAsia="仿宋_GB2312" w:cs="Times New Roman"/>
          <w:b w:val="0"/>
          <w:bCs w:val="0"/>
          <w:lang w:eastAsia="zh-CN"/>
        </w:rPr>
        <w:t>。</w:t>
      </w:r>
    </w:p>
    <w:p w14:paraId="3F26C88F">
      <w:pPr>
        <w:pStyle w:val="2"/>
        <w:keepNext w:val="0"/>
        <w:keepLines w:val="0"/>
        <w:pageBreakBefore w:val="0"/>
        <w:widowControl/>
        <w:kinsoku/>
        <w:wordWrap/>
        <w:overflowPunct/>
        <w:topLinePunct w:val="0"/>
        <w:autoSpaceDE/>
        <w:autoSpaceDN/>
        <w:bidi w:val="0"/>
        <w:adjustRightInd/>
        <w:snapToGrid/>
        <w:spacing w:before="0" w:after="0"/>
        <w:textAlignment w:val="auto"/>
        <w:rPr>
          <w:rFonts w:hint="default" w:ascii="Times New Roman" w:hAnsi="Times New Roman" w:eastAsia="仿宋_GB2312" w:cs="Times New Roman"/>
          <w:sz w:val="21"/>
          <w:szCs w:val="21"/>
        </w:rPr>
      </w:pPr>
      <w:r>
        <w:rPr>
          <w:rFonts w:hint="default" w:ascii="Times New Roman" w:hAnsi="Times New Roman" w:eastAsia="仿宋_GB2312" w:cs="Times New Roman"/>
          <w:sz w:val="21"/>
          <w:szCs w:val="21"/>
        </w:rPr>
        <w:t>表1综合评分表</w:t>
      </w:r>
    </w:p>
    <w:tbl>
      <w:tblPr>
        <w:tblStyle w:val="12"/>
        <w:tblW w:w="7583" w:type="dxa"/>
        <w:jc w:val="center"/>
        <w:tblLayout w:type="fixed"/>
        <w:tblCellMar>
          <w:top w:w="0" w:type="dxa"/>
          <w:left w:w="108" w:type="dxa"/>
          <w:bottom w:w="0" w:type="dxa"/>
          <w:right w:w="108" w:type="dxa"/>
        </w:tblCellMar>
      </w:tblPr>
      <w:tblGrid>
        <w:gridCol w:w="3137"/>
        <w:gridCol w:w="2168"/>
        <w:gridCol w:w="2278"/>
      </w:tblGrid>
      <w:tr w14:paraId="2FD32F0C">
        <w:tblPrEx>
          <w:tblCellMar>
            <w:top w:w="0" w:type="dxa"/>
            <w:left w:w="108" w:type="dxa"/>
            <w:bottom w:w="0" w:type="dxa"/>
            <w:right w:w="108" w:type="dxa"/>
          </w:tblCellMar>
        </w:tblPrEx>
        <w:trPr>
          <w:trHeight w:val="90" w:hRule="atLeast"/>
          <w:tblHeader/>
          <w:jc w:val="center"/>
        </w:trPr>
        <w:tc>
          <w:tcPr>
            <w:tcW w:w="3137" w:type="dxa"/>
            <w:tcBorders>
              <w:top w:val="single" w:color="auto" w:sz="4" w:space="0"/>
              <w:left w:val="single" w:color="auto" w:sz="4" w:space="0"/>
              <w:bottom w:val="single" w:color="auto" w:sz="4" w:space="0"/>
              <w:right w:val="single" w:color="auto" w:sz="4" w:space="0"/>
            </w:tcBorders>
            <w:shd w:val="clear" w:color="000000" w:fill="BEBEBE"/>
            <w:vAlign w:val="center"/>
          </w:tcPr>
          <w:p w14:paraId="26434DA9">
            <w:pPr>
              <w:jc w:val="center"/>
              <w:rPr>
                <w:rFonts w:hint="default" w:ascii="Times New Roman" w:hAnsi="Times New Roman" w:eastAsia="仿宋_GB2312" w:cs="Times New Roman"/>
                <w:b/>
                <w:bCs/>
                <w:color w:val="000000"/>
                <w:sz w:val="21"/>
                <w:szCs w:val="21"/>
              </w:rPr>
            </w:pPr>
            <w:r>
              <w:rPr>
                <w:rFonts w:hint="default" w:ascii="Times New Roman" w:hAnsi="Times New Roman" w:eastAsia="仿宋_GB2312" w:cs="Times New Roman"/>
                <w:b/>
                <w:bCs/>
                <w:color w:val="000000"/>
                <w:sz w:val="21"/>
                <w:szCs w:val="21"/>
              </w:rPr>
              <w:t>一级指标</w:t>
            </w:r>
          </w:p>
        </w:tc>
        <w:tc>
          <w:tcPr>
            <w:tcW w:w="2168" w:type="dxa"/>
            <w:tcBorders>
              <w:top w:val="single" w:color="auto" w:sz="4" w:space="0"/>
              <w:left w:val="nil"/>
              <w:bottom w:val="single" w:color="auto" w:sz="4" w:space="0"/>
              <w:right w:val="single" w:color="auto" w:sz="4" w:space="0"/>
            </w:tcBorders>
            <w:shd w:val="clear" w:color="000000" w:fill="BEBEBE"/>
            <w:vAlign w:val="center"/>
          </w:tcPr>
          <w:p w14:paraId="78616EED">
            <w:pPr>
              <w:jc w:val="center"/>
              <w:rPr>
                <w:rFonts w:hint="default" w:ascii="Times New Roman" w:hAnsi="Times New Roman" w:eastAsia="仿宋_GB2312" w:cs="Times New Roman"/>
                <w:b/>
                <w:bCs/>
                <w:color w:val="000000"/>
                <w:sz w:val="21"/>
                <w:szCs w:val="21"/>
              </w:rPr>
            </w:pPr>
            <w:r>
              <w:rPr>
                <w:rFonts w:hint="default" w:ascii="Times New Roman" w:hAnsi="Times New Roman" w:eastAsia="仿宋_GB2312" w:cs="Times New Roman"/>
                <w:b/>
                <w:bCs/>
                <w:color w:val="000000"/>
                <w:sz w:val="21"/>
                <w:szCs w:val="21"/>
              </w:rPr>
              <w:t>权重分</w:t>
            </w:r>
          </w:p>
        </w:tc>
        <w:tc>
          <w:tcPr>
            <w:tcW w:w="2278" w:type="dxa"/>
            <w:tcBorders>
              <w:top w:val="single" w:color="auto" w:sz="4" w:space="0"/>
              <w:left w:val="nil"/>
              <w:bottom w:val="single" w:color="auto" w:sz="4" w:space="0"/>
              <w:right w:val="single" w:color="auto" w:sz="4" w:space="0"/>
            </w:tcBorders>
            <w:shd w:val="clear" w:color="000000" w:fill="BEBEBE"/>
            <w:vAlign w:val="center"/>
          </w:tcPr>
          <w:p w14:paraId="1817F62F">
            <w:pPr>
              <w:jc w:val="center"/>
              <w:rPr>
                <w:rFonts w:hint="default" w:ascii="Times New Roman" w:hAnsi="Times New Roman" w:eastAsia="仿宋_GB2312" w:cs="Times New Roman"/>
                <w:b/>
                <w:bCs/>
                <w:color w:val="000000"/>
                <w:sz w:val="21"/>
                <w:szCs w:val="21"/>
              </w:rPr>
            </w:pPr>
            <w:r>
              <w:rPr>
                <w:rFonts w:hint="default" w:ascii="Times New Roman" w:hAnsi="Times New Roman" w:eastAsia="仿宋_GB2312" w:cs="Times New Roman"/>
                <w:b/>
                <w:bCs/>
                <w:color w:val="000000"/>
                <w:sz w:val="21"/>
                <w:szCs w:val="21"/>
              </w:rPr>
              <w:t>得分</w:t>
            </w:r>
          </w:p>
        </w:tc>
      </w:tr>
      <w:tr w14:paraId="130DF678">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3B60170E">
            <w:pPr>
              <w:jc w:val="center"/>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sz w:val="21"/>
                <w:szCs w:val="21"/>
              </w:rPr>
              <w:t>项目决策</w:t>
            </w:r>
          </w:p>
        </w:tc>
        <w:tc>
          <w:tcPr>
            <w:tcW w:w="2168" w:type="dxa"/>
            <w:tcBorders>
              <w:top w:val="nil"/>
              <w:left w:val="nil"/>
              <w:bottom w:val="single" w:color="auto" w:sz="4" w:space="0"/>
              <w:right w:val="single" w:color="auto" w:sz="4" w:space="0"/>
            </w:tcBorders>
            <w:shd w:val="clear" w:color="auto" w:fill="auto"/>
            <w:vAlign w:val="center"/>
          </w:tcPr>
          <w:p w14:paraId="179C6AE9">
            <w:pPr>
              <w:jc w:val="center"/>
              <w:rPr>
                <w:rFonts w:hint="default" w:ascii="Times New Roman" w:hAnsi="Times New Roman" w:eastAsia="仿宋_GB2312" w:cs="Times New Roman"/>
                <w:color w:val="000000"/>
                <w:sz w:val="21"/>
                <w:szCs w:val="21"/>
                <w:lang w:val="en-US" w:eastAsia="zh-CN"/>
              </w:rPr>
            </w:pPr>
            <w:r>
              <w:rPr>
                <w:rFonts w:hint="default" w:ascii="Times New Roman" w:hAnsi="Times New Roman" w:eastAsia="仿宋_GB2312" w:cs="Times New Roman"/>
                <w:color w:val="000000"/>
                <w:sz w:val="21"/>
                <w:szCs w:val="21"/>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14:paraId="2A15D74B">
            <w:pPr>
              <w:jc w:val="center"/>
              <w:rPr>
                <w:rFonts w:hint="default" w:ascii="Times New Roman" w:hAnsi="Times New Roman" w:eastAsia="仿宋_GB2312" w:cs="Times New Roman"/>
                <w:color w:val="000000"/>
                <w:sz w:val="21"/>
                <w:szCs w:val="21"/>
                <w:lang w:val="en-US" w:eastAsia="zh-CN"/>
              </w:rPr>
            </w:pPr>
            <w:r>
              <w:rPr>
                <w:rFonts w:hint="eastAsia" w:eastAsia="仿宋_GB2312" w:cs="Times New Roman"/>
                <w:color w:val="000000"/>
                <w:sz w:val="21"/>
                <w:szCs w:val="21"/>
                <w:lang w:val="en-US" w:eastAsia="zh-CN"/>
              </w:rPr>
              <w:t>20</w:t>
            </w:r>
          </w:p>
        </w:tc>
      </w:tr>
      <w:tr w14:paraId="23183A9D">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784DC901">
            <w:pPr>
              <w:jc w:val="center"/>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sz w:val="21"/>
                <w:szCs w:val="21"/>
              </w:rPr>
              <w:t>项目过程</w:t>
            </w:r>
          </w:p>
        </w:tc>
        <w:tc>
          <w:tcPr>
            <w:tcW w:w="2168" w:type="dxa"/>
            <w:tcBorders>
              <w:top w:val="nil"/>
              <w:left w:val="nil"/>
              <w:bottom w:val="single" w:color="auto" w:sz="4" w:space="0"/>
              <w:right w:val="single" w:color="auto" w:sz="4" w:space="0"/>
            </w:tcBorders>
            <w:shd w:val="clear" w:color="auto" w:fill="auto"/>
            <w:vAlign w:val="center"/>
          </w:tcPr>
          <w:p w14:paraId="6BA5593A">
            <w:pPr>
              <w:jc w:val="center"/>
              <w:rPr>
                <w:rFonts w:hint="default" w:ascii="Times New Roman" w:hAnsi="Times New Roman" w:eastAsia="仿宋_GB2312" w:cs="Times New Roman"/>
                <w:color w:val="000000"/>
                <w:sz w:val="21"/>
                <w:szCs w:val="21"/>
                <w:lang w:val="en-US" w:eastAsia="zh-CN"/>
              </w:rPr>
            </w:pPr>
            <w:r>
              <w:rPr>
                <w:rFonts w:hint="default" w:ascii="Times New Roman" w:hAnsi="Times New Roman" w:eastAsia="仿宋_GB2312" w:cs="Times New Roman"/>
                <w:color w:val="000000"/>
                <w:sz w:val="21"/>
                <w:szCs w:val="21"/>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14:paraId="1ED97DF1">
            <w:pPr>
              <w:jc w:val="center"/>
              <w:rPr>
                <w:rFonts w:hint="default" w:ascii="Times New Roman" w:hAnsi="Times New Roman" w:eastAsia="仿宋_GB2312" w:cs="Times New Roman"/>
                <w:color w:val="000000"/>
                <w:sz w:val="21"/>
                <w:szCs w:val="21"/>
                <w:lang w:val="en-US" w:eastAsia="zh-CN"/>
              </w:rPr>
            </w:pPr>
            <w:r>
              <w:rPr>
                <w:rFonts w:hint="eastAsia" w:eastAsia="仿宋_GB2312" w:cs="Times New Roman"/>
                <w:color w:val="000000"/>
                <w:sz w:val="21"/>
                <w:szCs w:val="21"/>
                <w:lang w:val="en-US" w:eastAsia="zh-CN"/>
              </w:rPr>
              <w:t>20</w:t>
            </w:r>
          </w:p>
        </w:tc>
      </w:tr>
      <w:tr w14:paraId="16CB279D">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02009BBB">
            <w:pPr>
              <w:jc w:val="center"/>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sz w:val="21"/>
                <w:szCs w:val="21"/>
              </w:rPr>
              <w:t>项目产出</w:t>
            </w:r>
          </w:p>
        </w:tc>
        <w:tc>
          <w:tcPr>
            <w:tcW w:w="2168" w:type="dxa"/>
            <w:tcBorders>
              <w:top w:val="nil"/>
              <w:left w:val="nil"/>
              <w:bottom w:val="single" w:color="auto" w:sz="4" w:space="0"/>
              <w:right w:val="single" w:color="auto" w:sz="4" w:space="0"/>
            </w:tcBorders>
            <w:shd w:val="clear" w:color="auto" w:fill="auto"/>
            <w:vAlign w:val="center"/>
          </w:tcPr>
          <w:p w14:paraId="666264F5">
            <w:pPr>
              <w:jc w:val="center"/>
              <w:rPr>
                <w:rFonts w:hint="default" w:ascii="Times New Roman" w:hAnsi="Times New Roman" w:eastAsia="仿宋_GB2312" w:cs="Times New Roman"/>
                <w:color w:val="000000"/>
                <w:sz w:val="21"/>
                <w:szCs w:val="21"/>
                <w:lang w:val="en-US" w:eastAsia="zh-CN"/>
              </w:rPr>
            </w:pPr>
            <w:r>
              <w:rPr>
                <w:rFonts w:hint="default" w:ascii="Times New Roman" w:hAnsi="Times New Roman" w:eastAsia="仿宋_GB2312" w:cs="Times New Roman"/>
                <w:color w:val="000000"/>
                <w:sz w:val="21"/>
                <w:szCs w:val="21"/>
                <w:lang w:val="en-US" w:eastAsia="zh-CN"/>
              </w:rPr>
              <w:t>40</w:t>
            </w:r>
          </w:p>
        </w:tc>
        <w:tc>
          <w:tcPr>
            <w:tcW w:w="2278" w:type="dxa"/>
            <w:tcBorders>
              <w:top w:val="nil"/>
              <w:left w:val="nil"/>
              <w:bottom w:val="single" w:color="auto" w:sz="4" w:space="0"/>
              <w:right w:val="single" w:color="auto" w:sz="4" w:space="0"/>
            </w:tcBorders>
            <w:shd w:val="clear" w:color="auto" w:fill="auto"/>
            <w:vAlign w:val="center"/>
          </w:tcPr>
          <w:p w14:paraId="5FBEE659">
            <w:pPr>
              <w:jc w:val="center"/>
              <w:rPr>
                <w:rFonts w:hint="default" w:ascii="Times New Roman" w:hAnsi="Times New Roman" w:eastAsia="仿宋_GB2312" w:cs="Times New Roman"/>
                <w:color w:val="000000"/>
                <w:sz w:val="21"/>
                <w:szCs w:val="21"/>
                <w:lang w:val="en-US" w:eastAsia="zh-CN"/>
              </w:rPr>
            </w:pPr>
            <w:r>
              <w:rPr>
                <w:rFonts w:hint="eastAsia" w:eastAsia="仿宋_GB2312" w:cs="Times New Roman"/>
                <w:color w:val="000000"/>
                <w:sz w:val="21"/>
                <w:szCs w:val="21"/>
                <w:lang w:val="en-US" w:eastAsia="zh-CN"/>
              </w:rPr>
              <w:t>40</w:t>
            </w:r>
          </w:p>
        </w:tc>
      </w:tr>
      <w:tr w14:paraId="759420F8">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2D63D70B">
            <w:pPr>
              <w:jc w:val="center"/>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sz w:val="21"/>
                <w:szCs w:val="21"/>
              </w:rPr>
              <w:t>项目效益</w:t>
            </w:r>
          </w:p>
        </w:tc>
        <w:tc>
          <w:tcPr>
            <w:tcW w:w="2168" w:type="dxa"/>
            <w:tcBorders>
              <w:top w:val="nil"/>
              <w:left w:val="nil"/>
              <w:bottom w:val="single" w:color="auto" w:sz="4" w:space="0"/>
              <w:right w:val="single" w:color="auto" w:sz="4" w:space="0"/>
            </w:tcBorders>
            <w:shd w:val="clear" w:color="auto" w:fill="auto"/>
            <w:vAlign w:val="center"/>
          </w:tcPr>
          <w:p w14:paraId="6E6EDBB2">
            <w:pPr>
              <w:jc w:val="center"/>
              <w:rPr>
                <w:rFonts w:hint="default" w:ascii="Times New Roman" w:hAnsi="Times New Roman" w:eastAsia="仿宋_GB2312" w:cs="Times New Roman"/>
                <w:color w:val="000000"/>
                <w:sz w:val="21"/>
                <w:szCs w:val="21"/>
                <w:lang w:val="en-US" w:eastAsia="zh-CN"/>
              </w:rPr>
            </w:pPr>
            <w:r>
              <w:rPr>
                <w:rFonts w:hint="default" w:ascii="Times New Roman" w:hAnsi="Times New Roman" w:eastAsia="仿宋_GB2312" w:cs="Times New Roman"/>
                <w:color w:val="000000"/>
                <w:sz w:val="21"/>
                <w:szCs w:val="21"/>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14:paraId="089C6244">
            <w:pPr>
              <w:jc w:val="center"/>
              <w:rPr>
                <w:rFonts w:hint="default" w:ascii="Times New Roman" w:hAnsi="Times New Roman" w:eastAsia="仿宋_GB2312" w:cs="Times New Roman"/>
                <w:color w:val="000000"/>
                <w:sz w:val="21"/>
                <w:szCs w:val="21"/>
                <w:lang w:val="en-US" w:eastAsia="zh-CN"/>
              </w:rPr>
            </w:pPr>
            <w:r>
              <w:rPr>
                <w:rFonts w:hint="eastAsia" w:eastAsia="仿宋_GB2312" w:cs="Times New Roman"/>
                <w:color w:val="000000"/>
                <w:sz w:val="21"/>
                <w:szCs w:val="21"/>
                <w:lang w:val="en-US" w:eastAsia="zh-CN"/>
              </w:rPr>
              <w:t>20</w:t>
            </w:r>
          </w:p>
        </w:tc>
      </w:tr>
      <w:tr w14:paraId="33E8C93D">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3BF00170">
            <w:pPr>
              <w:jc w:val="center"/>
              <w:rPr>
                <w:rFonts w:hint="default" w:ascii="Times New Roman" w:hAnsi="Times New Roman" w:eastAsia="仿宋_GB2312" w:cs="Times New Roman"/>
                <w:b/>
                <w:bCs/>
                <w:color w:val="000000"/>
                <w:sz w:val="21"/>
                <w:szCs w:val="21"/>
              </w:rPr>
            </w:pPr>
            <w:r>
              <w:rPr>
                <w:rFonts w:hint="default" w:ascii="Times New Roman" w:hAnsi="Times New Roman" w:eastAsia="仿宋_GB2312" w:cs="Times New Roman"/>
                <w:b/>
                <w:bCs/>
                <w:color w:val="000000"/>
                <w:sz w:val="21"/>
                <w:szCs w:val="21"/>
              </w:rPr>
              <w:t>合计</w:t>
            </w:r>
          </w:p>
        </w:tc>
        <w:tc>
          <w:tcPr>
            <w:tcW w:w="2168" w:type="dxa"/>
            <w:tcBorders>
              <w:top w:val="nil"/>
              <w:left w:val="nil"/>
              <w:bottom w:val="single" w:color="auto" w:sz="4" w:space="0"/>
              <w:right w:val="single" w:color="auto" w:sz="4" w:space="0"/>
            </w:tcBorders>
            <w:shd w:val="clear" w:color="auto" w:fill="auto"/>
            <w:vAlign w:val="center"/>
          </w:tcPr>
          <w:p w14:paraId="37DE21A1">
            <w:pPr>
              <w:jc w:val="center"/>
              <w:rPr>
                <w:rFonts w:hint="default" w:ascii="Times New Roman" w:hAnsi="Times New Roman" w:eastAsia="仿宋_GB2312" w:cs="Times New Roman"/>
                <w:b/>
                <w:bCs/>
                <w:color w:val="000000"/>
                <w:sz w:val="21"/>
                <w:szCs w:val="21"/>
                <w:lang w:val="en-US" w:eastAsia="zh-CN"/>
              </w:rPr>
            </w:pPr>
            <w:r>
              <w:rPr>
                <w:rFonts w:hint="default" w:ascii="Times New Roman" w:hAnsi="Times New Roman" w:eastAsia="仿宋_GB2312" w:cs="Times New Roman"/>
                <w:b/>
                <w:bCs/>
                <w:color w:val="000000"/>
                <w:sz w:val="21"/>
                <w:szCs w:val="21"/>
                <w:lang w:val="en-US" w:eastAsia="zh-CN"/>
              </w:rPr>
              <w:t>100</w:t>
            </w:r>
          </w:p>
        </w:tc>
        <w:tc>
          <w:tcPr>
            <w:tcW w:w="2278" w:type="dxa"/>
            <w:tcBorders>
              <w:top w:val="nil"/>
              <w:left w:val="nil"/>
              <w:bottom w:val="single" w:color="auto" w:sz="4" w:space="0"/>
              <w:right w:val="single" w:color="auto" w:sz="4" w:space="0"/>
            </w:tcBorders>
            <w:shd w:val="clear" w:color="auto" w:fill="auto"/>
            <w:vAlign w:val="center"/>
          </w:tcPr>
          <w:p w14:paraId="299C0EE6">
            <w:pPr>
              <w:jc w:val="center"/>
              <w:rPr>
                <w:rFonts w:hint="default" w:ascii="Times New Roman" w:hAnsi="Times New Roman" w:eastAsia="仿宋_GB2312" w:cs="Times New Roman"/>
                <w:b/>
                <w:bCs/>
                <w:color w:val="000000"/>
                <w:sz w:val="21"/>
                <w:szCs w:val="21"/>
                <w:lang w:val="en-US" w:eastAsia="zh-CN"/>
              </w:rPr>
            </w:pPr>
            <w:r>
              <w:rPr>
                <w:rFonts w:hint="eastAsia" w:eastAsia="仿宋_GB2312" w:cs="Times New Roman"/>
                <w:b/>
                <w:bCs/>
                <w:color w:val="000000"/>
                <w:sz w:val="21"/>
                <w:szCs w:val="21"/>
                <w:lang w:val="en-US" w:eastAsia="zh-CN"/>
              </w:rPr>
              <w:t>100</w:t>
            </w:r>
          </w:p>
        </w:tc>
      </w:tr>
    </w:tbl>
    <w:p w14:paraId="39AD3294">
      <w:pPr>
        <w:spacing w:line="560" w:lineRule="exact"/>
        <w:ind w:firstLine="640" w:firstLineChars="200"/>
        <w:rPr>
          <w:rFonts w:hint="default" w:ascii="Times New Roman" w:hAnsi="Times New Roman" w:eastAsia="黑体" w:cs="Times New Roman"/>
          <w:sz w:val="32"/>
          <w:szCs w:val="32"/>
        </w:rPr>
      </w:pPr>
      <w:r>
        <w:rPr>
          <w:rFonts w:hint="default" w:ascii="Times New Roman" w:hAnsi="Times New Roman" w:eastAsia="黑体" w:cs="Times New Roman"/>
          <w:sz w:val="32"/>
          <w:szCs w:val="32"/>
        </w:rPr>
        <w:t>四、绩效评价指标分析</w:t>
      </w:r>
    </w:p>
    <w:p w14:paraId="03884119">
      <w:pPr>
        <w:pStyle w:val="2"/>
        <w:spacing w:before="0" w:after="0" w:line="560" w:lineRule="exact"/>
        <w:ind w:firstLine="643" w:firstLineChars="200"/>
        <w:jc w:val="both"/>
        <w:rPr>
          <w:rFonts w:hint="default" w:ascii="Times New Roman" w:hAnsi="Times New Roman" w:eastAsia="楷体_GB2312" w:cs="Times New Roman"/>
        </w:rPr>
      </w:pPr>
      <w:r>
        <w:rPr>
          <w:rFonts w:hint="default" w:ascii="Times New Roman" w:hAnsi="Times New Roman" w:eastAsia="楷体_GB2312" w:cs="Times New Roman"/>
        </w:rPr>
        <w:t>（一）项目决策情况</w:t>
      </w:r>
    </w:p>
    <w:p w14:paraId="43078566">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项目决策类指标包括项目立项、绩效目标和资金投入三方面的内容，由6个三级指标构成，权重分值为20分，实际得分</w:t>
      </w:r>
      <w:r>
        <w:rPr>
          <w:rFonts w:hint="eastAsia" w:eastAsia="仿宋_GB2312" w:cs="Times New Roman"/>
          <w:sz w:val="32"/>
          <w:szCs w:val="32"/>
          <w:highlight w:val="none"/>
          <w:lang w:val="en-US" w:eastAsia="zh-CN"/>
        </w:rPr>
        <w:t>20</w:t>
      </w:r>
      <w:r>
        <w:rPr>
          <w:rFonts w:hint="default" w:ascii="Times New Roman" w:hAnsi="Times New Roman" w:eastAsia="仿宋_GB2312" w:cs="Times New Roman"/>
          <w:sz w:val="32"/>
          <w:szCs w:val="32"/>
          <w:highlight w:val="none"/>
          <w:lang w:val="en-US" w:eastAsia="zh-CN"/>
        </w:rPr>
        <w:t>分，得分率为</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w:t>
      </w:r>
    </w:p>
    <w:p w14:paraId="0D2E7D90">
      <w:pPr>
        <w:pStyle w:val="20"/>
        <w:keepNext w:val="0"/>
        <w:keepLines w:val="0"/>
        <w:pageBreakBefore w:val="0"/>
        <w:widowControl w:val="0"/>
        <w:shd w:val="clear" w:color="auto" w:fill="auto"/>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1.项目立项</w:t>
      </w:r>
    </w:p>
    <w:p w14:paraId="40FA1009">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（1）立项依据充分性</w:t>
      </w:r>
    </w:p>
    <w:p w14:paraId="6E95A93D">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该项目立项符合国家相关法律法规及发展政策，符合行业规划要求，围绕本年度工作重点和工作计划制定经费预算，属于公共财政支持范围。本项目与部门内部其他相关项目不重复。部门发展规划及职能文件等归档完整。</w:t>
      </w:r>
    </w:p>
    <w:p w14:paraId="47A766EE">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（2）立项程序规范性</w:t>
      </w:r>
    </w:p>
    <w:p w14:paraId="06C5D130">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rPr>
        <w:t>项目申请、设立过程符合相关要求，严格按照审批流程准备符合要求的文件、材料；</w:t>
      </w:r>
      <w:r>
        <w:rPr>
          <w:rFonts w:hint="default" w:ascii="Times New Roman" w:hAnsi="Times New Roman" w:eastAsia="仿宋_GB2312" w:cs="Times New Roman"/>
          <w:sz w:val="32"/>
          <w:szCs w:val="32"/>
          <w:lang w:val="en-US" w:eastAsia="zh-CN"/>
        </w:rPr>
        <w:t>根据决算依据编制工作计划和经费预算，经过与部门项目分管领导沟通、筛选确定经费预算计划，确定最终预算方案。项目的审批文件、材料符合相关要求，项目事前经过必要的可行性研究、专家论证、风险评估、绩效评估、集体决策，保障了程序的规范性。</w:t>
      </w:r>
    </w:p>
    <w:p w14:paraId="7D78B756">
      <w:pPr>
        <w:pStyle w:val="20"/>
        <w:keepNext w:val="0"/>
        <w:keepLines w:val="0"/>
        <w:pageBreakBefore w:val="0"/>
        <w:widowControl w:val="0"/>
        <w:shd w:val="clear" w:color="auto" w:fill="auto"/>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2.绩效目标</w:t>
      </w:r>
    </w:p>
    <w:p w14:paraId="0745B53A">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（1）绩效目标合理性</w:t>
      </w:r>
    </w:p>
    <w:p w14:paraId="04502A25">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rPr>
        <w:t>年初结合实际工作内容</w:t>
      </w:r>
      <w:r>
        <w:rPr>
          <w:rFonts w:hint="default" w:ascii="Times New Roman" w:hAnsi="Times New Roman" w:eastAsia="仿宋_GB2312" w:cs="Times New Roman"/>
          <w:sz w:val="32"/>
          <w:szCs w:val="32"/>
          <w:lang w:val="en-US" w:eastAsia="zh-CN"/>
        </w:rPr>
        <w:t>设定绩效目标</w:t>
      </w:r>
      <w:r>
        <w:rPr>
          <w:rFonts w:hint="default" w:ascii="Times New Roman" w:hAnsi="Times New Roman" w:eastAsia="仿宋_GB2312" w:cs="Times New Roman"/>
          <w:sz w:val="32"/>
          <w:szCs w:val="32"/>
          <w:lang w:val="en-US"/>
        </w:rPr>
        <w:t>，绩效目标</w:t>
      </w:r>
      <w:r>
        <w:rPr>
          <w:rFonts w:hint="default" w:ascii="Times New Roman" w:hAnsi="Times New Roman" w:eastAsia="仿宋_GB2312" w:cs="Times New Roman"/>
          <w:sz w:val="32"/>
          <w:szCs w:val="32"/>
          <w:lang w:val="en-US" w:eastAsia="zh-CN"/>
        </w:rPr>
        <w:t>依据充分，符合客观实际，能反映和考核项目绩效目标与项目实施的相符情况，依据绩效目标设定的绩效指标清晰、细化、可衡量，能反映和考核项目绩效目标的明细化情况。绩效目标表经过审核，绩效目标与实际工作内容具有相关性，预算与确定的项目投资额相匹配，对项目任务进行了详细分解。项目预期产出效益及效果符合正常的业绩水平。</w:t>
      </w:r>
    </w:p>
    <w:p w14:paraId="178859CC">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（2）绩效指标明确性</w:t>
      </w:r>
    </w:p>
    <w:p w14:paraId="78586FBD">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项目设置了明确的预期产出效益和效果，将绩效目标细化分解为具体的绩效指标，绩效目标与项目目标任务数相对应，绩效目标设定的绩效指标清晰、细化、可衡量。</w:t>
      </w:r>
    </w:p>
    <w:p w14:paraId="30DA14AA">
      <w:pPr>
        <w:pStyle w:val="20"/>
        <w:keepNext w:val="0"/>
        <w:keepLines w:val="0"/>
        <w:pageBreakBefore w:val="0"/>
        <w:widowControl w:val="0"/>
        <w:shd w:val="clear" w:color="auto" w:fill="auto"/>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3.资金投入</w:t>
      </w:r>
    </w:p>
    <w:p w14:paraId="6AAC1582">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（1）预算编制科学性</w:t>
      </w:r>
    </w:p>
    <w:p w14:paraId="4320ABD3">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本项目的预算编制过程严谨、科学，充分体现了精细化管理的要求。预算编制之初，进行了全面的成本估算，确保项目所需的各项资源得到合理的预估与分配。同时，预算编制还紧密结合了项目的特点与实际情况，对不同阶段、不同任务的资金需求进行了详细的分析与计算。</w:t>
      </w:r>
    </w:p>
    <w:p w14:paraId="5279F1F4">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在预算编制过程中，</w:t>
      </w:r>
      <w:r>
        <w:rPr>
          <w:rFonts w:hint="default" w:ascii="Times New Roman" w:hAnsi="Times New Roman" w:eastAsia="仿宋_GB2312" w:cs="Times New Roman"/>
          <w:sz w:val="32"/>
          <w:szCs w:val="32"/>
          <w:highlight w:val="none"/>
          <w:lang w:val="en-US" w:eastAsia="zh-CN"/>
        </w:rPr>
        <w:t>还</w:t>
      </w:r>
      <w:r>
        <w:rPr>
          <w:rFonts w:hint="default" w:ascii="Times New Roman" w:hAnsi="Times New Roman" w:eastAsia="仿宋_GB2312" w:cs="Times New Roman"/>
          <w:sz w:val="32"/>
          <w:szCs w:val="32"/>
          <w:highlight w:val="none"/>
          <w:lang w:eastAsia="zh-CN"/>
        </w:rPr>
        <w:t>注重了成本控制与效益最大化的原则。通过优化资源配置、提高资金使用效率等措施，确保项目在有限的预算内取得最大的经济效益与社会效益。此外，预算编制还充分考虑了风险因素，对可能出现的超支情况进行了预留与规划，以应对项目实施过程中的不确定性。</w:t>
      </w:r>
    </w:p>
    <w:p w14:paraId="35486CA2">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（2）资金分配合理性</w:t>
      </w:r>
    </w:p>
    <w:p w14:paraId="445C9062">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本项目的资金分配遵循了公平、公正、透明的原则，确保了项目资源的合理配置与高效利用。在资金分配过程中，我们充分考虑了项目的实际需求与目标，对不同阶段、不同任务的资金进行了科学的规划与安排。</w:t>
      </w:r>
    </w:p>
    <w:p w14:paraId="5D836C65">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具体而言，资金分配紧密结合了项目的特点与实际情况，对关键领域与重要环节给予了重点支持。同时，我们也注重了资金的均衡分配，避免了资源浪费与资金闲置。此外，资金分配还充分考虑了风险因素，对可能出现的超支情况进行了预留与调整。</w:t>
      </w:r>
    </w:p>
    <w:p w14:paraId="6B4C2691">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综上所述，本项目的资金分配是合理的、科学的，既符合项目的实际情况，又满足了资金使用的效益最大化要求。资金分配的合理性为项目的成功实施提供了有力的保障，也为项目的绩效评价奠定了坚实的基础。</w:t>
      </w:r>
    </w:p>
    <w:p w14:paraId="0D1FF5AB">
      <w:pPr>
        <w:pStyle w:val="2"/>
        <w:numPr>
          <w:ilvl w:val="0"/>
          <w:numId w:val="5"/>
        </w:numPr>
        <w:spacing w:before="0" w:after="0" w:line="560" w:lineRule="exact"/>
        <w:ind w:firstLine="643" w:firstLineChars="200"/>
        <w:jc w:val="both"/>
        <w:rPr>
          <w:rFonts w:hint="default" w:ascii="Times New Roman" w:hAnsi="Times New Roman" w:eastAsia="楷体" w:cs="Times New Roman"/>
        </w:rPr>
      </w:pPr>
      <w:r>
        <w:rPr>
          <w:rFonts w:hint="default" w:ascii="Times New Roman" w:hAnsi="Times New Roman" w:eastAsia="楷体" w:cs="Times New Roman"/>
        </w:rPr>
        <w:t>项目过程情况</w:t>
      </w:r>
    </w:p>
    <w:p w14:paraId="61E36F53">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项目过程类指标包括资金管理和组织实施两方面的内容，由5个三级指标构成，权重分值为20分，实际得分</w:t>
      </w:r>
      <w:r>
        <w:rPr>
          <w:rFonts w:hint="eastAsia" w:eastAsia="仿宋_GB2312" w:cs="Times New Roman"/>
          <w:sz w:val="32"/>
          <w:szCs w:val="32"/>
          <w:highlight w:val="none"/>
          <w:lang w:val="en-US" w:eastAsia="zh-CN"/>
        </w:rPr>
        <w:t>20</w:t>
      </w:r>
      <w:r>
        <w:rPr>
          <w:rFonts w:hint="default" w:ascii="Times New Roman" w:hAnsi="Times New Roman" w:eastAsia="仿宋_GB2312" w:cs="Times New Roman"/>
          <w:sz w:val="32"/>
          <w:szCs w:val="32"/>
          <w:highlight w:val="none"/>
          <w:lang w:val="en-US" w:eastAsia="zh-CN"/>
        </w:rPr>
        <w:t>分，得分率为</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w:t>
      </w:r>
    </w:p>
    <w:p w14:paraId="6F30AE5F">
      <w:pPr>
        <w:pStyle w:val="20"/>
        <w:keepNext w:val="0"/>
        <w:keepLines w:val="0"/>
        <w:pageBreakBefore w:val="0"/>
        <w:widowControl w:val="0"/>
        <w:shd w:val="clear" w:color="auto" w:fill="auto"/>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1.资金管理</w:t>
      </w:r>
    </w:p>
    <w:p w14:paraId="7F64FA29">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（1）资金到位率</w:t>
      </w:r>
    </w:p>
    <w:p w14:paraId="671B0F6C">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本项目总投资</w:t>
      </w:r>
      <w:r>
        <w:rPr>
          <w:rFonts w:hint="eastAsia" w:eastAsia="仿宋_GB2312" w:cs="Times New Roman"/>
          <w:sz w:val="32"/>
          <w:szCs w:val="32"/>
          <w:highlight w:val="none"/>
          <w:lang w:val="en-US" w:eastAsia="zh-CN"/>
        </w:rPr>
        <w:t>192.72</w:t>
      </w:r>
      <w:r>
        <w:rPr>
          <w:rFonts w:hint="default" w:ascii="Times New Roman" w:hAnsi="Times New Roman" w:eastAsia="仿宋_GB2312" w:cs="Times New Roman"/>
          <w:sz w:val="32"/>
          <w:szCs w:val="32"/>
          <w:highlight w:val="none"/>
          <w:lang w:val="en-US" w:eastAsia="zh-CN"/>
        </w:rPr>
        <w:t>万元，财政资金及时足额到位，到位率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%，预算资金按计划进度执行。</w:t>
      </w:r>
    </w:p>
    <w:p w14:paraId="6DB286AC">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（2）预算执行率</w:t>
      </w:r>
    </w:p>
    <w:p w14:paraId="481609B2">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预算编制较为详细，项目资金支出总体能够按照预算执行，预算资金支出</w:t>
      </w:r>
      <w:r>
        <w:rPr>
          <w:rFonts w:hint="eastAsia" w:eastAsia="仿宋_GB2312" w:cs="Times New Roman"/>
          <w:sz w:val="32"/>
          <w:szCs w:val="32"/>
          <w:highlight w:val="none"/>
          <w:lang w:val="en-US" w:eastAsia="zh-CN"/>
        </w:rPr>
        <w:t>192.72</w:t>
      </w:r>
      <w:r>
        <w:rPr>
          <w:rFonts w:hint="default" w:ascii="Times New Roman" w:hAnsi="Times New Roman" w:eastAsia="仿宋_GB2312" w:cs="Times New Roman"/>
          <w:sz w:val="32"/>
          <w:szCs w:val="32"/>
          <w:highlight w:val="none"/>
          <w:lang w:val="en-US" w:eastAsia="zh-CN"/>
        </w:rPr>
        <w:t>万元，预算执行率为</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w:t>
      </w:r>
    </w:p>
    <w:p w14:paraId="7031450A">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（3）资金使用合规性</w:t>
      </w:r>
    </w:p>
    <w:p w14:paraId="15B22BD9">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本项目的资金使用严格遵循了国家相关法律法规与财务制度，确保了资金的合规性与安全性。在资金使用过程中，我们建立了完善的财务管理体系，对资金的流动进行了全程监控与记录。</w:t>
      </w:r>
    </w:p>
    <w:p w14:paraId="1306596C">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具体而言，资金使用坚持了专款专用的原则，确保了项目资金不被挪用或截留。同时，我们还加强了对资金使用的审计与监督，定期对财务收支进行自查与自纠，及时发现并纠正可能存在的问题。此外，资金使用还充分考虑了成本效益原则，通过优化资源配置、提高资金使用效率等措施，确保了项目资金的最大化利用。</w:t>
      </w:r>
    </w:p>
    <w:p w14:paraId="03A116F7">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综上所述，本项目的资金使用是合规的、安全的，既符合国家相关法律法规与财务制度的要求，又满足了项目实施的实际需要。资金使用的合规性为项目的成功实施提供了有力的保障，也为项目的绩效评价奠定了坚实的基础。</w:t>
      </w:r>
    </w:p>
    <w:p w14:paraId="28710A37">
      <w:pPr>
        <w:pStyle w:val="20"/>
        <w:keepNext w:val="0"/>
        <w:keepLines w:val="0"/>
        <w:pageBreakBefore w:val="0"/>
        <w:widowControl w:val="0"/>
        <w:shd w:val="clear" w:color="auto" w:fill="auto"/>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highlight w:val="none"/>
          <w:lang w:val="en-US" w:eastAsia="zh-CN"/>
        </w:rPr>
      </w:pPr>
      <w:r>
        <w:rPr>
          <w:rFonts w:hint="default" w:ascii="Times New Roman" w:hAnsi="Times New Roman" w:eastAsia="仿宋_GB2312" w:cs="Times New Roman"/>
          <w:b/>
          <w:bCs/>
          <w:sz w:val="32"/>
          <w:szCs w:val="32"/>
          <w:highlight w:val="none"/>
          <w:lang w:val="en-US" w:eastAsia="zh-CN"/>
        </w:rPr>
        <w:t>2.组织实施</w:t>
      </w:r>
    </w:p>
    <w:p w14:paraId="1C9D747E">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（1）管理制度健全性</w:t>
      </w:r>
    </w:p>
    <w:p w14:paraId="2A71BA72">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本项目拥有一套完善、健全的管理制度体系，为项目的成功实施提供了坚实的制度保障。项目管理制度的制定紧密结合了项目的特点与实际情况，涵盖了项目的策划、组织、实施、监控与收尾等各个环节。</w:t>
      </w:r>
    </w:p>
    <w:p w14:paraId="03826872">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在制度设计上，我们注重了制度的科学性与可操作性，确保制度能够切实指导项目的执行与管理。</w:t>
      </w:r>
    </w:p>
    <w:p w14:paraId="262E2881">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此外，项目管理制度还充分考虑了风险因素，制定了相应的风险应对措施与预案，以应对项目实施过程中可能出现的各种风险与挑战。管理制度的健全性不仅体现在制度的完善上，还体现在制度的执行与监督上。我们建立了有效的监督机制与反馈机制，对项目的实施情况进行定期检查与评估，及时发现并纠正可能存在的问题。</w:t>
      </w:r>
    </w:p>
    <w:p w14:paraId="28D65C4A">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综上所述，本项目的管理制度是健全的、有效的，既符合项目的实际情况，又满足了项目管理的需要。管理制度的健全性为项目的成功实施提供了有力的保障，也为项目的绩效评价奠定了坚实的基础。</w:t>
      </w:r>
    </w:p>
    <w:p w14:paraId="28DFBCCF">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（2）制度执行有效性</w:t>
      </w:r>
    </w:p>
    <w:p w14:paraId="7F5EBD22">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lang w:eastAsia="zh-CN"/>
        </w:rPr>
        <w:t>本项目在执行过程中，管理制度得到了全面、有效的落实，为确保项目的顺利实施与目标实现提供了坚实的保障。项目</w:t>
      </w:r>
      <w:r>
        <w:rPr>
          <w:rFonts w:hint="default" w:ascii="Times New Roman" w:hAnsi="Times New Roman" w:eastAsia="仿宋_GB2312" w:cs="Times New Roman"/>
          <w:sz w:val="32"/>
          <w:szCs w:val="32"/>
          <w:lang w:val="en-US" w:eastAsia="zh-CN"/>
        </w:rPr>
        <w:t>单位</w:t>
      </w:r>
      <w:r>
        <w:rPr>
          <w:rFonts w:hint="default" w:ascii="Times New Roman" w:hAnsi="Times New Roman" w:eastAsia="仿宋_GB2312" w:cs="Times New Roman"/>
          <w:sz w:val="32"/>
          <w:szCs w:val="32"/>
          <w:lang w:eastAsia="zh-CN"/>
        </w:rPr>
        <w:t>重视制度执行的重要性，通过明确责任分工、制定详细执行计划、加强监督考核等措施，确保了各项管理制度能够得到有效执行。</w:t>
      </w:r>
    </w:p>
    <w:p w14:paraId="237A6A11">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lang w:eastAsia="zh-CN"/>
        </w:rPr>
        <w:t>在具体执行过程中，项目团队成员严格按照制度要求进行操作。同时，我们还建立了有效的沟通机制与反馈机制，确保项目信息的及时传递与问题的及时解决，进一步提高了制度执行的效率与效果。</w:t>
      </w:r>
    </w:p>
    <w:p w14:paraId="2B8AB1EF">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eastAsia="zh-CN"/>
        </w:rPr>
        <w:t>综上所述，本项目的管理制度在执行过程中表现出了高度的有效性，既确保了项目的顺利进行，又实现了项目目标的有效达成。</w:t>
      </w:r>
    </w:p>
    <w:p w14:paraId="5752A9FA">
      <w:pPr>
        <w:pStyle w:val="10"/>
        <w:numPr>
          <w:ilvl w:val="0"/>
          <w:numId w:val="5"/>
        </w:numPr>
        <w:spacing w:line="560" w:lineRule="exact"/>
        <w:ind w:firstLine="643"/>
        <w:rPr>
          <w:rFonts w:hint="default" w:ascii="Times New Roman" w:hAnsi="Times New Roman" w:eastAsia="楷体_GB2312" w:cs="Times New Roman"/>
          <w:b/>
          <w:bCs/>
          <w:sz w:val="32"/>
          <w:szCs w:val="32"/>
          <w:highlight w:val="none"/>
        </w:rPr>
      </w:pPr>
      <w:r>
        <w:rPr>
          <w:rFonts w:hint="default" w:ascii="Times New Roman" w:hAnsi="Times New Roman" w:eastAsia="楷体_GB2312" w:cs="Times New Roman"/>
          <w:b/>
          <w:bCs/>
          <w:sz w:val="32"/>
          <w:szCs w:val="32"/>
          <w:highlight w:val="none"/>
        </w:rPr>
        <w:t>项目产出</w:t>
      </w:r>
      <w:r>
        <w:rPr>
          <w:rFonts w:hint="default" w:ascii="Times New Roman" w:hAnsi="Times New Roman" w:eastAsia="楷体_GB2312" w:cs="Times New Roman"/>
          <w:b/>
          <w:bCs/>
          <w:sz w:val="32"/>
          <w:szCs w:val="32"/>
          <w:highlight w:val="none"/>
          <w:lang w:val="en-US" w:eastAsia="zh-CN"/>
        </w:rPr>
        <w:t>情况</w:t>
      </w:r>
    </w:p>
    <w:p w14:paraId="1343712B">
      <w:pPr>
        <w:pStyle w:val="10"/>
        <w:numPr>
          <w:ilvl w:val="0"/>
          <w:numId w:val="0"/>
        </w:numPr>
        <w:spacing w:line="560" w:lineRule="exact"/>
        <w:ind w:firstLine="640" w:firstLineChars="20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lang w:val="en-US" w:eastAsia="zh-CN"/>
        </w:rPr>
        <w:t>项目产出类指标包括产出数量、产出质量、产出时效、产出</w:t>
      </w:r>
      <w:r>
        <w:rPr>
          <w:rFonts w:hint="default" w:ascii="Times New Roman" w:hAnsi="Times New Roman" w:eastAsia="仿宋_GB2312" w:cs="Times New Roman"/>
          <w:sz w:val="32"/>
          <w:szCs w:val="32"/>
          <w:highlight w:val="none"/>
          <w:lang w:val="en-US" w:eastAsia="zh-CN"/>
        </w:rPr>
        <w:t>成本四方面的内容，由</w:t>
      </w:r>
      <w:r>
        <w:rPr>
          <w:rFonts w:hint="eastAsia" w:ascii="Times New Roman" w:hAnsi="Times New Roman" w:eastAsia="仿宋_GB2312" w:cs="Times New Roman"/>
          <w:sz w:val="32"/>
          <w:szCs w:val="32"/>
          <w:highlight w:val="none"/>
          <w:lang w:val="en-US" w:eastAsia="zh-CN"/>
        </w:rPr>
        <w:t>5</w:t>
      </w:r>
      <w:r>
        <w:rPr>
          <w:rFonts w:hint="default" w:ascii="Times New Roman" w:hAnsi="Times New Roman" w:eastAsia="仿宋_GB2312" w:cs="Times New Roman"/>
          <w:sz w:val="32"/>
          <w:szCs w:val="32"/>
          <w:highlight w:val="none"/>
          <w:lang w:val="en-US" w:eastAsia="zh-CN"/>
        </w:rPr>
        <w:t>个三级指标构成，权重分为40分，实际得分</w:t>
      </w:r>
      <w:r>
        <w:rPr>
          <w:rFonts w:hint="eastAsia" w:ascii="Times New Roman" w:hAnsi="Times New Roman" w:eastAsia="仿宋_GB2312" w:cs="Times New Roman"/>
          <w:sz w:val="32"/>
          <w:szCs w:val="32"/>
          <w:highlight w:val="none"/>
          <w:lang w:val="en-US" w:eastAsia="zh-CN"/>
        </w:rPr>
        <w:t>40</w:t>
      </w:r>
      <w:r>
        <w:rPr>
          <w:rFonts w:hint="default" w:ascii="Times New Roman" w:hAnsi="Times New Roman" w:eastAsia="仿宋_GB2312" w:cs="Times New Roman"/>
          <w:sz w:val="32"/>
          <w:szCs w:val="32"/>
          <w:highlight w:val="none"/>
          <w:lang w:val="en-US" w:eastAsia="zh-CN"/>
        </w:rPr>
        <w:t>分，得分率为</w:t>
      </w:r>
      <w:r>
        <w:rPr>
          <w:rFonts w:hint="eastAsia" w:ascii="Times New Roman" w:hAnsi="Times New Roman"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%。具体产出指标完成情况如下：</w:t>
      </w:r>
    </w:p>
    <w:p w14:paraId="40DC8903">
      <w:pPr>
        <w:pStyle w:val="10"/>
        <w:numPr>
          <w:ilvl w:val="0"/>
          <w:numId w:val="0"/>
        </w:numPr>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 1 \* GB3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sz w:val="32"/>
          <w:szCs w:val="32"/>
          <w:highlight w:val="none"/>
        </w:rPr>
        <w:t>①</w:t>
      </w:r>
      <w:r>
        <w:rPr>
          <w:rFonts w:hint="default" w:ascii="Times New Roman" w:hAnsi="Times New Roman" w:eastAsia="仿宋_GB2312" w:cs="Times New Roman"/>
          <w:sz w:val="32"/>
          <w:szCs w:val="32"/>
          <w:highlight w:val="none"/>
        </w:rPr>
        <w:fldChar w:fldCharType="end"/>
      </w:r>
      <w:r>
        <w:rPr>
          <w:rFonts w:hint="default" w:ascii="Times New Roman" w:hAnsi="Times New Roman" w:eastAsia="仿宋_GB2312" w:cs="Times New Roman"/>
          <w:sz w:val="32"/>
          <w:szCs w:val="32"/>
          <w:highlight w:val="none"/>
        </w:rPr>
        <w:t>数量指标：</w:t>
      </w:r>
    </w:p>
    <w:p w14:paraId="3F985FA1">
      <w:pPr>
        <w:pStyle w:val="10"/>
        <w:numPr>
          <w:ilvl w:val="0"/>
          <w:numId w:val="0"/>
        </w:numPr>
        <w:spacing w:line="560" w:lineRule="exact"/>
        <w:ind w:firstLine="640" w:firstLineChars="200"/>
        <w:rPr>
          <w:rFonts w:hint="eastAsia"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rPr>
        <w:t>指标1：支持民贸民品企业数量，指标值：=8家，实际完成值：8家，指标完成率</w:t>
      </w:r>
      <w:r>
        <w:rPr>
          <w:rFonts w:hint="eastAsia" w:ascii="Times New Roman" w:hAnsi="Times New Roman"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eastAsia" w:ascii="Times New Roman" w:hAnsi="Times New Roman" w:eastAsia="仿宋_GB2312" w:cs="Times New Roman"/>
          <w:sz w:val="32"/>
          <w:szCs w:val="32"/>
          <w:highlight w:val="none"/>
          <w:lang w:eastAsia="zh-CN"/>
        </w:rPr>
        <w:t>。</w:t>
      </w:r>
    </w:p>
    <w:p w14:paraId="22C3B3CF">
      <w:pPr>
        <w:pStyle w:val="10"/>
        <w:numPr>
          <w:ilvl w:val="0"/>
          <w:numId w:val="0"/>
        </w:numPr>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 2 \* GB3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sz w:val="32"/>
          <w:szCs w:val="32"/>
          <w:highlight w:val="none"/>
        </w:rPr>
        <w:t>②</w:t>
      </w:r>
      <w:r>
        <w:rPr>
          <w:rFonts w:hint="default" w:ascii="Times New Roman" w:hAnsi="Times New Roman" w:eastAsia="仿宋_GB2312" w:cs="Times New Roman"/>
          <w:sz w:val="32"/>
          <w:szCs w:val="32"/>
          <w:highlight w:val="none"/>
        </w:rPr>
        <w:fldChar w:fldCharType="end"/>
      </w:r>
      <w:r>
        <w:rPr>
          <w:rFonts w:hint="default" w:ascii="Times New Roman" w:hAnsi="Times New Roman" w:eastAsia="仿宋_GB2312" w:cs="Times New Roman"/>
          <w:sz w:val="32"/>
          <w:szCs w:val="32"/>
          <w:highlight w:val="none"/>
        </w:rPr>
        <w:t>质量指标：</w:t>
      </w:r>
    </w:p>
    <w:p w14:paraId="1D5ECA9B">
      <w:pPr>
        <w:pStyle w:val="10"/>
        <w:numPr>
          <w:ilvl w:val="0"/>
          <w:numId w:val="0"/>
        </w:numPr>
        <w:spacing w:line="560" w:lineRule="exact"/>
        <w:ind w:firstLine="640" w:firstLineChars="200"/>
        <w:rPr>
          <w:rFonts w:hint="eastAsia"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rPr>
        <w:t>指标1：贴息资金管理规范率</w:t>
      </w:r>
      <w:r>
        <w:rPr>
          <w:rFonts w:hint="eastAsia"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指标值：=100%，实际完成值：100%，指标完成率</w:t>
      </w:r>
      <w:r>
        <w:rPr>
          <w:rFonts w:hint="eastAsia" w:ascii="Times New Roman" w:hAnsi="Times New Roman"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eastAsia" w:ascii="Times New Roman" w:hAnsi="Times New Roman" w:eastAsia="仿宋_GB2312" w:cs="Times New Roman"/>
          <w:sz w:val="32"/>
          <w:szCs w:val="32"/>
          <w:highlight w:val="none"/>
          <w:lang w:eastAsia="zh-CN"/>
        </w:rPr>
        <w:t>。</w:t>
      </w:r>
    </w:p>
    <w:p w14:paraId="4415FDA8">
      <w:pPr>
        <w:pStyle w:val="10"/>
        <w:numPr>
          <w:ilvl w:val="0"/>
          <w:numId w:val="0"/>
        </w:numPr>
        <w:spacing w:line="560" w:lineRule="exact"/>
        <w:ind w:firstLine="640" w:firstLineChars="200"/>
        <w:rPr>
          <w:rFonts w:hint="eastAsia"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rPr>
        <w:t>指标</w:t>
      </w:r>
      <w:r>
        <w:rPr>
          <w:rFonts w:hint="eastAsia" w:ascii="Times New Roman" w:hAnsi="Times New Roman" w:eastAsia="仿宋_GB2312" w:cs="Times New Roman"/>
          <w:sz w:val="32"/>
          <w:szCs w:val="32"/>
          <w:highlight w:val="none"/>
          <w:lang w:val="en-US" w:eastAsia="zh-CN"/>
        </w:rPr>
        <w:t>2</w:t>
      </w:r>
      <w:r>
        <w:rPr>
          <w:rFonts w:hint="default" w:ascii="Times New Roman" w:hAnsi="Times New Roman" w:eastAsia="仿宋_GB2312" w:cs="Times New Roman"/>
          <w:sz w:val="32"/>
          <w:szCs w:val="32"/>
          <w:highlight w:val="none"/>
        </w:rPr>
        <w:t>：贴息足额支付率</w:t>
      </w:r>
      <w:r>
        <w:rPr>
          <w:rFonts w:hint="eastAsia"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指标值：=100%，实际完成值：100%，指标完成率</w:t>
      </w:r>
      <w:r>
        <w:rPr>
          <w:rFonts w:hint="eastAsia" w:ascii="Times New Roman" w:hAnsi="Times New Roman"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eastAsia" w:ascii="Times New Roman" w:hAnsi="Times New Roman" w:eastAsia="仿宋_GB2312" w:cs="Times New Roman"/>
          <w:sz w:val="32"/>
          <w:szCs w:val="32"/>
          <w:highlight w:val="none"/>
          <w:lang w:eastAsia="zh-CN"/>
        </w:rPr>
        <w:t>。</w:t>
      </w:r>
    </w:p>
    <w:p w14:paraId="2553FEC1">
      <w:pPr>
        <w:pStyle w:val="10"/>
        <w:numPr>
          <w:ilvl w:val="0"/>
          <w:numId w:val="0"/>
        </w:numPr>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 3 \* GB3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sz w:val="32"/>
          <w:szCs w:val="32"/>
          <w:highlight w:val="none"/>
        </w:rPr>
        <w:t>③</w:t>
      </w:r>
      <w:r>
        <w:rPr>
          <w:rFonts w:hint="default" w:ascii="Times New Roman" w:hAnsi="Times New Roman" w:eastAsia="仿宋_GB2312" w:cs="Times New Roman"/>
          <w:sz w:val="32"/>
          <w:szCs w:val="32"/>
          <w:highlight w:val="none"/>
        </w:rPr>
        <w:fldChar w:fldCharType="end"/>
      </w:r>
      <w:r>
        <w:rPr>
          <w:rFonts w:hint="default" w:ascii="Times New Roman" w:hAnsi="Times New Roman" w:eastAsia="仿宋_GB2312" w:cs="Times New Roman"/>
          <w:sz w:val="32"/>
          <w:szCs w:val="32"/>
          <w:highlight w:val="none"/>
        </w:rPr>
        <w:t>时效指标：</w:t>
      </w:r>
    </w:p>
    <w:p w14:paraId="74270212">
      <w:pPr>
        <w:pStyle w:val="10"/>
        <w:numPr>
          <w:ilvl w:val="0"/>
          <w:numId w:val="0"/>
        </w:numPr>
        <w:spacing w:line="560" w:lineRule="exact"/>
        <w:ind w:firstLine="640" w:firstLineChars="200"/>
        <w:rPr>
          <w:rFonts w:hint="eastAsia"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rPr>
        <w:t>指标1：上级资金支付及时率</w:t>
      </w:r>
      <w:r>
        <w:rPr>
          <w:rFonts w:hint="eastAsia"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指标值：=100%，实际完成值：100%，指标完成率</w:t>
      </w:r>
      <w:r>
        <w:rPr>
          <w:rFonts w:hint="eastAsia" w:ascii="Times New Roman" w:hAnsi="Times New Roman"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eastAsia" w:ascii="Times New Roman" w:hAnsi="Times New Roman" w:eastAsia="仿宋_GB2312" w:cs="Times New Roman"/>
          <w:sz w:val="32"/>
          <w:szCs w:val="32"/>
          <w:highlight w:val="none"/>
          <w:lang w:eastAsia="zh-CN"/>
        </w:rPr>
        <w:t>。</w:t>
      </w:r>
    </w:p>
    <w:p w14:paraId="673D73A7">
      <w:pPr>
        <w:pStyle w:val="10"/>
        <w:numPr>
          <w:ilvl w:val="0"/>
          <w:numId w:val="0"/>
        </w:numPr>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 4 \* GB3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sz w:val="32"/>
          <w:szCs w:val="32"/>
          <w:highlight w:val="none"/>
        </w:rPr>
        <w:t>④</w:t>
      </w:r>
      <w:r>
        <w:rPr>
          <w:rFonts w:hint="default" w:ascii="Times New Roman" w:hAnsi="Times New Roman" w:eastAsia="仿宋_GB2312" w:cs="Times New Roman"/>
          <w:sz w:val="32"/>
          <w:szCs w:val="32"/>
          <w:highlight w:val="none"/>
        </w:rPr>
        <w:fldChar w:fldCharType="end"/>
      </w:r>
      <w:r>
        <w:rPr>
          <w:rFonts w:hint="default" w:ascii="Times New Roman" w:hAnsi="Times New Roman" w:eastAsia="仿宋_GB2312" w:cs="Times New Roman"/>
          <w:sz w:val="32"/>
          <w:szCs w:val="32"/>
          <w:highlight w:val="none"/>
        </w:rPr>
        <w:t>成本指标：</w:t>
      </w:r>
    </w:p>
    <w:p w14:paraId="64397314">
      <w:pPr>
        <w:pStyle w:val="10"/>
        <w:numPr>
          <w:ilvl w:val="0"/>
          <w:numId w:val="0"/>
        </w:numPr>
        <w:spacing w:line="560" w:lineRule="exact"/>
        <w:ind w:firstLine="640" w:firstLineChars="200"/>
        <w:rPr>
          <w:rFonts w:hint="default" w:ascii="Times New Roman" w:hAnsi="Times New Roman" w:eastAsia="楷体_GB2312" w:cs="Times New Roman"/>
          <w:b/>
          <w:bCs/>
          <w:sz w:val="32"/>
          <w:szCs w:val="32"/>
          <w:lang w:val="en-US" w:eastAsia="zh-CN"/>
        </w:rPr>
      </w:pPr>
      <w:r>
        <w:rPr>
          <w:rFonts w:hint="default" w:ascii="Times New Roman" w:hAnsi="Times New Roman" w:eastAsia="仿宋_GB2312" w:cs="Times New Roman"/>
          <w:sz w:val="32"/>
          <w:szCs w:val="32"/>
          <w:highlight w:val="none"/>
        </w:rPr>
        <w:t>指标1：补齐2023年贷款贴息补贴标准</w:t>
      </w:r>
      <w:r>
        <w:rPr>
          <w:rFonts w:hint="eastAsia"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指标值：=24.09万元/家，实际完成值：24.09万元/家，指标完成率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eastAsia="zh-CN"/>
        </w:rPr>
        <w:t>。</w:t>
      </w:r>
    </w:p>
    <w:p w14:paraId="1A77DD47">
      <w:pPr>
        <w:pStyle w:val="10"/>
        <w:numPr>
          <w:ilvl w:val="0"/>
          <w:numId w:val="5"/>
        </w:numPr>
        <w:spacing w:line="560" w:lineRule="exact"/>
        <w:ind w:firstLine="643"/>
        <w:rPr>
          <w:rFonts w:hint="default" w:ascii="Times New Roman" w:hAnsi="Times New Roman" w:eastAsia="楷体_GB2312" w:cs="Times New Roman"/>
          <w:b/>
          <w:bCs/>
          <w:sz w:val="32"/>
          <w:szCs w:val="32"/>
          <w:lang w:val="en-US" w:eastAsia="zh-CN"/>
        </w:rPr>
      </w:pPr>
      <w:r>
        <w:rPr>
          <w:rFonts w:hint="default" w:ascii="Times New Roman" w:hAnsi="Times New Roman" w:eastAsia="楷体_GB2312" w:cs="Times New Roman"/>
          <w:b/>
          <w:bCs/>
          <w:sz w:val="32"/>
          <w:szCs w:val="32"/>
          <w:lang w:val="en-US" w:eastAsia="zh-CN"/>
        </w:rPr>
        <w:t>项目效益情况</w:t>
      </w:r>
    </w:p>
    <w:p w14:paraId="3055D466">
      <w:pPr>
        <w:keepNext w:val="0"/>
        <w:keepLines w:val="0"/>
        <w:pageBreakBefore w:val="0"/>
        <w:widowControl w:val="0"/>
        <w:shd w:val="clear" w:color="auto" w:fill="auto"/>
        <w:kinsoku/>
        <w:wordWrap/>
        <w:overflowPunct/>
        <w:topLinePunct w:val="0"/>
        <w:autoSpaceDE/>
        <w:autoSpaceDN/>
        <w:bidi w:val="0"/>
        <w:adjustRightInd/>
        <w:snapToGrid/>
        <w:spacing w:line="600" w:lineRule="exact"/>
        <w:ind w:firstLine="640" w:firstLineChars="200"/>
        <w:textAlignment w:val="auto"/>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项目效益类指标包括项目实施效益和满意度两方面的内容，由</w:t>
      </w:r>
      <w:r>
        <w:rPr>
          <w:rFonts w:hint="eastAsia" w:ascii="Times New Roman" w:hAnsi="Times New Roman" w:eastAsia="仿宋_GB2312" w:cs="Times New Roman"/>
          <w:sz w:val="32"/>
          <w:szCs w:val="32"/>
          <w:highlight w:val="none"/>
          <w:lang w:val="en-US" w:eastAsia="zh-CN"/>
        </w:rPr>
        <w:t>2</w:t>
      </w:r>
      <w:r>
        <w:rPr>
          <w:rFonts w:hint="default" w:ascii="Times New Roman" w:hAnsi="Times New Roman" w:eastAsia="仿宋_GB2312" w:cs="Times New Roman"/>
          <w:sz w:val="32"/>
          <w:szCs w:val="32"/>
          <w:highlight w:val="none"/>
          <w:lang w:val="en-US" w:eastAsia="zh-CN"/>
        </w:rPr>
        <w:t>个三级指标构成，权重分为20分，实际得分</w:t>
      </w:r>
      <w:r>
        <w:rPr>
          <w:rFonts w:hint="eastAsia" w:ascii="Times New Roman" w:hAnsi="Times New Roman" w:eastAsia="仿宋_GB2312" w:cs="Times New Roman"/>
          <w:sz w:val="32"/>
          <w:szCs w:val="32"/>
          <w:highlight w:val="none"/>
          <w:lang w:val="en-US" w:eastAsia="zh-CN"/>
        </w:rPr>
        <w:t>20</w:t>
      </w:r>
      <w:r>
        <w:rPr>
          <w:rFonts w:hint="default" w:ascii="Times New Roman" w:hAnsi="Times New Roman" w:eastAsia="仿宋_GB2312" w:cs="Times New Roman"/>
          <w:sz w:val="32"/>
          <w:szCs w:val="32"/>
          <w:highlight w:val="none"/>
          <w:lang w:val="en-US" w:eastAsia="zh-CN"/>
        </w:rPr>
        <w:t>分，得分率为</w:t>
      </w:r>
      <w:r>
        <w:rPr>
          <w:rFonts w:hint="eastAsia" w:ascii="Times New Roman" w:hAnsi="Times New Roman"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%。具体效益指标及满意度指标完成情况如下：</w:t>
      </w:r>
    </w:p>
    <w:p w14:paraId="45476A72">
      <w:pPr>
        <w:keepNext w:val="0"/>
        <w:keepLines w:val="0"/>
        <w:pageBreakBefore w:val="0"/>
        <w:widowControl w:val="0"/>
        <w:shd w:val="clear" w:color="auto" w:fill="auto"/>
        <w:kinsoku/>
        <w:wordWrap/>
        <w:overflowPunct/>
        <w:topLinePunct w:val="0"/>
        <w:autoSpaceDE/>
        <w:autoSpaceDN/>
        <w:bidi w:val="0"/>
        <w:adjustRightInd/>
        <w:snapToGrid/>
        <w:spacing w:line="600" w:lineRule="exact"/>
        <w:ind w:firstLine="640" w:firstLineChars="200"/>
        <w:textAlignment w:val="auto"/>
        <w:outlineLvl w:val="0"/>
        <w:rPr>
          <w:rFonts w:hint="default" w:ascii="Times New Roman" w:hAnsi="Times New Roman" w:eastAsia="仿宋_GB2312" w:cs="Times New Roman"/>
          <w:sz w:val="32"/>
          <w:szCs w:val="32"/>
          <w:highlight w:val="none"/>
          <w:lang w:val="en-US" w:eastAsia="zh-CN"/>
        </w:rPr>
      </w:pPr>
      <w:r>
        <w:rPr>
          <w:rFonts w:hint="eastAsia" w:ascii="Times New Roman" w:hAnsi="Times New Roman" w:eastAsia="仿宋_GB2312" w:cs="Times New Roman"/>
          <w:sz w:val="32"/>
          <w:szCs w:val="32"/>
          <w:highlight w:val="none"/>
          <w:lang w:val="en-US" w:eastAsia="zh-CN"/>
        </w:rPr>
        <w:t>1.</w:t>
      </w:r>
      <w:r>
        <w:rPr>
          <w:rFonts w:hint="default" w:ascii="Times New Roman" w:hAnsi="Times New Roman" w:eastAsia="仿宋_GB2312" w:cs="Times New Roman"/>
          <w:sz w:val="32"/>
          <w:szCs w:val="32"/>
          <w:highlight w:val="none"/>
          <w:lang w:val="en-US" w:eastAsia="zh-CN"/>
        </w:rPr>
        <w:t>实施效益</w:t>
      </w:r>
    </w:p>
    <w:p w14:paraId="4DF0BA0D">
      <w:pPr>
        <w:keepNext w:val="0"/>
        <w:keepLines w:val="0"/>
        <w:pageBreakBefore w:val="0"/>
        <w:widowControl w:val="0"/>
        <w:shd w:val="clear" w:color="auto" w:fill="auto"/>
        <w:kinsoku/>
        <w:wordWrap/>
        <w:overflowPunct/>
        <w:topLinePunct w:val="0"/>
        <w:autoSpaceDE/>
        <w:autoSpaceDN/>
        <w:bidi w:val="0"/>
        <w:adjustRightInd/>
        <w:snapToGrid/>
        <w:spacing w:line="600" w:lineRule="exact"/>
        <w:ind w:firstLine="640" w:firstLineChars="200"/>
        <w:textAlignment w:val="auto"/>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①</w:t>
      </w:r>
      <w:r>
        <w:rPr>
          <w:rFonts w:hint="default" w:ascii="Times New Roman" w:hAnsi="Times New Roman" w:eastAsia="仿宋_GB2312" w:cs="Times New Roman"/>
          <w:sz w:val="32"/>
          <w:szCs w:val="32"/>
          <w:highlight w:val="none"/>
        </w:rPr>
        <w:t>社会效益指标：</w:t>
      </w:r>
    </w:p>
    <w:p w14:paraId="121523DD">
      <w:pPr>
        <w:keepNext w:val="0"/>
        <w:keepLines w:val="0"/>
        <w:pageBreakBefore w:val="0"/>
        <w:widowControl w:val="0"/>
        <w:shd w:val="clear" w:color="auto" w:fill="auto"/>
        <w:kinsoku/>
        <w:wordWrap/>
        <w:overflowPunct/>
        <w:topLinePunct w:val="0"/>
        <w:autoSpaceDE/>
        <w:autoSpaceDN/>
        <w:bidi w:val="0"/>
        <w:adjustRightInd/>
        <w:snapToGrid/>
        <w:spacing w:line="600" w:lineRule="exact"/>
        <w:ind w:firstLine="640" w:firstLineChars="200"/>
        <w:textAlignment w:val="auto"/>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rPr>
        <w:t>指标1：促进相关企业健康发展</w:t>
      </w:r>
      <w:r>
        <w:rPr>
          <w:rFonts w:hint="eastAsia"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指标值：有效促进，实际完成值：</w:t>
      </w:r>
      <w:r>
        <w:rPr>
          <w:rFonts w:hint="eastAsia" w:eastAsia="仿宋_GB2312" w:cs="Times New Roman"/>
          <w:sz w:val="32"/>
          <w:szCs w:val="32"/>
          <w:highlight w:val="none"/>
          <w:lang w:val="en-US" w:eastAsia="zh-CN"/>
        </w:rPr>
        <w:t>效果显著</w:t>
      </w:r>
      <w:r>
        <w:rPr>
          <w:rFonts w:hint="default" w:ascii="Times New Roman" w:hAnsi="Times New Roman" w:eastAsia="仿宋_GB2312" w:cs="Times New Roman"/>
          <w:sz w:val="32"/>
          <w:szCs w:val="32"/>
          <w:highlight w:val="none"/>
        </w:rPr>
        <w:t>，指标完成率</w:t>
      </w:r>
      <w:r>
        <w:rPr>
          <w:rFonts w:hint="eastAsia" w:ascii="Times New Roman" w:hAnsi="Times New Roman"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eastAsia" w:ascii="Times New Roman" w:hAnsi="Times New Roman" w:eastAsia="仿宋_GB2312" w:cs="Times New Roman"/>
          <w:sz w:val="32"/>
          <w:szCs w:val="32"/>
          <w:highlight w:val="none"/>
          <w:lang w:eastAsia="zh-CN"/>
        </w:rPr>
        <w:t>。</w:t>
      </w:r>
    </w:p>
    <w:p w14:paraId="0310D01C">
      <w:pPr>
        <w:keepNext w:val="0"/>
        <w:keepLines w:val="0"/>
        <w:pageBreakBefore w:val="0"/>
        <w:widowControl w:val="0"/>
        <w:shd w:val="clear" w:color="auto" w:fill="auto"/>
        <w:kinsoku/>
        <w:wordWrap/>
        <w:overflowPunct/>
        <w:topLinePunct w:val="0"/>
        <w:autoSpaceDE/>
        <w:autoSpaceDN/>
        <w:bidi w:val="0"/>
        <w:adjustRightInd/>
        <w:snapToGrid/>
        <w:spacing w:line="600" w:lineRule="exact"/>
        <w:ind w:firstLine="640" w:firstLineChars="200"/>
        <w:textAlignment w:val="auto"/>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2.满意度</w:t>
      </w:r>
    </w:p>
    <w:p w14:paraId="0F9CD9ED">
      <w:pPr>
        <w:keepNext w:val="0"/>
        <w:keepLines w:val="0"/>
        <w:pageBreakBefore w:val="0"/>
        <w:widowControl w:val="0"/>
        <w:shd w:val="clear" w:color="auto" w:fill="auto"/>
        <w:kinsoku/>
        <w:wordWrap/>
        <w:overflowPunct/>
        <w:topLinePunct w:val="0"/>
        <w:autoSpaceDE/>
        <w:autoSpaceDN/>
        <w:bidi w:val="0"/>
        <w:adjustRightInd/>
        <w:snapToGrid/>
        <w:spacing w:line="600" w:lineRule="exact"/>
        <w:ind w:firstLine="640" w:firstLineChars="200"/>
        <w:textAlignment w:val="auto"/>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rPr>
        <w:t>指标1：申报贴息资金企业满意度</w:t>
      </w:r>
      <w:r>
        <w:rPr>
          <w:rFonts w:hint="eastAsia"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指标值：＞=95%，实际完成值：95%，指标完成率</w:t>
      </w:r>
      <w:r>
        <w:rPr>
          <w:rFonts w:hint="eastAsia" w:ascii="Times New Roman" w:hAnsi="Times New Roman"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eastAsia" w:ascii="Times New Roman" w:hAnsi="Times New Roman" w:eastAsia="仿宋_GB2312" w:cs="Times New Roman"/>
          <w:sz w:val="32"/>
          <w:szCs w:val="32"/>
          <w:highlight w:val="none"/>
          <w:lang w:eastAsia="zh-CN"/>
        </w:rPr>
        <w:t>。</w:t>
      </w:r>
    </w:p>
    <w:p w14:paraId="4CB8B3CF">
      <w:pPr>
        <w:spacing w:line="560" w:lineRule="exact"/>
        <w:ind w:firstLine="643" w:firstLineChars="200"/>
        <w:rPr>
          <w:rFonts w:hint="default" w:ascii="Times New Roman" w:hAnsi="Times New Roman" w:eastAsia="方正仿宋_GBK" w:cs="Times New Roman"/>
          <w:sz w:val="32"/>
          <w:szCs w:val="32"/>
          <w:highlight w:val="yellow"/>
        </w:rPr>
      </w:pPr>
      <w:r>
        <w:rPr>
          <w:rFonts w:hint="default" w:ascii="Times New Roman" w:hAnsi="Times New Roman" w:eastAsia="楷体_GB2312" w:cs="Times New Roman"/>
          <w:b/>
          <w:bCs/>
          <w:sz w:val="32"/>
          <w:szCs w:val="32"/>
          <w:lang w:val="en-US" w:eastAsia="zh-CN"/>
        </w:rPr>
        <w:t>（五）</w:t>
      </w:r>
      <w:r>
        <w:rPr>
          <w:rFonts w:hint="default" w:ascii="Times New Roman" w:hAnsi="Times New Roman" w:eastAsia="楷体_GB2312" w:cs="Times New Roman"/>
          <w:b/>
          <w:bCs/>
          <w:sz w:val="32"/>
          <w:szCs w:val="32"/>
          <w:lang w:val="en-US"/>
        </w:rPr>
        <w:t>预算执行进度与绩效指标总体完成率偏差</w:t>
      </w:r>
      <w:r>
        <w:rPr>
          <w:rFonts w:ascii="宋体" w:hAnsi="宋体" w:eastAsia="宋体" w:cs="宋体"/>
          <w:sz w:val="24"/>
          <w:szCs w:val="24"/>
        </w:rPr>
        <w:br w:type="textWrapping"/>
      </w:r>
      <w:r>
        <w:rPr>
          <w:rFonts w:hint="eastAsia" w:ascii="Times New Roman" w:hAnsi="Times New Roman" w:eastAsia="仿宋_GB2312" w:cs="Times New Roman"/>
          <w:sz w:val="32"/>
          <w:szCs w:val="32"/>
          <w:highlight w:val="none"/>
        </w:rPr>
        <w:t>2023年民贸民品企业贴息</w:t>
      </w:r>
      <w:r>
        <w:rPr>
          <w:rFonts w:hint="default" w:ascii="Times New Roman" w:hAnsi="Times New Roman" w:eastAsia="仿宋_GB2312" w:cs="Times New Roman"/>
          <w:sz w:val="32"/>
          <w:szCs w:val="32"/>
          <w:highlight w:val="none"/>
        </w:rPr>
        <w:t>项目年初预算</w:t>
      </w:r>
      <w:r>
        <w:rPr>
          <w:rFonts w:hint="eastAsia" w:ascii="Times New Roman" w:hAnsi="Times New Roman" w:eastAsia="仿宋_GB2312" w:cs="Times New Roman"/>
          <w:sz w:val="32"/>
          <w:szCs w:val="32"/>
          <w:highlight w:val="none"/>
          <w:lang w:val="en-US" w:eastAsia="zh-CN"/>
        </w:rPr>
        <w:t>192.72</w:t>
      </w:r>
      <w:r>
        <w:rPr>
          <w:rFonts w:hint="default" w:ascii="Times New Roman" w:hAnsi="Times New Roman" w:eastAsia="仿宋_GB2312" w:cs="Times New Roman"/>
          <w:sz w:val="32"/>
          <w:szCs w:val="32"/>
          <w:highlight w:val="none"/>
        </w:rPr>
        <w:t>万元，全年预算</w:t>
      </w:r>
      <w:r>
        <w:rPr>
          <w:rFonts w:hint="eastAsia" w:ascii="Times New Roman" w:hAnsi="Times New Roman" w:eastAsia="仿宋_GB2312" w:cs="Times New Roman"/>
          <w:sz w:val="32"/>
          <w:szCs w:val="32"/>
          <w:highlight w:val="none"/>
          <w:lang w:val="en-US" w:eastAsia="zh-CN"/>
        </w:rPr>
        <w:t>192.72</w:t>
      </w:r>
      <w:r>
        <w:rPr>
          <w:rFonts w:hint="default" w:ascii="Times New Roman" w:hAnsi="Times New Roman" w:eastAsia="仿宋_GB2312" w:cs="Times New Roman"/>
          <w:sz w:val="32"/>
          <w:szCs w:val="32"/>
          <w:highlight w:val="none"/>
        </w:rPr>
        <w:t>万元，实际支出</w:t>
      </w:r>
      <w:r>
        <w:rPr>
          <w:rFonts w:hint="eastAsia" w:ascii="Times New Roman" w:hAnsi="Times New Roman" w:eastAsia="仿宋_GB2312" w:cs="Times New Roman"/>
          <w:sz w:val="32"/>
          <w:szCs w:val="32"/>
          <w:highlight w:val="none"/>
          <w:lang w:val="en-US" w:eastAsia="zh-CN"/>
        </w:rPr>
        <w:t>192.72</w:t>
      </w:r>
      <w:r>
        <w:rPr>
          <w:rFonts w:hint="default" w:ascii="Times New Roman" w:hAnsi="Times New Roman" w:eastAsia="仿宋_GB2312" w:cs="Times New Roman"/>
          <w:sz w:val="32"/>
          <w:szCs w:val="32"/>
          <w:highlight w:val="none"/>
        </w:rPr>
        <w:t>万元，预算执行率为</w:t>
      </w:r>
      <w:r>
        <w:rPr>
          <w:rFonts w:hint="eastAsia" w:ascii="Times New Roman" w:hAnsi="Times New Roman"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%，项目绩效指标总体完成率为</w:t>
      </w:r>
      <w:r>
        <w:rPr>
          <w:rFonts w:hint="eastAsia" w:ascii="Times New Roman" w:hAnsi="Times New Roman"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%，总体偏差率为</w:t>
      </w:r>
      <w:r>
        <w:rPr>
          <w:rFonts w:hint="eastAsia" w:ascii="Times New Roman" w:hAnsi="Times New Roman" w:eastAsia="仿宋_GB2312" w:cs="Times New Roman"/>
          <w:sz w:val="32"/>
          <w:szCs w:val="32"/>
          <w:highlight w:val="none"/>
          <w:lang w:val="en-US" w:eastAsia="zh-CN"/>
        </w:rPr>
        <w:t>0</w:t>
      </w:r>
      <w:r>
        <w:rPr>
          <w:rFonts w:hint="default" w:ascii="Times New Roman" w:hAnsi="Times New Roman" w:eastAsia="仿宋_GB2312" w:cs="Times New Roman"/>
          <w:sz w:val="32"/>
          <w:szCs w:val="32"/>
          <w:highlight w:val="none"/>
        </w:rPr>
        <w:t>%。</w:t>
      </w:r>
    </w:p>
    <w:p w14:paraId="7C8FDAF1">
      <w:pPr>
        <w:spacing w:line="560" w:lineRule="exact"/>
        <w:ind w:firstLine="640" w:firstLineChars="200"/>
        <w:rPr>
          <w:rStyle w:val="19"/>
          <w:rFonts w:hint="default" w:ascii="Times New Roman" w:hAnsi="Times New Roman" w:cs="Times New Roman"/>
          <w:color w:val="auto"/>
        </w:rPr>
      </w:pPr>
      <w:r>
        <w:rPr>
          <w:rFonts w:hint="eastAsia" w:eastAsia="黑体" w:cs="Times New Roman"/>
          <w:sz w:val="32"/>
          <w:szCs w:val="32"/>
          <w:lang w:val="en-US" w:eastAsia="zh-CN"/>
        </w:rPr>
        <w:t>五</w:t>
      </w:r>
      <w:r>
        <w:rPr>
          <w:rFonts w:hint="default" w:ascii="Times New Roman" w:hAnsi="Times New Roman" w:eastAsia="仿宋_GB2312" w:cs="Times New Roman"/>
          <w:b/>
          <w:bCs/>
          <w:sz w:val="32"/>
          <w:szCs w:val="32"/>
          <w:lang w:val="en-US" w:eastAsia="zh-CN"/>
        </w:rPr>
        <w:t>.</w:t>
      </w:r>
      <w:r>
        <w:rPr>
          <w:rFonts w:hint="default" w:ascii="Times New Roman" w:hAnsi="Times New Roman" w:eastAsia="黑体" w:cs="Times New Roman"/>
          <w:sz w:val="32"/>
          <w:szCs w:val="32"/>
        </w:rPr>
        <w:t>主要经验及做法、存在的问题及原因分析</w:t>
      </w:r>
    </w:p>
    <w:p w14:paraId="16FB725E">
      <w:pPr>
        <w:spacing w:line="560" w:lineRule="exact"/>
        <w:ind w:firstLine="627" w:firstLineChars="200"/>
        <w:rPr>
          <w:rFonts w:hint="default" w:ascii="Times New Roman" w:hAnsi="Times New Roman" w:eastAsia="楷体" w:cs="Times New Roman"/>
          <w:b/>
          <w:spacing w:val="-4"/>
          <w:sz w:val="32"/>
          <w:szCs w:val="32"/>
          <w:highlight w:val="none"/>
        </w:rPr>
      </w:pPr>
      <w:r>
        <w:rPr>
          <w:rFonts w:hint="default" w:ascii="Times New Roman" w:hAnsi="Times New Roman" w:eastAsia="楷体" w:cs="Times New Roman"/>
          <w:b/>
          <w:spacing w:val="-4"/>
          <w:sz w:val="32"/>
          <w:szCs w:val="32"/>
          <w:highlight w:val="none"/>
        </w:rPr>
        <w:t>（一）主要经验及做法</w:t>
      </w:r>
    </w:p>
    <w:p w14:paraId="0929C256">
      <w:pP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为确保项目顺利进行，提前做好</w:t>
      </w:r>
      <w:r>
        <w:rPr>
          <w:rFonts w:hint="eastAsia" w:eastAsia="仿宋_GB2312" w:cs="Times New Roman"/>
          <w:sz w:val="32"/>
          <w:szCs w:val="32"/>
          <w:lang w:val="en-US" w:eastAsia="zh-CN"/>
        </w:rPr>
        <w:t>企业规模、行业特点摸排，</w:t>
      </w:r>
      <w:r>
        <w:rPr>
          <w:rFonts w:hint="default" w:ascii="Times New Roman" w:hAnsi="Times New Roman" w:eastAsia="仿宋_GB2312" w:cs="Times New Roman"/>
          <w:sz w:val="32"/>
          <w:szCs w:val="32"/>
        </w:rPr>
        <w:t>将</w:t>
      </w:r>
      <w:r>
        <w:rPr>
          <w:rFonts w:hint="eastAsia" w:eastAsia="仿宋_GB2312" w:cs="Times New Roman"/>
          <w:sz w:val="32"/>
          <w:szCs w:val="32"/>
          <w:lang w:val="en-US" w:eastAsia="zh-CN"/>
        </w:rPr>
        <w:t>符合政策的企业进行审核</w:t>
      </w:r>
      <w:r>
        <w:rPr>
          <w:rFonts w:hint="default" w:ascii="Times New Roman" w:hAnsi="Times New Roman" w:eastAsia="仿宋_GB2312" w:cs="Times New Roman"/>
          <w:sz w:val="32"/>
          <w:szCs w:val="32"/>
        </w:rPr>
        <w:t>。在项目实施过程中做好定期监督检查，严格按照项目管理规范进行，在项目资金使用过程中，严格落实把关，按照项目资金使用范围做好审核工作，让项目资金落于实处。在项目完成后，做好</w:t>
      </w:r>
      <w:r>
        <w:rPr>
          <w:rFonts w:hint="eastAsia" w:eastAsia="仿宋_GB2312" w:cs="Times New Roman"/>
          <w:sz w:val="32"/>
          <w:szCs w:val="32"/>
          <w:lang w:val="en-US" w:eastAsia="zh-CN"/>
        </w:rPr>
        <w:t>民营企业满意度</w:t>
      </w:r>
      <w:r>
        <w:rPr>
          <w:rFonts w:hint="default" w:ascii="Times New Roman" w:hAnsi="Times New Roman" w:eastAsia="仿宋_GB2312" w:cs="Times New Roman"/>
          <w:sz w:val="32"/>
          <w:szCs w:val="32"/>
        </w:rPr>
        <w:t>调查工作。</w:t>
      </w:r>
    </w:p>
    <w:p w14:paraId="0B293157">
      <w:pPr>
        <w:pStyle w:val="2"/>
        <w:spacing w:before="0" w:after="0" w:line="560" w:lineRule="exact"/>
        <w:ind w:firstLine="640" w:firstLineChars="200"/>
        <w:jc w:val="left"/>
        <w:rPr>
          <w:rFonts w:hint="eastAsia" w:ascii="Times New Roman" w:hAnsi="Times New Roman" w:eastAsia="仿宋_GB2312" w:cs="Times New Roman"/>
          <w:b w:val="0"/>
          <w:bCs w:val="0"/>
          <w:kern w:val="2"/>
          <w:lang w:eastAsia="zh-CN"/>
        </w:rPr>
      </w:pPr>
      <w:r>
        <w:rPr>
          <w:rFonts w:hint="default" w:ascii="Times New Roman" w:hAnsi="Times New Roman" w:eastAsia="仿宋_GB2312" w:cs="Times New Roman"/>
          <w:b w:val="0"/>
          <w:bCs w:val="0"/>
          <w:kern w:val="2"/>
          <w:highlight w:val="none"/>
        </w:rPr>
        <w:t>严格坚持</w:t>
      </w:r>
      <w:r>
        <w:rPr>
          <w:rFonts w:hint="eastAsia" w:ascii="Times New Roman" w:hAnsi="Times New Roman" w:eastAsia="仿宋_GB2312" w:cs="Times New Roman"/>
          <w:b w:val="0"/>
          <w:bCs w:val="0"/>
          <w:kern w:val="2"/>
          <w:highlight w:val="none"/>
          <w:lang w:val="en-US" w:eastAsia="zh-CN"/>
        </w:rPr>
        <w:t>以民营企业为主的工作态度，根据民贸民品企业及产业目录实地走访摸排本地企业，</w:t>
      </w:r>
      <w:r>
        <w:rPr>
          <w:rFonts w:hint="eastAsia" w:ascii="Times New Roman" w:hAnsi="Times New Roman" w:eastAsia="仿宋_GB2312" w:cs="Times New Roman"/>
          <w:b w:val="0"/>
          <w:bCs w:val="0"/>
          <w:kern w:val="2"/>
          <w:highlight w:val="none"/>
          <w:lang w:eastAsia="zh-CN"/>
        </w:rPr>
        <w:t>杜绝</w:t>
      </w:r>
      <w:r>
        <w:rPr>
          <w:rFonts w:hint="eastAsia" w:ascii="Times New Roman" w:hAnsi="Times New Roman" w:eastAsia="仿宋_GB2312" w:cs="Times New Roman"/>
          <w:b w:val="0"/>
          <w:bCs w:val="0"/>
          <w:kern w:val="2"/>
          <w:highlight w:val="none"/>
          <w:lang w:val="en-US" w:eastAsia="zh-CN"/>
        </w:rPr>
        <w:t>错报漏报民营企业</w:t>
      </w:r>
      <w:r>
        <w:rPr>
          <w:rFonts w:hint="default" w:ascii="Times New Roman" w:hAnsi="Times New Roman" w:eastAsia="仿宋_GB2312" w:cs="Times New Roman"/>
          <w:b w:val="0"/>
          <w:bCs w:val="0"/>
          <w:kern w:val="2"/>
          <w:highlight w:val="none"/>
        </w:rPr>
        <w:t>。</w:t>
      </w:r>
      <w:r>
        <w:rPr>
          <w:rFonts w:hint="default" w:ascii="Times New Roman" w:hAnsi="Times New Roman" w:eastAsia="仿宋_GB2312" w:cs="Times New Roman"/>
          <w:b w:val="0"/>
          <w:bCs w:val="0"/>
          <w:kern w:val="2"/>
        </w:rPr>
        <w:t>在</w:t>
      </w:r>
      <w:r>
        <w:rPr>
          <w:rFonts w:hint="eastAsia" w:ascii="Times New Roman" w:hAnsi="Times New Roman" w:eastAsia="仿宋_GB2312" w:cs="Times New Roman"/>
          <w:b w:val="0"/>
          <w:bCs w:val="0"/>
          <w:kern w:val="2"/>
          <w:lang w:eastAsia="zh-CN"/>
        </w:rPr>
        <w:t>申报</w:t>
      </w:r>
      <w:r>
        <w:rPr>
          <w:rFonts w:hint="default" w:ascii="Times New Roman" w:hAnsi="Times New Roman" w:eastAsia="仿宋_GB2312" w:cs="Times New Roman"/>
          <w:b w:val="0"/>
          <w:bCs w:val="0"/>
          <w:kern w:val="2"/>
        </w:rPr>
        <w:t>环节上，</w:t>
      </w:r>
      <w:r>
        <w:rPr>
          <w:rFonts w:hint="eastAsia" w:ascii="Times New Roman" w:hAnsi="Times New Roman" w:eastAsia="仿宋_GB2312" w:cs="Times New Roman"/>
          <w:b w:val="0"/>
          <w:bCs w:val="0"/>
          <w:kern w:val="2"/>
          <w:lang w:eastAsia="zh-CN"/>
        </w:rPr>
        <w:t>精简申报材料，减少不必要的证明文件，缩短办理时间。</w:t>
      </w:r>
    </w:p>
    <w:p w14:paraId="1488F616">
      <w:pPr>
        <w:keepNext/>
        <w:keepLines/>
        <w:numPr>
          <w:ilvl w:val="0"/>
          <w:numId w:val="6"/>
        </w:numPr>
        <w:spacing w:line="560" w:lineRule="exact"/>
        <w:ind w:firstLine="643" w:firstLineChars="200"/>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存在的问题及原因分析</w:t>
      </w:r>
    </w:p>
    <w:p w14:paraId="4F5A9068">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w:t>
      </w:r>
      <w:r>
        <w:rPr>
          <w:rFonts w:hint="eastAsia" w:eastAsia="仿宋_GB2312" w:cs="Times New Roman"/>
          <w:sz w:val="32"/>
          <w:szCs w:val="32"/>
          <w:highlight w:val="none"/>
          <w:lang w:val="en-US" w:eastAsia="zh-CN"/>
        </w:rPr>
        <w:t>对绩效评价结果运用不够，由干部分</w:t>
      </w:r>
      <w:r>
        <w:rPr>
          <w:rFonts w:hint="default" w:ascii="Times New Roman" w:hAnsi="Times New Roman" w:eastAsia="仿宋_GB2312" w:cs="Times New Roman"/>
          <w:sz w:val="32"/>
          <w:szCs w:val="32"/>
          <w:highlight w:val="none"/>
          <w:lang w:val="en-US" w:eastAsia="zh-CN"/>
        </w:rPr>
        <w:t>人员缺乏相关绩效管理专业知识，</w:t>
      </w:r>
      <w:r>
        <w:rPr>
          <w:rFonts w:hint="eastAsia" w:eastAsia="仿宋_GB2312" w:cs="Times New Roman"/>
          <w:sz w:val="32"/>
          <w:szCs w:val="32"/>
          <w:highlight w:val="none"/>
          <w:lang w:val="en-US" w:eastAsia="zh-CN"/>
        </w:rPr>
        <w:t>导致绩效评价结果运用不到位，影响后续工作。</w:t>
      </w:r>
    </w:p>
    <w:p w14:paraId="17B9FB8F">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2.因</w:t>
      </w:r>
      <w:r>
        <w:rPr>
          <w:rFonts w:hint="eastAsia" w:eastAsia="仿宋_GB2312" w:cs="Times New Roman"/>
          <w:sz w:val="32"/>
          <w:szCs w:val="32"/>
          <w:highlight w:val="none"/>
          <w:lang w:val="en-US" w:eastAsia="zh-CN"/>
        </w:rPr>
        <w:t>工作人员</w:t>
      </w:r>
      <w:r>
        <w:rPr>
          <w:rFonts w:hint="default" w:ascii="Times New Roman" w:hAnsi="Times New Roman" w:eastAsia="仿宋_GB2312" w:cs="Times New Roman"/>
          <w:sz w:val="32"/>
          <w:szCs w:val="32"/>
          <w:highlight w:val="none"/>
          <w:lang w:val="en-US" w:eastAsia="zh-CN"/>
        </w:rPr>
        <w:t>调动</w:t>
      </w:r>
      <w:r>
        <w:rPr>
          <w:rFonts w:hint="eastAsia" w:ascii="Times New Roman" w:hAnsi="Times New Roman" w:eastAsia="仿宋_GB2312" w:cs="Times New Roman"/>
          <w:sz w:val="32"/>
          <w:szCs w:val="32"/>
          <w:highlight w:val="none"/>
          <w:lang w:val="en-US" w:eastAsia="zh-CN"/>
        </w:rPr>
        <w:t>等</w:t>
      </w:r>
      <w:r>
        <w:rPr>
          <w:rFonts w:hint="default" w:ascii="Times New Roman" w:hAnsi="Times New Roman" w:eastAsia="仿宋_GB2312" w:cs="Times New Roman"/>
          <w:sz w:val="32"/>
          <w:szCs w:val="32"/>
          <w:highlight w:val="none"/>
          <w:lang w:val="en-US" w:eastAsia="zh-CN"/>
        </w:rPr>
        <w:t>因素使我单位绩效工作人员流动频繁，</w:t>
      </w:r>
      <w:r>
        <w:rPr>
          <w:rFonts w:hint="eastAsia" w:ascii="Times New Roman" w:hAnsi="Times New Roman" w:eastAsia="仿宋_GB2312" w:cs="Times New Roman"/>
          <w:sz w:val="32"/>
          <w:szCs w:val="32"/>
          <w:highlight w:val="none"/>
          <w:lang w:val="en-US" w:eastAsia="zh-CN"/>
        </w:rPr>
        <w:t>造成</w:t>
      </w:r>
      <w:r>
        <w:rPr>
          <w:rFonts w:hint="default" w:ascii="Times New Roman" w:hAnsi="Times New Roman" w:eastAsia="仿宋_GB2312" w:cs="Times New Roman"/>
          <w:sz w:val="32"/>
          <w:szCs w:val="32"/>
          <w:highlight w:val="none"/>
          <w:lang w:val="en-US" w:eastAsia="zh-CN"/>
        </w:rPr>
        <w:t>工作衔接不到位的情况。</w:t>
      </w:r>
    </w:p>
    <w:p w14:paraId="729B191F">
      <w:pPr>
        <w:spacing w:line="560" w:lineRule="exact"/>
        <w:ind w:firstLine="640" w:firstLineChars="200"/>
        <w:rPr>
          <w:rFonts w:hint="default" w:ascii="Times New Roman" w:hAnsi="Times New Roman" w:eastAsia="黑体" w:cs="Times New Roman"/>
          <w:sz w:val="32"/>
          <w:szCs w:val="32"/>
        </w:rPr>
      </w:pPr>
      <w:r>
        <w:rPr>
          <w:rFonts w:hint="eastAsia" w:ascii="Times New Roman" w:hAnsi="Times New Roman" w:eastAsia="黑体" w:cs="Times New Roman"/>
          <w:sz w:val="32"/>
          <w:szCs w:val="32"/>
          <w:lang w:val="en-US" w:eastAsia="zh-CN"/>
        </w:rPr>
        <w:t>六</w:t>
      </w:r>
      <w:r>
        <w:rPr>
          <w:rFonts w:hint="default" w:ascii="Times New Roman" w:hAnsi="Times New Roman" w:eastAsia="黑体" w:cs="Times New Roman"/>
          <w:sz w:val="32"/>
          <w:szCs w:val="32"/>
          <w:lang w:val="en-US" w:eastAsia="zh-CN"/>
        </w:rPr>
        <w:t>.</w:t>
      </w:r>
      <w:r>
        <w:rPr>
          <w:rFonts w:hint="default" w:ascii="Times New Roman" w:hAnsi="Times New Roman" w:eastAsia="黑体" w:cs="Times New Roman"/>
          <w:sz w:val="32"/>
          <w:szCs w:val="32"/>
        </w:rPr>
        <w:t>有关建议</w:t>
      </w:r>
    </w:p>
    <w:p w14:paraId="159F5183">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1.多进行有关绩效管理工作方面的培训。积极组织第三方开展绩效管理工作培训，进一步夯实业务基础，提高我单位绩效人员水平。</w:t>
      </w:r>
    </w:p>
    <w:p w14:paraId="66299CCA">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2.专门设定对绩效工作人员定职、定岗、定责等相关制度措施，进一步提升我单位绩效管理工作业务水平，扎实做好绩效管理工作。</w:t>
      </w:r>
    </w:p>
    <w:p w14:paraId="0A27EBAF">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3.进一步规范项目建设的程序。项目前期做好可行性研究报告，更加细化实施方案，严格执行资金管理办法和财政资金管理制度，严格按照项目实施方案、招投标管理办法等稳步推进工作，各部门单位根据自己项目的特点进行总结。</w:t>
      </w:r>
    </w:p>
    <w:p w14:paraId="2B529473">
      <w:pPr>
        <w:shd w:val="clear" w:color="auto" w:fill="auto"/>
        <w:spacing w:line="600" w:lineRule="exact"/>
        <w:ind w:firstLine="640" w:firstLineChars="200"/>
        <w:outlineLvl w:val="0"/>
        <w:rPr>
          <w:rFonts w:hint="default" w:ascii="Times New Roman" w:hAnsi="Times New Roman" w:cs="Times New Roman"/>
          <w:sz w:val="22"/>
          <w:szCs w:val="28"/>
        </w:rPr>
      </w:pPr>
      <w:r>
        <w:rPr>
          <w:rFonts w:hint="default" w:ascii="Times New Roman" w:hAnsi="Times New Roman" w:eastAsia="仿宋_GB2312" w:cs="Times New Roman"/>
          <w:sz w:val="32"/>
          <w:szCs w:val="32"/>
          <w:highlight w:val="none"/>
          <w:lang w:val="en-US" w:eastAsia="zh-CN"/>
        </w:rPr>
        <w:t>4.进一步完善项目评价过程中有关数据和资料的收集、整理、审核及分析。项目启动时同步做好档案的归纳与整理，及时整理、收集、汇总，健全档案资料。项目后续管理有待进一步加强和跟踪</w:t>
      </w:r>
      <w:r>
        <w:rPr>
          <w:rFonts w:hint="default" w:ascii="Times New Roman" w:hAnsi="Times New Roman" w:eastAsia="仿宋_GB2312" w:cs="Times New Roman"/>
          <w:sz w:val="36"/>
          <w:szCs w:val="32"/>
        </w:rPr>
        <w:t>。</w:t>
      </w:r>
    </w:p>
    <w:p w14:paraId="4F70A074">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5.进一步加强对绩效管理工作的组织领导，提高对预算绩效管理工作重要性的认识，总结经验查找问题，抓紧研究制定更全面更完善的绩效评价管理办法。</w:t>
      </w:r>
    </w:p>
    <w:p w14:paraId="75D39B1B">
      <w:pPr>
        <w:spacing w:line="560" w:lineRule="exact"/>
        <w:ind w:firstLine="640" w:firstLineChars="200"/>
        <w:rPr>
          <w:rFonts w:hint="default" w:ascii="Times New Roman" w:hAnsi="Times New Roman" w:eastAsia="黑体" w:cs="Times New Roman"/>
          <w:sz w:val="32"/>
          <w:szCs w:val="32"/>
        </w:rPr>
      </w:pPr>
      <w:r>
        <w:rPr>
          <w:rFonts w:hint="eastAsia" w:eastAsia="黑体" w:cs="Times New Roman"/>
          <w:sz w:val="32"/>
          <w:szCs w:val="32"/>
          <w:lang w:val="en-US" w:eastAsia="zh-CN"/>
        </w:rPr>
        <w:t>七</w:t>
      </w:r>
      <w:r>
        <w:rPr>
          <w:rFonts w:hint="default" w:ascii="Times New Roman" w:hAnsi="Times New Roman" w:eastAsia="仿宋_GB2312" w:cs="Times New Roman"/>
          <w:b/>
          <w:bCs/>
          <w:sz w:val="32"/>
          <w:szCs w:val="32"/>
          <w:lang w:val="en-US" w:eastAsia="zh-CN"/>
        </w:rPr>
        <w:t>.</w:t>
      </w:r>
      <w:r>
        <w:rPr>
          <w:rFonts w:hint="default" w:ascii="Times New Roman" w:hAnsi="Times New Roman" w:eastAsia="黑体" w:cs="Times New Roman"/>
          <w:sz w:val="32"/>
          <w:szCs w:val="32"/>
        </w:rPr>
        <w:t>其他需要说</w:t>
      </w:r>
      <w:bookmarkStart w:id="0" w:name="page8"/>
      <w:bookmarkEnd w:id="0"/>
      <w:r>
        <w:rPr>
          <w:rFonts w:hint="default" w:ascii="Times New Roman" w:hAnsi="Times New Roman" w:eastAsia="黑体" w:cs="Times New Roman"/>
          <w:sz w:val="32"/>
          <w:szCs w:val="32"/>
        </w:rPr>
        <w:t>明的问题</w:t>
      </w:r>
    </w:p>
    <w:p w14:paraId="2D9604E2">
      <w:pPr>
        <w:pStyle w:val="11"/>
        <w:spacing w:after="0" w:line="560" w:lineRule="exact"/>
        <w:ind w:left="0" w:leftChars="0" w:firstLine="64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本项目无其他需说明的问题。</w:t>
      </w:r>
    </w:p>
    <w:p w14:paraId="463AA6DC">
      <w:pPr>
        <w:pStyle w:val="11"/>
        <w:spacing w:after="0" w:line="560" w:lineRule="exact"/>
        <w:ind w:left="0" w:leftChars="0" w:firstLine="640"/>
        <w:rPr>
          <w:rFonts w:hint="eastAsia" w:ascii="Times New Roman" w:hAnsi="Times New Roman" w:eastAsia="仿宋_GB2312" w:cs="Times New Roman"/>
          <w:sz w:val="32"/>
          <w:szCs w:val="32"/>
          <w:lang w:eastAsia="zh-CN"/>
        </w:rPr>
      </w:pPr>
    </w:p>
    <w:p w14:paraId="4FC583DE">
      <w:pPr>
        <w:pStyle w:val="11"/>
        <w:spacing w:after="0" w:line="560" w:lineRule="exact"/>
        <w:ind w:left="0" w:leftChars="0" w:firstLine="640"/>
        <w:rPr>
          <w:rFonts w:hint="eastAsia" w:ascii="Times New Roman" w:hAnsi="Times New Roman" w:eastAsia="仿宋_GB2312" w:cs="Times New Roman"/>
          <w:sz w:val="32"/>
          <w:szCs w:val="32"/>
          <w:lang w:eastAsia="zh-CN"/>
        </w:rPr>
      </w:pPr>
    </w:p>
    <w:p w14:paraId="670E1EEF">
      <w:pPr>
        <w:pStyle w:val="11"/>
        <w:spacing w:after="0" w:line="560" w:lineRule="exact"/>
        <w:ind w:left="0" w:leftChars="0" w:firstLine="640"/>
        <w:rPr>
          <w:rFonts w:hint="eastAsia" w:ascii="Times New Roman" w:hAnsi="Times New Roman" w:eastAsia="仿宋_GB2312" w:cs="Times New Roman"/>
          <w:sz w:val="32"/>
          <w:szCs w:val="32"/>
          <w:lang w:eastAsia="zh-CN"/>
        </w:rPr>
      </w:pPr>
    </w:p>
    <w:p w14:paraId="1CF56B00">
      <w:pPr>
        <w:pStyle w:val="11"/>
        <w:spacing w:after="0" w:line="560" w:lineRule="exact"/>
        <w:ind w:left="0" w:leftChars="0" w:firstLine="640"/>
        <w:rPr>
          <w:rFonts w:hint="default" w:ascii="Times New Roman" w:hAnsi="Times New Roman" w:eastAsia="仿宋_GB2312" w:cs="Times New Roman"/>
          <w:sz w:val="32"/>
          <w:szCs w:val="32"/>
        </w:rPr>
      </w:pPr>
    </w:p>
    <w:p w14:paraId="7FDEA0C2">
      <w:pPr>
        <w:pStyle w:val="11"/>
        <w:spacing w:after="0" w:line="560" w:lineRule="exact"/>
        <w:ind w:left="0" w:leftChars="0" w:firstLine="640"/>
        <w:rPr>
          <w:rFonts w:hint="default" w:ascii="Times New Roman" w:hAnsi="Times New Roman" w:eastAsia="仿宋_GB2312" w:cs="Times New Roman"/>
          <w:sz w:val="32"/>
          <w:szCs w:val="32"/>
        </w:rPr>
      </w:pPr>
    </w:p>
    <w:p w14:paraId="0DADF5A1">
      <w:pPr>
        <w:pStyle w:val="11"/>
        <w:spacing w:after="0" w:line="560" w:lineRule="exact"/>
        <w:ind w:left="0" w:leftChars="0" w:firstLine="0" w:firstLineChars="0"/>
        <w:rPr>
          <w:rFonts w:hint="default" w:ascii="Times New Roman" w:hAnsi="Times New Roman" w:eastAsia="仿宋_GB2312" w:cs="Times New Roman"/>
          <w:sz w:val="32"/>
          <w:szCs w:val="32"/>
        </w:rPr>
      </w:pPr>
    </w:p>
    <w:p w14:paraId="7464FFCC">
      <w:pPr>
        <w:spacing w:line="600" w:lineRule="exact"/>
        <w:rPr>
          <w:rFonts w:hint="eastAsia" w:ascii="Times New Roman" w:hAnsi="Times New Roman" w:eastAsia="黑体" w:cs="Times New Roman"/>
          <w:sz w:val="32"/>
          <w:szCs w:val="32"/>
          <w:lang w:val="en-US" w:eastAsia="zh-CN"/>
        </w:rPr>
        <w:sectPr>
          <w:footerReference r:id="rId3" w:type="default"/>
          <w:pgSz w:w="11906" w:h="16838"/>
          <w:pgMar w:top="1440" w:right="1558" w:bottom="1440" w:left="1800" w:header="851" w:footer="992" w:gutter="0"/>
          <w:pgNumType w:start="1"/>
          <w:cols w:space="425" w:num="1"/>
          <w:docGrid w:type="lines" w:linePitch="312" w:charSpace="0"/>
        </w:sectPr>
      </w:pPr>
    </w:p>
    <w:p w14:paraId="47272BD7">
      <w:pPr>
        <w:spacing w:line="600" w:lineRule="exact"/>
        <w:rPr>
          <w:rFonts w:hint="eastAsia" w:eastAsia="黑体" w:cs="Times New Roman"/>
          <w:sz w:val="32"/>
          <w:szCs w:val="32"/>
          <w:lang w:val="en-US" w:eastAsia="zh-CN"/>
        </w:rPr>
      </w:pPr>
      <w:r>
        <w:rPr>
          <w:rFonts w:hint="eastAsia" w:ascii="Times New Roman" w:hAnsi="Times New Roman" w:eastAsia="黑体" w:cs="Times New Roman"/>
          <w:sz w:val="32"/>
          <w:szCs w:val="32"/>
          <w:lang w:val="en-US" w:eastAsia="zh-CN"/>
        </w:rPr>
        <w:t>附件</w:t>
      </w:r>
      <w:r>
        <w:rPr>
          <w:rFonts w:hint="eastAsia" w:eastAsia="黑体" w:cs="Times New Roman"/>
          <w:sz w:val="32"/>
          <w:szCs w:val="32"/>
          <w:lang w:val="en-US" w:eastAsia="zh-CN"/>
        </w:rPr>
        <w:t>1</w:t>
      </w:r>
    </w:p>
    <w:p w14:paraId="3C1CAF00">
      <w:pPr>
        <w:pStyle w:val="20"/>
        <w:ind w:firstLine="562"/>
        <w:jc w:val="center"/>
        <w:rPr>
          <w:rFonts w:hint="eastAsia" w:ascii="仿宋_GB2312" w:hAnsi="仿宋_GB2312" w:eastAsia="仿宋_GB2312" w:cs="仿宋_GB2312"/>
          <w:sz w:val="28"/>
          <w:szCs w:val="40"/>
        </w:rPr>
      </w:pPr>
      <w:bookmarkStart w:id="1" w:name="_Toc26499_WPSOffice_Level2"/>
      <w:bookmarkStart w:id="2" w:name="_Toc30064_WPSOffice_Level1"/>
      <w:r>
        <w:rPr>
          <w:rFonts w:hint="eastAsia" w:ascii="仿宋_GB2312" w:hAnsi="仿宋_GB2312" w:eastAsia="仿宋_GB2312" w:cs="仿宋_GB2312"/>
          <w:b/>
          <w:bCs/>
          <w:sz w:val="28"/>
          <w:szCs w:val="40"/>
        </w:rPr>
        <w:t>2023年民贸民品企业贴息项目绩效评价指标体系及综合评分表</w:t>
      </w:r>
      <w:bookmarkEnd w:id="1"/>
      <w:bookmarkEnd w:id="2"/>
    </w:p>
    <w:tbl>
      <w:tblPr>
        <w:tblStyle w:val="12"/>
        <w:tblW w:w="12683" w:type="dxa"/>
        <w:jc w:val="center"/>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1004"/>
        <w:gridCol w:w="1000"/>
        <w:gridCol w:w="1071"/>
        <w:gridCol w:w="1726"/>
        <w:gridCol w:w="5216"/>
        <w:gridCol w:w="1300"/>
        <w:gridCol w:w="1366"/>
      </w:tblGrid>
      <w:tr w14:paraId="170EAD5C">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52" w:hRule="atLeast"/>
          <w:tblHeader/>
          <w:jc w:val="center"/>
        </w:trPr>
        <w:tc>
          <w:tcPr>
            <w:tcW w:w="1004" w:type="dxa"/>
            <w:shd w:val="clear" w:color="auto" w:fill="FFFFFF"/>
            <w:vAlign w:val="center"/>
          </w:tcPr>
          <w:p w14:paraId="6F43717C">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一级指标</w:t>
            </w:r>
          </w:p>
        </w:tc>
        <w:tc>
          <w:tcPr>
            <w:tcW w:w="1000" w:type="dxa"/>
            <w:shd w:val="clear" w:color="auto" w:fill="FFFFFF"/>
            <w:vAlign w:val="center"/>
          </w:tcPr>
          <w:p w14:paraId="166ABABA">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二级指标</w:t>
            </w:r>
          </w:p>
        </w:tc>
        <w:tc>
          <w:tcPr>
            <w:tcW w:w="1071" w:type="dxa"/>
            <w:shd w:val="clear" w:color="auto" w:fill="FFFFFF"/>
            <w:vAlign w:val="center"/>
          </w:tcPr>
          <w:p w14:paraId="6CEC9454">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三级指标</w:t>
            </w:r>
          </w:p>
        </w:tc>
        <w:tc>
          <w:tcPr>
            <w:tcW w:w="1726" w:type="dxa"/>
            <w:shd w:val="clear" w:color="auto" w:fill="FFFFFF"/>
            <w:vAlign w:val="center"/>
          </w:tcPr>
          <w:p w14:paraId="1A8A7BCB">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指标解释</w:t>
            </w:r>
          </w:p>
        </w:tc>
        <w:tc>
          <w:tcPr>
            <w:tcW w:w="5216" w:type="dxa"/>
            <w:shd w:val="clear" w:color="auto" w:fill="FFFFFF"/>
            <w:vAlign w:val="center"/>
          </w:tcPr>
          <w:p w14:paraId="4210ED93">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指标说明</w:t>
            </w:r>
          </w:p>
        </w:tc>
        <w:tc>
          <w:tcPr>
            <w:tcW w:w="1300" w:type="dxa"/>
            <w:shd w:val="clear" w:color="auto" w:fill="FFFFFF"/>
            <w:vAlign w:val="center"/>
          </w:tcPr>
          <w:p w14:paraId="7795A326">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权重</w:t>
            </w:r>
          </w:p>
        </w:tc>
        <w:tc>
          <w:tcPr>
            <w:tcW w:w="1366" w:type="dxa"/>
            <w:shd w:val="clear" w:color="auto" w:fill="FFFFFF"/>
            <w:vAlign w:val="center"/>
          </w:tcPr>
          <w:p w14:paraId="3216C525">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得分</w:t>
            </w:r>
          </w:p>
        </w:tc>
      </w:tr>
      <w:tr w14:paraId="03BEAED5">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2919" w:hRule="atLeast"/>
          <w:jc w:val="center"/>
        </w:trPr>
        <w:tc>
          <w:tcPr>
            <w:tcW w:w="1004" w:type="dxa"/>
            <w:vMerge w:val="restart"/>
            <w:shd w:val="clear" w:color="auto" w:fill="FFFFFF"/>
            <w:vAlign w:val="center"/>
          </w:tcPr>
          <w:p w14:paraId="475A5DFA">
            <w:pPr>
              <w:widowControl/>
              <w:spacing w:line="0" w:lineRule="atLeast"/>
              <w:jc w:val="center"/>
              <w:rPr>
                <w:rFonts w:hint="default" w:ascii="Times New Roman" w:hAnsi="Times New Roman" w:eastAsia="仿宋_GB2312" w:cs="Times New Roman"/>
                <w:color w:val="000000"/>
                <w:kern w:val="0"/>
                <w:sz w:val="18"/>
                <w:szCs w:val="18"/>
              </w:rPr>
            </w:pPr>
          </w:p>
          <w:p w14:paraId="09641F76">
            <w:pPr>
              <w:widowControl/>
              <w:spacing w:line="0" w:lineRule="atLeast"/>
              <w:jc w:val="center"/>
              <w:rPr>
                <w:rFonts w:hint="default" w:ascii="Times New Roman" w:hAnsi="Times New Roman" w:eastAsia="仿宋_GB2312" w:cs="Times New Roman"/>
                <w:color w:val="000000"/>
                <w:kern w:val="0"/>
                <w:sz w:val="18"/>
                <w:szCs w:val="18"/>
              </w:rPr>
            </w:pPr>
          </w:p>
          <w:p w14:paraId="02C2F5EB">
            <w:pPr>
              <w:widowControl/>
              <w:spacing w:line="0" w:lineRule="atLeast"/>
              <w:jc w:val="center"/>
              <w:rPr>
                <w:rFonts w:hint="default" w:ascii="Times New Roman" w:hAnsi="Times New Roman" w:eastAsia="仿宋_GB2312" w:cs="Times New Roman"/>
                <w:color w:val="000000"/>
                <w:kern w:val="0"/>
                <w:sz w:val="18"/>
                <w:szCs w:val="18"/>
              </w:rPr>
            </w:pPr>
          </w:p>
          <w:p w14:paraId="0B7A2744">
            <w:pPr>
              <w:widowControl/>
              <w:spacing w:line="0" w:lineRule="atLeast"/>
              <w:jc w:val="center"/>
              <w:rPr>
                <w:rFonts w:hint="default" w:ascii="Times New Roman" w:hAnsi="Times New Roman" w:eastAsia="仿宋_GB2312" w:cs="Times New Roman"/>
                <w:color w:val="000000"/>
                <w:kern w:val="0"/>
                <w:sz w:val="18"/>
                <w:szCs w:val="18"/>
              </w:rPr>
            </w:pPr>
          </w:p>
          <w:p w14:paraId="22D03076">
            <w:pPr>
              <w:widowControl/>
              <w:spacing w:line="0" w:lineRule="atLeast"/>
              <w:jc w:val="center"/>
              <w:rPr>
                <w:rFonts w:hint="default" w:ascii="Times New Roman" w:hAnsi="Times New Roman" w:eastAsia="仿宋_GB2312" w:cs="Times New Roman"/>
                <w:color w:val="000000"/>
                <w:kern w:val="0"/>
                <w:sz w:val="18"/>
                <w:szCs w:val="18"/>
              </w:rPr>
            </w:pPr>
          </w:p>
          <w:p w14:paraId="5ADEA137">
            <w:pPr>
              <w:widowControl/>
              <w:spacing w:line="0" w:lineRule="atLeast"/>
              <w:jc w:val="center"/>
              <w:rPr>
                <w:rFonts w:hint="default" w:ascii="Times New Roman" w:hAnsi="Times New Roman" w:eastAsia="仿宋_GB2312" w:cs="Times New Roman"/>
                <w:color w:val="000000"/>
                <w:kern w:val="0"/>
                <w:sz w:val="18"/>
                <w:szCs w:val="18"/>
              </w:rPr>
            </w:pPr>
          </w:p>
          <w:p w14:paraId="62AF4C61">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决策　</w:t>
            </w:r>
          </w:p>
        </w:tc>
        <w:tc>
          <w:tcPr>
            <w:tcW w:w="1000" w:type="dxa"/>
            <w:vMerge w:val="restart"/>
            <w:shd w:val="clear" w:color="auto" w:fill="FFFFFF"/>
            <w:vAlign w:val="center"/>
          </w:tcPr>
          <w:p w14:paraId="5BC02105">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项目立项　</w:t>
            </w:r>
          </w:p>
        </w:tc>
        <w:tc>
          <w:tcPr>
            <w:tcW w:w="1071" w:type="dxa"/>
            <w:shd w:val="clear" w:color="auto" w:fill="FFFFFF"/>
            <w:vAlign w:val="center"/>
          </w:tcPr>
          <w:p w14:paraId="71881C2E">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立项依据</w:t>
            </w:r>
          </w:p>
          <w:p w14:paraId="4D01D1D0">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充分性</w:t>
            </w:r>
          </w:p>
        </w:tc>
        <w:tc>
          <w:tcPr>
            <w:tcW w:w="1726" w:type="dxa"/>
            <w:shd w:val="clear" w:color="auto" w:fill="FFFFFF"/>
            <w:vAlign w:val="center"/>
          </w:tcPr>
          <w:p w14:paraId="12F60D13">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项目立项是否符合法律法规、相关政策、发展规划以及部门职责，用以反映和考核项目立项依据情况。</w:t>
            </w:r>
          </w:p>
        </w:tc>
        <w:tc>
          <w:tcPr>
            <w:tcW w:w="5216" w:type="dxa"/>
            <w:shd w:val="clear" w:color="auto" w:fill="FFFFFF"/>
            <w:vAlign w:val="center"/>
          </w:tcPr>
          <w:p w14:paraId="557BA911">
            <w:pPr>
              <w:widowControl/>
              <w:spacing w:line="0" w:lineRule="atLeast"/>
              <w:jc w:val="lef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评价要点：</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①项目立项是否符合国家法律法规、国民经济发展规划和相关政策；</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②项目立项是否符合行业发展规划和政策要求；</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③项目立项是否与部门职责范围相符，属于部门履职所需；</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④项目是否属于公共财政支持范围，是否符合中央、地方事权支出责任划分原则；</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⑤项目是否与相关部门同类项目或部门内部相关项目重复。</w:t>
            </w:r>
          </w:p>
        </w:tc>
        <w:tc>
          <w:tcPr>
            <w:tcW w:w="1300" w:type="dxa"/>
            <w:shd w:val="clear" w:color="auto" w:fill="FFFFFF"/>
            <w:vAlign w:val="center"/>
          </w:tcPr>
          <w:p w14:paraId="3719AFC5">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3</w:t>
            </w:r>
          </w:p>
        </w:tc>
        <w:tc>
          <w:tcPr>
            <w:tcW w:w="1366" w:type="dxa"/>
            <w:shd w:val="clear" w:color="auto" w:fill="FFFFFF"/>
            <w:vAlign w:val="center"/>
          </w:tcPr>
          <w:p w14:paraId="793DA87C">
            <w:pPr>
              <w:widowControl/>
              <w:spacing w:line="0" w:lineRule="atLeast"/>
              <w:jc w:val="center"/>
              <w:rPr>
                <w:rFonts w:hint="default" w:ascii="Times New Roman" w:hAnsi="Times New Roman" w:eastAsia="仿宋_GB2312" w:cs="Times New Roman"/>
                <w:b/>
                <w:bCs/>
                <w:color w:val="000000"/>
                <w:kern w:val="0"/>
                <w:sz w:val="18"/>
                <w:szCs w:val="18"/>
                <w:lang w:val="en-US" w:eastAsia="zh-CN"/>
              </w:rPr>
            </w:pPr>
            <w:r>
              <w:rPr>
                <w:rFonts w:hint="eastAsia" w:eastAsia="仿宋_GB2312" w:cs="Times New Roman"/>
                <w:b/>
                <w:bCs/>
                <w:color w:val="000000"/>
                <w:kern w:val="0"/>
                <w:sz w:val="18"/>
                <w:szCs w:val="18"/>
                <w:lang w:val="en-US" w:eastAsia="zh-CN"/>
              </w:rPr>
              <w:t>3</w:t>
            </w:r>
          </w:p>
        </w:tc>
      </w:tr>
      <w:tr w14:paraId="13B73956">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90" w:hRule="atLeast"/>
          <w:jc w:val="center"/>
        </w:trPr>
        <w:tc>
          <w:tcPr>
            <w:tcW w:w="1004" w:type="dxa"/>
            <w:vMerge w:val="continue"/>
            <w:shd w:val="clear" w:color="auto" w:fill="FFFFFF"/>
            <w:vAlign w:val="center"/>
          </w:tcPr>
          <w:p w14:paraId="7B8CB89A">
            <w:pPr>
              <w:spacing w:line="0" w:lineRule="atLeast"/>
              <w:jc w:val="center"/>
              <w:rPr>
                <w:rFonts w:hint="default" w:ascii="Times New Roman" w:hAnsi="Times New Roman" w:eastAsia="仿宋_GB2312" w:cs="Times New Roman"/>
                <w:color w:val="000000"/>
                <w:kern w:val="0"/>
                <w:sz w:val="18"/>
                <w:szCs w:val="18"/>
              </w:rPr>
            </w:pPr>
          </w:p>
        </w:tc>
        <w:tc>
          <w:tcPr>
            <w:tcW w:w="1000" w:type="dxa"/>
            <w:vMerge w:val="continue"/>
            <w:shd w:val="clear" w:color="auto" w:fill="FFFFFF"/>
            <w:vAlign w:val="center"/>
          </w:tcPr>
          <w:p w14:paraId="269E6366">
            <w:pPr>
              <w:widowControl/>
              <w:spacing w:line="0" w:lineRule="atLeast"/>
              <w:jc w:val="center"/>
              <w:rPr>
                <w:rFonts w:hint="default" w:ascii="Times New Roman" w:hAnsi="Times New Roman" w:eastAsia="仿宋_GB2312" w:cs="Times New Roman"/>
                <w:color w:val="000000"/>
                <w:kern w:val="0"/>
                <w:sz w:val="18"/>
                <w:szCs w:val="18"/>
              </w:rPr>
            </w:pPr>
          </w:p>
        </w:tc>
        <w:tc>
          <w:tcPr>
            <w:tcW w:w="1071" w:type="dxa"/>
            <w:shd w:val="clear" w:color="auto" w:fill="FFFFFF"/>
            <w:vAlign w:val="center"/>
          </w:tcPr>
          <w:p w14:paraId="169045A4">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立项程序</w:t>
            </w:r>
          </w:p>
          <w:p w14:paraId="4BDB1A88">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规范性</w:t>
            </w:r>
          </w:p>
        </w:tc>
        <w:tc>
          <w:tcPr>
            <w:tcW w:w="1726" w:type="dxa"/>
            <w:shd w:val="clear" w:color="auto" w:fill="FFFFFF"/>
            <w:vAlign w:val="center"/>
          </w:tcPr>
          <w:p w14:paraId="16D2CCDE">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项目申请、设立过程是否符合相关要求，用以反映和考核项目立项的规范情况。</w:t>
            </w:r>
          </w:p>
        </w:tc>
        <w:tc>
          <w:tcPr>
            <w:tcW w:w="5216" w:type="dxa"/>
            <w:shd w:val="clear" w:color="auto" w:fill="FFFFFF"/>
            <w:vAlign w:val="center"/>
          </w:tcPr>
          <w:p w14:paraId="0E3904DE">
            <w:pPr>
              <w:widowControl/>
              <w:spacing w:line="0" w:lineRule="atLeast"/>
              <w:jc w:val="lef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评价要点：</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①项目是否按照规定的程序申请设立；</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②审批文件、材料是否符合相关要求；</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③事前是否已经过必要的可行性研究、专家论证、风险评估、绩效评估、集体决策。</w:t>
            </w:r>
          </w:p>
        </w:tc>
        <w:tc>
          <w:tcPr>
            <w:tcW w:w="1300" w:type="dxa"/>
            <w:shd w:val="clear" w:color="auto" w:fill="FFFFFF"/>
            <w:vAlign w:val="center"/>
          </w:tcPr>
          <w:p w14:paraId="55276A32">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3</w:t>
            </w:r>
          </w:p>
        </w:tc>
        <w:tc>
          <w:tcPr>
            <w:tcW w:w="1366" w:type="dxa"/>
            <w:shd w:val="clear" w:color="auto" w:fill="FFFFFF"/>
            <w:vAlign w:val="center"/>
          </w:tcPr>
          <w:p w14:paraId="53C02CCD">
            <w:pPr>
              <w:widowControl/>
              <w:spacing w:line="0" w:lineRule="atLeast"/>
              <w:jc w:val="center"/>
              <w:rPr>
                <w:rFonts w:hint="eastAsia" w:ascii="Times New Roman" w:hAnsi="Times New Roman" w:eastAsia="仿宋_GB2312" w:cs="Times New Roman"/>
                <w:b/>
                <w:bCs/>
                <w:color w:val="000000"/>
                <w:kern w:val="0"/>
                <w:sz w:val="18"/>
                <w:szCs w:val="18"/>
                <w:lang w:val="en-US" w:eastAsia="zh-CN"/>
              </w:rPr>
            </w:pPr>
            <w:r>
              <w:rPr>
                <w:rFonts w:hint="eastAsia" w:eastAsia="仿宋_GB2312" w:cs="Times New Roman"/>
                <w:b/>
                <w:bCs/>
                <w:color w:val="000000"/>
                <w:kern w:val="0"/>
                <w:sz w:val="18"/>
                <w:szCs w:val="18"/>
                <w:lang w:val="en-US" w:eastAsia="zh-CN"/>
              </w:rPr>
              <w:t>3</w:t>
            </w:r>
          </w:p>
        </w:tc>
      </w:tr>
      <w:tr w14:paraId="4DA4A9CE">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90" w:hRule="atLeast"/>
          <w:jc w:val="center"/>
        </w:trPr>
        <w:tc>
          <w:tcPr>
            <w:tcW w:w="1004" w:type="dxa"/>
            <w:vMerge w:val="continue"/>
            <w:shd w:val="clear" w:color="auto" w:fill="FFFFFF"/>
            <w:vAlign w:val="center"/>
          </w:tcPr>
          <w:p w14:paraId="7E0BC733">
            <w:pPr>
              <w:spacing w:line="0" w:lineRule="atLeast"/>
              <w:jc w:val="center"/>
              <w:rPr>
                <w:rFonts w:hint="default" w:ascii="Times New Roman" w:hAnsi="Times New Roman" w:eastAsia="仿宋_GB2312" w:cs="Times New Roman"/>
                <w:color w:val="000000"/>
                <w:kern w:val="0"/>
                <w:sz w:val="18"/>
                <w:szCs w:val="18"/>
              </w:rPr>
            </w:pPr>
          </w:p>
        </w:tc>
        <w:tc>
          <w:tcPr>
            <w:tcW w:w="1000" w:type="dxa"/>
            <w:vMerge w:val="restart"/>
            <w:shd w:val="clear" w:color="auto" w:fill="FFFFFF"/>
            <w:vAlign w:val="center"/>
          </w:tcPr>
          <w:p w14:paraId="3DE0E54E">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绩效目标　</w:t>
            </w:r>
          </w:p>
        </w:tc>
        <w:tc>
          <w:tcPr>
            <w:tcW w:w="1071" w:type="dxa"/>
            <w:shd w:val="clear" w:color="auto" w:fill="FFFFFF"/>
            <w:vAlign w:val="center"/>
          </w:tcPr>
          <w:p w14:paraId="0D37A751">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绩效目标</w:t>
            </w:r>
          </w:p>
          <w:p w14:paraId="1FB8D420">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合理性</w:t>
            </w:r>
          </w:p>
        </w:tc>
        <w:tc>
          <w:tcPr>
            <w:tcW w:w="1726" w:type="dxa"/>
            <w:shd w:val="clear" w:color="000000" w:fill="FFFFFF"/>
            <w:vAlign w:val="center"/>
          </w:tcPr>
          <w:p w14:paraId="19EDF734">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项目所设定的绩效目标是否依据充分，是否符合客观实际，用以反映和考核项目绩效目标与项目实施的相符情况。</w:t>
            </w:r>
          </w:p>
        </w:tc>
        <w:tc>
          <w:tcPr>
            <w:tcW w:w="5216" w:type="dxa"/>
            <w:shd w:val="clear" w:color="000000" w:fill="FFFFFF"/>
            <w:vAlign w:val="center"/>
          </w:tcPr>
          <w:p w14:paraId="6B3760B9">
            <w:pPr>
              <w:widowControl/>
              <w:spacing w:line="0" w:lineRule="atLeast"/>
              <w:jc w:val="lef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评价要点：</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（如未设定预算绩效目标，也可考核其他工作任务目标）</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①项目是否有绩效目标；</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②项目绩效目标与实际工作内容是否具有相关性；</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③项目预期产出效益和效果是否符合正常的业绩水平；</w:t>
            </w:r>
          </w:p>
          <w:p w14:paraId="058EEDA1">
            <w:pPr>
              <w:widowControl/>
              <w:spacing w:line="0" w:lineRule="atLeast"/>
              <w:jc w:val="lef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④是否与预算确定的项目投资额或资金量相匹配。</w:t>
            </w:r>
          </w:p>
        </w:tc>
        <w:tc>
          <w:tcPr>
            <w:tcW w:w="1300" w:type="dxa"/>
            <w:shd w:val="clear" w:color="000000" w:fill="FFFFFF"/>
            <w:vAlign w:val="center"/>
          </w:tcPr>
          <w:p w14:paraId="7E4E1961">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3</w:t>
            </w:r>
          </w:p>
        </w:tc>
        <w:tc>
          <w:tcPr>
            <w:tcW w:w="1366" w:type="dxa"/>
            <w:shd w:val="clear" w:color="000000" w:fill="FFFFFF"/>
            <w:vAlign w:val="center"/>
          </w:tcPr>
          <w:p w14:paraId="5D1D1853">
            <w:pPr>
              <w:widowControl/>
              <w:spacing w:line="0" w:lineRule="atLeast"/>
              <w:jc w:val="center"/>
              <w:rPr>
                <w:rFonts w:hint="eastAsia" w:ascii="Times New Roman" w:hAnsi="Times New Roman" w:eastAsia="仿宋_GB2312" w:cs="Times New Roman"/>
                <w:b/>
                <w:bCs/>
                <w:color w:val="000000"/>
                <w:kern w:val="0"/>
                <w:sz w:val="18"/>
                <w:szCs w:val="18"/>
                <w:lang w:val="en-US" w:eastAsia="zh-CN"/>
              </w:rPr>
            </w:pPr>
            <w:r>
              <w:rPr>
                <w:rFonts w:hint="eastAsia" w:eastAsia="仿宋_GB2312" w:cs="Times New Roman"/>
                <w:b/>
                <w:bCs/>
                <w:color w:val="000000"/>
                <w:kern w:val="0"/>
                <w:sz w:val="18"/>
                <w:szCs w:val="18"/>
                <w:lang w:val="en-US" w:eastAsia="zh-CN"/>
              </w:rPr>
              <w:t>3</w:t>
            </w:r>
          </w:p>
        </w:tc>
      </w:tr>
      <w:tr w14:paraId="339390C3">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464" w:hRule="atLeast"/>
          <w:jc w:val="center"/>
        </w:trPr>
        <w:tc>
          <w:tcPr>
            <w:tcW w:w="1004" w:type="dxa"/>
            <w:vMerge w:val="continue"/>
            <w:shd w:val="clear" w:color="auto" w:fill="FFFFFF"/>
            <w:vAlign w:val="center"/>
          </w:tcPr>
          <w:p w14:paraId="44C2EFC8">
            <w:pPr>
              <w:widowControl/>
              <w:spacing w:line="0" w:lineRule="atLeast"/>
              <w:jc w:val="center"/>
              <w:rPr>
                <w:rFonts w:hint="default" w:ascii="Times New Roman" w:hAnsi="Times New Roman" w:eastAsia="仿宋_GB2312" w:cs="Times New Roman"/>
                <w:color w:val="000000"/>
                <w:kern w:val="0"/>
                <w:sz w:val="18"/>
                <w:szCs w:val="18"/>
              </w:rPr>
            </w:pPr>
          </w:p>
        </w:tc>
        <w:tc>
          <w:tcPr>
            <w:tcW w:w="1000" w:type="dxa"/>
            <w:vMerge w:val="continue"/>
            <w:shd w:val="clear" w:color="auto" w:fill="FFFFFF"/>
            <w:vAlign w:val="center"/>
          </w:tcPr>
          <w:p w14:paraId="36F4A521">
            <w:pPr>
              <w:widowControl/>
              <w:spacing w:line="0" w:lineRule="atLeast"/>
              <w:jc w:val="center"/>
              <w:rPr>
                <w:rFonts w:hint="default" w:ascii="Times New Roman" w:hAnsi="Times New Roman" w:eastAsia="仿宋_GB2312" w:cs="Times New Roman"/>
                <w:color w:val="000000"/>
                <w:kern w:val="0"/>
                <w:sz w:val="18"/>
                <w:szCs w:val="18"/>
              </w:rPr>
            </w:pPr>
          </w:p>
        </w:tc>
        <w:tc>
          <w:tcPr>
            <w:tcW w:w="1071" w:type="dxa"/>
            <w:shd w:val="clear" w:color="auto" w:fill="FFFFFF"/>
            <w:vAlign w:val="center"/>
          </w:tcPr>
          <w:p w14:paraId="50D93C89">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绩效指标</w:t>
            </w:r>
          </w:p>
          <w:p w14:paraId="0FB42D6E">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明确性</w:t>
            </w:r>
          </w:p>
        </w:tc>
        <w:tc>
          <w:tcPr>
            <w:tcW w:w="1726" w:type="dxa"/>
            <w:shd w:val="clear" w:color="000000" w:fill="FFFFFF"/>
            <w:vAlign w:val="center"/>
          </w:tcPr>
          <w:p w14:paraId="03684B83">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依据绩效目标设定的绩效指标是否清晰、细化、可衡量等，用以反映和考核项目绩效目标的明细化情况。</w:t>
            </w:r>
          </w:p>
        </w:tc>
        <w:tc>
          <w:tcPr>
            <w:tcW w:w="5216" w:type="dxa"/>
            <w:shd w:val="clear" w:color="000000" w:fill="FFFFFF"/>
            <w:vAlign w:val="center"/>
          </w:tcPr>
          <w:p w14:paraId="79E2CBED">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评价要点：</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①是否将项目绩效目标细化分解为具体的绩效指标；</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②是否通过清晰、可衡量的指标值予以体现；</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③是否与项目目标任务数或计划数相对应。</w:t>
            </w:r>
            <w:r>
              <w:rPr>
                <w:rFonts w:hint="default" w:ascii="Times New Roman" w:hAnsi="Times New Roman" w:eastAsia="仿宋_GB2312" w:cs="Times New Roman"/>
                <w:color w:val="000000"/>
                <w:kern w:val="0"/>
                <w:sz w:val="18"/>
                <w:szCs w:val="18"/>
              </w:rPr>
              <w:br w:type="textWrapping"/>
            </w:r>
          </w:p>
        </w:tc>
        <w:tc>
          <w:tcPr>
            <w:tcW w:w="1300" w:type="dxa"/>
            <w:shd w:val="clear" w:color="000000" w:fill="FFFFFF"/>
            <w:vAlign w:val="center"/>
          </w:tcPr>
          <w:p w14:paraId="1FA0D7C7">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3</w:t>
            </w:r>
          </w:p>
        </w:tc>
        <w:tc>
          <w:tcPr>
            <w:tcW w:w="1366" w:type="dxa"/>
            <w:shd w:val="clear" w:color="000000" w:fill="FFFFFF"/>
            <w:vAlign w:val="center"/>
          </w:tcPr>
          <w:p w14:paraId="31DA899F">
            <w:pPr>
              <w:widowControl/>
              <w:spacing w:line="0" w:lineRule="atLeast"/>
              <w:jc w:val="center"/>
              <w:rPr>
                <w:rFonts w:hint="eastAsia" w:ascii="Times New Roman" w:hAnsi="Times New Roman" w:eastAsia="仿宋_GB2312" w:cs="Times New Roman"/>
                <w:b/>
                <w:bCs/>
                <w:color w:val="000000"/>
                <w:kern w:val="0"/>
                <w:sz w:val="18"/>
                <w:szCs w:val="18"/>
                <w:lang w:val="en-US" w:eastAsia="zh-CN"/>
              </w:rPr>
            </w:pPr>
            <w:r>
              <w:rPr>
                <w:rFonts w:hint="eastAsia" w:eastAsia="仿宋_GB2312" w:cs="Times New Roman"/>
                <w:b/>
                <w:bCs/>
                <w:color w:val="000000"/>
                <w:kern w:val="0"/>
                <w:sz w:val="18"/>
                <w:szCs w:val="18"/>
                <w:lang w:val="en-US" w:eastAsia="zh-CN"/>
              </w:rPr>
              <w:t>3</w:t>
            </w:r>
          </w:p>
        </w:tc>
      </w:tr>
      <w:tr w14:paraId="5692B2A2">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942" w:hRule="atLeast"/>
          <w:jc w:val="center"/>
        </w:trPr>
        <w:tc>
          <w:tcPr>
            <w:tcW w:w="1004" w:type="dxa"/>
            <w:vMerge w:val="continue"/>
            <w:shd w:val="clear" w:color="auto" w:fill="FFFFFF"/>
            <w:vAlign w:val="center"/>
          </w:tcPr>
          <w:p w14:paraId="53994905">
            <w:pPr>
              <w:spacing w:line="0" w:lineRule="atLeast"/>
              <w:jc w:val="center"/>
              <w:rPr>
                <w:rFonts w:hint="default" w:ascii="Times New Roman" w:hAnsi="Times New Roman" w:eastAsia="仿宋_GB2312" w:cs="Times New Roman"/>
                <w:color w:val="000000"/>
                <w:kern w:val="0"/>
                <w:sz w:val="18"/>
                <w:szCs w:val="18"/>
              </w:rPr>
            </w:pPr>
          </w:p>
        </w:tc>
        <w:tc>
          <w:tcPr>
            <w:tcW w:w="1000" w:type="dxa"/>
            <w:vMerge w:val="restart"/>
            <w:shd w:val="clear" w:color="auto" w:fill="FFFFFF"/>
            <w:vAlign w:val="center"/>
          </w:tcPr>
          <w:p w14:paraId="6037846A">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资金投入</w:t>
            </w:r>
          </w:p>
          <w:p w14:paraId="280CFD9A">
            <w:pPr>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　</w:t>
            </w:r>
          </w:p>
        </w:tc>
        <w:tc>
          <w:tcPr>
            <w:tcW w:w="1071" w:type="dxa"/>
            <w:shd w:val="clear" w:color="auto" w:fill="FFFFFF"/>
            <w:vAlign w:val="center"/>
          </w:tcPr>
          <w:p w14:paraId="7CED62CF">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预算编制</w:t>
            </w:r>
          </w:p>
          <w:p w14:paraId="79F5990A">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科学性</w:t>
            </w:r>
          </w:p>
        </w:tc>
        <w:tc>
          <w:tcPr>
            <w:tcW w:w="1726" w:type="dxa"/>
            <w:shd w:val="clear" w:color="auto" w:fill="FFFFFF"/>
            <w:vAlign w:val="center"/>
          </w:tcPr>
          <w:p w14:paraId="01B900C0">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项目预算编制是否经过科学论证、有明确标准，资金额度与年度目标是否相适应，用以反映和考核项目预算编制的科学性、合理性情况。</w:t>
            </w:r>
          </w:p>
        </w:tc>
        <w:tc>
          <w:tcPr>
            <w:tcW w:w="5216" w:type="dxa"/>
            <w:shd w:val="clear" w:color="auto" w:fill="FFFFFF"/>
            <w:vAlign w:val="center"/>
          </w:tcPr>
          <w:p w14:paraId="0C82D842">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评价要点：</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①预算编制是否经过科学论证；</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②预算内容与项目内容是否匹配；</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③预算额度测算依据是否充分，是否按照标准编制；</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④预算确定的项目投资额或资金量是否与工作任务相匹配。</w:t>
            </w:r>
          </w:p>
        </w:tc>
        <w:tc>
          <w:tcPr>
            <w:tcW w:w="1300" w:type="dxa"/>
            <w:shd w:val="clear" w:color="auto" w:fill="FFFFFF"/>
            <w:vAlign w:val="center"/>
          </w:tcPr>
          <w:p w14:paraId="3A15ADB5">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4</w:t>
            </w:r>
          </w:p>
        </w:tc>
        <w:tc>
          <w:tcPr>
            <w:tcW w:w="1366" w:type="dxa"/>
            <w:shd w:val="clear" w:color="auto" w:fill="FFFFFF"/>
            <w:vAlign w:val="center"/>
          </w:tcPr>
          <w:p w14:paraId="395E98BE">
            <w:pPr>
              <w:widowControl/>
              <w:spacing w:line="0" w:lineRule="atLeast"/>
              <w:jc w:val="center"/>
              <w:rPr>
                <w:rFonts w:hint="eastAsia" w:ascii="Times New Roman" w:hAnsi="Times New Roman" w:eastAsia="仿宋_GB2312" w:cs="Times New Roman"/>
                <w:b/>
                <w:bCs/>
                <w:color w:val="000000"/>
                <w:kern w:val="0"/>
                <w:sz w:val="18"/>
                <w:szCs w:val="18"/>
                <w:lang w:val="en-US" w:eastAsia="zh-CN"/>
              </w:rPr>
            </w:pPr>
            <w:r>
              <w:rPr>
                <w:rFonts w:hint="eastAsia" w:eastAsia="仿宋_GB2312" w:cs="Times New Roman"/>
                <w:b/>
                <w:bCs/>
                <w:color w:val="000000"/>
                <w:kern w:val="0"/>
                <w:sz w:val="18"/>
                <w:szCs w:val="18"/>
                <w:lang w:val="en-US" w:eastAsia="zh-CN"/>
              </w:rPr>
              <w:t>4</w:t>
            </w:r>
          </w:p>
        </w:tc>
      </w:tr>
      <w:tr w14:paraId="2360328D">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706" w:hRule="atLeast"/>
          <w:jc w:val="center"/>
        </w:trPr>
        <w:tc>
          <w:tcPr>
            <w:tcW w:w="1004" w:type="dxa"/>
            <w:vMerge w:val="continue"/>
            <w:shd w:val="clear" w:color="auto" w:fill="FFFFFF"/>
            <w:vAlign w:val="center"/>
          </w:tcPr>
          <w:p w14:paraId="60BC3B03">
            <w:pPr>
              <w:widowControl/>
              <w:spacing w:line="0" w:lineRule="atLeast"/>
              <w:jc w:val="center"/>
              <w:rPr>
                <w:rFonts w:hint="default" w:ascii="Times New Roman" w:hAnsi="Times New Roman" w:eastAsia="仿宋_GB2312" w:cs="Times New Roman"/>
                <w:color w:val="000000"/>
                <w:kern w:val="0"/>
                <w:sz w:val="18"/>
                <w:szCs w:val="18"/>
              </w:rPr>
            </w:pPr>
          </w:p>
        </w:tc>
        <w:tc>
          <w:tcPr>
            <w:tcW w:w="1000" w:type="dxa"/>
            <w:vMerge w:val="continue"/>
            <w:shd w:val="clear" w:color="auto" w:fill="FFFFFF"/>
            <w:vAlign w:val="center"/>
          </w:tcPr>
          <w:p w14:paraId="611DBD5B">
            <w:pPr>
              <w:widowControl/>
              <w:spacing w:line="0" w:lineRule="atLeast"/>
              <w:jc w:val="center"/>
              <w:rPr>
                <w:rFonts w:hint="default" w:ascii="Times New Roman" w:hAnsi="Times New Roman" w:eastAsia="仿宋_GB2312" w:cs="Times New Roman"/>
                <w:color w:val="000000"/>
                <w:kern w:val="0"/>
                <w:sz w:val="18"/>
                <w:szCs w:val="18"/>
              </w:rPr>
            </w:pPr>
          </w:p>
        </w:tc>
        <w:tc>
          <w:tcPr>
            <w:tcW w:w="1071" w:type="dxa"/>
            <w:shd w:val="clear" w:color="auto" w:fill="FFFFFF"/>
            <w:vAlign w:val="center"/>
          </w:tcPr>
          <w:p w14:paraId="39F88DEC">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资金分配</w:t>
            </w:r>
          </w:p>
          <w:p w14:paraId="2345692C">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合理性</w:t>
            </w:r>
          </w:p>
        </w:tc>
        <w:tc>
          <w:tcPr>
            <w:tcW w:w="1726" w:type="dxa"/>
            <w:shd w:val="clear" w:color="auto" w:fill="FFFFFF"/>
            <w:vAlign w:val="center"/>
          </w:tcPr>
          <w:p w14:paraId="75D7723F">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项目预算资金分配是否有测算依据，与补助单位或地方实际是否相适应，用以反映和考核项目预算资金分配的科学性、合理性情况。</w:t>
            </w:r>
          </w:p>
        </w:tc>
        <w:tc>
          <w:tcPr>
            <w:tcW w:w="5216" w:type="dxa"/>
            <w:shd w:val="clear" w:color="auto" w:fill="FFFFFF"/>
            <w:vAlign w:val="center"/>
          </w:tcPr>
          <w:p w14:paraId="01378B5C">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评价要点：</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①预算资金分配依据是否充分；</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②资金分配额度是否合理，与项目单位或地方实际是否相适应。</w:t>
            </w:r>
          </w:p>
        </w:tc>
        <w:tc>
          <w:tcPr>
            <w:tcW w:w="1300" w:type="dxa"/>
            <w:shd w:val="clear" w:color="auto" w:fill="FFFFFF"/>
            <w:vAlign w:val="center"/>
          </w:tcPr>
          <w:p w14:paraId="391FC137">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4</w:t>
            </w:r>
          </w:p>
        </w:tc>
        <w:tc>
          <w:tcPr>
            <w:tcW w:w="1366" w:type="dxa"/>
            <w:shd w:val="clear" w:color="auto" w:fill="FFFFFF"/>
            <w:vAlign w:val="center"/>
          </w:tcPr>
          <w:p w14:paraId="79F8B1C4">
            <w:pPr>
              <w:widowControl/>
              <w:spacing w:line="0" w:lineRule="atLeast"/>
              <w:jc w:val="center"/>
              <w:rPr>
                <w:rFonts w:hint="eastAsia" w:ascii="Times New Roman" w:hAnsi="Times New Roman" w:eastAsia="仿宋_GB2312" w:cs="Times New Roman"/>
                <w:b/>
                <w:bCs/>
                <w:color w:val="000000"/>
                <w:kern w:val="0"/>
                <w:sz w:val="18"/>
                <w:szCs w:val="18"/>
                <w:lang w:val="en-US" w:eastAsia="zh-CN"/>
              </w:rPr>
            </w:pPr>
            <w:r>
              <w:rPr>
                <w:rFonts w:hint="eastAsia" w:eastAsia="仿宋_GB2312" w:cs="Times New Roman"/>
                <w:b/>
                <w:bCs/>
                <w:color w:val="000000"/>
                <w:kern w:val="0"/>
                <w:sz w:val="18"/>
                <w:szCs w:val="18"/>
                <w:lang w:val="en-US" w:eastAsia="zh-CN"/>
              </w:rPr>
              <w:t>4</w:t>
            </w:r>
          </w:p>
        </w:tc>
      </w:tr>
      <w:tr w14:paraId="3DFF08FB">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415" w:hRule="atLeast"/>
          <w:jc w:val="center"/>
        </w:trPr>
        <w:tc>
          <w:tcPr>
            <w:tcW w:w="1004" w:type="dxa"/>
            <w:vMerge w:val="restart"/>
            <w:shd w:val="clear" w:color="auto" w:fill="FFFFFF"/>
            <w:vAlign w:val="center"/>
          </w:tcPr>
          <w:p w14:paraId="47CC535B">
            <w:pPr>
              <w:spacing w:line="0" w:lineRule="atLeast"/>
              <w:jc w:val="center"/>
              <w:rPr>
                <w:rFonts w:hint="default" w:ascii="Times New Roman" w:hAnsi="Times New Roman" w:eastAsia="仿宋_GB2312" w:cs="Times New Roman"/>
                <w:color w:val="000000"/>
                <w:kern w:val="0"/>
                <w:sz w:val="18"/>
                <w:szCs w:val="18"/>
              </w:rPr>
            </w:pPr>
          </w:p>
          <w:p w14:paraId="4C85FAB6">
            <w:pPr>
              <w:spacing w:line="0" w:lineRule="atLeast"/>
              <w:jc w:val="center"/>
              <w:rPr>
                <w:rFonts w:hint="default" w:ascii="Times New Roman" w:hAnsi="Times New Roman" w:eastAsia="仿宋_GB2312" w:cs="Times New Roman"/>
                <w:color w:val="000000"/>
                <w:kern w:val="0"/>
                <w:sz w:val="18"/>
                <w:szCs w:val="18"/>
              </w:rPr>
            </w:pPr>
          </w:p>
          <w:p w14:paraId="397AC56A">
            <w:pPr>
              <w:spacing w:line="0" w:lineRule="atLeast"/>
              <w:jc w:val="center"/>
              <w:rPr>
                <w:rFonts w:hint="default" w:ascii="Times New Roman" w:hAnsi="Times New Roman" w:eastAsia="仿宋_GB2312" w:cs="Times New Roman"/>
                <w:color w:val="000000"/>
                <w:kern w:val="0"/>
                <w:sz w:val="18"/>
                <w:szCs w:val="18"/>
              </w:rPr>
            </w:pPr>
          </w:p>
          <w:p w14:paraId="457AABB5">
            <w:pPr>
              <w:spacing w:line="0" w:lineRule="atLeast"/>
              <w:jc w:val="center"/>
              <w:rPr>
                <w:rFonts w:hint="default" w:ascii="Times New Roman" w:hAnsi="Times New Roman" w:eastAsia="仿宋_GB2312" w:cs="Times New Roman"/>
                <w:color w:val="000000"/>
                <w:kern w:val="0"/>
                <w:sz w:val="18"/>
                <w:szCs w:val="18"/>
              </w:rPr>
            </w:pPr>
          </w:p>
          <w:p w14:paraId="5823BD93">
            <w:pPr>
              <w:spacing w:line="0" w:lineRule="atLeast"/>
              <w:jc w:val="center"/>
              <w:rPr>
                <w:rFonts w:hint="default" w:ascii="Times New Roman" w:hAnsi="Times New Roman" w:eastAsia="仿宋_GB2312" w:cs="Times New Roman"/>
                <w:color w:val="000000"/>
                <w:kern w:val="0"/>
                <w:sz w:val="18"/>
                <w:szCs w:val="18"/>
              </w:rPr>
            </w:pPr>
          </w:p>
          <w:p w14:paraId="2A429D81">
            <w:pPr>
              <w:spacing w:line="0" w:lineRule="atLeast"/>
              <w:jc w:val="center"/>
              <w:rPr>
                <w:rFonts w:hint="default" w:ascii="Times New Roman" w:hAnsi="Times New Roman" w:eastAsia="仿宋_GB2312" w:cs="Times New Roman"/>
                <w:color w:val="000000"/>
                <w:kern w:val="0"/>
                <w:sz w:val="18"/>
                <w:szCs w:val="18"/>
              </w:rPr>
            </w:pPr>
          </w:p>
          <w:p w14:paraId="365D36BF">
            <w:pPr>
              <w:spacing w:line="0" w:lineRule="atLeast"/>
              <w:jc w:val="center"/>
              <w:rPr>
                <w:rFonts w:hint="default" w:ascii="Times New Roman" w:hAnsi="Times New Roman" w:eastAsia="仿宋_GB2312" w:cs="Times New Roman"/>
                <w:color w:val="000000"/>
                <w:kern w:val="0"/>
                <w:sz w:val="18"/>
                <w:szCs w:val="18"/>
              </w:rPr>
            </w:pPr>
          </w:p>
          <w:p w14:paraId="772D435F">
            <w:pPr>
              <w:spacing w:line="0" w:lineRule="atLeast"/>
              <w:jc w:val="center"/>
              <w:rPr>
                <w:rFonts w:hint="default" w:ascii="Times New Roman" w:hAnsi="Times New Roman" w:eastAsia="仿宋_GB2312" w:cs="Times New Roman"/>
                <w:color w:val="000000"/>
                <w:kern w:val="0"/>
                <w:sz w:val="18"/>
                <w:szCs w:val="18"/>
              </w:rPr>
            </w:pPr>
          </w:p>
          <w:p w14:paraId="2E4A752C">
            <w:pPr>
              <w:spacing w:line="0" w:lineRule="atLeast"/>
              <w:jc w:val="center"/>
              <w:rPr>
                <w:rFonts w:hint="default" w:ascii="Times New Roman" w:hAnsi="Times New Roman" w:eastAsia="仿宋_GB2312" w:cs="Times New Roman"/>
                <w:color w:val="000000"/>
                <w:kern w:val="0"/>
                <w:sz w:val="18"/>
                <w:szCs w:val="18"/>
              </w:rPr>
            </w:pPr>
          </w:p>
          <w:p w14:paraId="5CBFBDEC">
            <w:pPr>
              <w:spacing w:line="0" w:lineRule="atLeast"/>
              <w:jc w:val="center"/>
              <w:rPr>
                <w:rFonts w:hint="default" w:ascii="Times New Roman" w:hAnsi="Times New Roman" w:eastAsia="仿宋_GB2312" w:cs="Times New Roman"/>
                <w:color w:val="000000"/>
                <w:kern w:val="0"/>
                <w:sz w:val="18"/>
                <w:szCs w:val="18"/>
              </w:rPr>
            </w:pPr>
          </w:p>
          <w:p w14:paraId="37C6FF5F">
            <w:pPr>
              <w:spacing w:line="0" w:lineRule="atLeast"/>
              <w:jc w:val="center"/>
              <w:rPr>
                <w:rFonts w:hint="default" w:ascii="Times New Roman" w:hAnsi="Times New Roman" w:eastAsia="仿宋_GB2312" w:cs="Times New Roman"/>
                <w:color w:val="000000"/>
                <w:kern w:val="0"/>
                <w:sz w:val="18"/>
                <w:szCs w:val="18"/>
              </w:rPr>
            </w:pPr>
          </w:p>
          <w:p w14:paraId="62266F67">
            <w:pPr>
              <w:spacing w:line="0" w:lineRule="atLeast"/>
              <w:jc w:val="center"/>
              <w:rPr>
                <w:rFonts w:hint="default" w:ascii="Times New Roman" w:hAnsi="Times New Roman" w:eastAsia="仿宋_GB2312" w:cs="Times New Roman"/>
                <w:color w:val="000000"/>
                <w:kern w:val="0"/>
                <w:sz w:val="18"/>
                <w:szCs w:val="18"/>
              </w:rPr>
            </w:pPr>
          </w:p>
          <w:p w14:paraId="674BF233">
            <w:pPr>
              <w:spacing w:line="0" w:lineRule="atLeast"/>
              <w:jc w:val="center"/>
              <w:rPr>
                <w:rFonts w:hint="default" w:ascii="Times New Roman" w:hAnsi="Times New Roman" w:eastAsia="仿宋_GB2312" w:cs="Times New Roman"/>
                <w:color w:val="000000"/>
                <w:kern w:val="0"/>
                <w:sz w:val="18"/>
                <w:szCs w:val="18"/>
              </w:rPr>
            </w:pPr>
          </w:p>
          <w:p w14:paraId="03CBFF58">
            <w:pPr>
              <w:spacing w:line="0" w:lineRule="atLeast"/>
              <w:jc w:val="center"/>
              <w:rPr>
                <w:rFonts w:hint="default" w:ascii="Times New Roman" w:hAnsi="Times New Roman" w:eastAsia="仿宋_GB2312" w:cs="Times New Roman"/>
                <w:color w:val="000000"/>
                <w:kern w:val="0"/>
                <w:sz w:val="18"/>
                <w:szCs w:val="18"/>
              </w:rPr>
            </w:pPr>
          </w:p>
          <w:p w14:paraId="2B7648F8">
            <w:pPr>
              <w:spacing w:line="0" w:lineRule="atLeast"/>
              <w:jc w:val="center"/>
              <w:rPr>
                <w:rFonts w:hint="default" w:ascii="Times New Roman" w:hAnsi="Times New Roman" w:eastAsia="仿宋_GB2312" w:cs="Times New Roman"/>
                <w:color w:val="000000"/>
                <w:kern w:val="0"/>
                <w:sz w:val="18"/>
                <w:szCs w:val="18"/>
              </w:rPr>
            </w:pPr>
          </w:p>
          <w:p w14:paraId="63357CC8">
            <w:pPr>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过程</w:t>
            </w:r>
          </w:p>
          <w:p w14:paraId="45CDF099">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　　</w:t>
            </w:r>
          </w:p>
        </w:tc>
        <w:tc>
          <w:tcPr>
            <w:tcW w:w="1000" w:type="dxa"/>
            <w:vMerge w:val="restart"/>
            <w:shd w:val="clear" w:color="auto" w:fill="FFFFFF"/>
            <w:vAlign w:val="center"/>
          </w:tcPr>
          <w:p w14:paraId="69FEAD71">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资金管理</w:t>
            </w:r>
          </w:p>
        </w:tc>
        <w:tc>
          <w:tcPr>
            <w:tcW w:w="1071" w:type="dxa"/>
            <w:shd w:val="clear" w:color="auto" w:fill="FFFFFF"/>
            <w:vAlign w:val="center"/>
          </w:tcPr>
          <w:p w14:paraId="2383518A">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资金到位率</w:t>
            </w:r>
          </w:p>
        </w:tc>
        <w:tc>
          <w:tcPr>
            <w:tcW w:w="1726" w:type="dxa"/>
            <w:shd w:val="clear" w:color="000000" w:fill="FFFFFF"/>
            <w:vAlign w:val="center"/>
          </w:tcPr>
          <w:p w14:paraId="407E19A4">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实际到位资金与预算资金的比率，用以反映和考核资金落实情况对项目实施的总体保障程度。</w:t>
            </w:r>
          </w:p>
        </w:tc>
        <w:tc>
          <w:tcPr>
            <w:tcW w:w="5216" w:type="dxa"/>
            <w:shd w:val="clear" w:color="000000" w:fill="FFFFFF"/>
            <w:vAlign w:val="center"/>
          </w:tcPr>
          <w:p w14:paraId="20166229">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资金到位率=（实际到位资金/预算资金）×100%。</w:t>
            </w:r>
          </w:p>
          <w:p w14:paraId="5D670E73">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实际到位资金：一定时期（本年度或项目期）内落实到具体项目的资金。</w:t>
            </w:r>
          </w:p>
          <w:p w14:paraId="3F64BA86">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预算资金：一定时期（本年度或项目期）内预算安排到具体项目的资金。</w:t>
            </w:r>
          </w:p>
        </w:tc>
        <w:tc>
          <w:tcPr>
            <w:tcW w:w="1300" w:type="dxa"/>
            <w:shd w:val="clear" w:color="000000" w:fill="FFFFFF"/>
            <w:vAlign w:val="center"/>
          </w:tcPr>
          <w:p w14:paraId="7FDA1FF1">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4</w:t>
            </w:r>
          </w:p>
        </w:tc>
        <w:tc>
          <w:tcPr>
            <w:tcW w:w="1366" w:type="dxa"/>
            <w:shd w:val="clear" w:color="000000" w:fill="FFFFFF"/>
            <w:vAlign w:val="center"/>
          </w:tcPr>
          <w:p w14:paraId="46ACDCFF">
            <w:pPr>
              <w:widowControl/>
              <w:spacing w:line="0" w:lineRule="atLeast"/>
              <w:jc w:val="center"/>
              <w:rPr>
                <w:rFonts w:hint="eastAsia" w:ascii="Times New Roman" w:hAnsi="Times New Roman" w:eastAsia="仿宋_GB2312" w:cs="Times New Roman"/>
                <w:b/>
                <w:bCs/>
                <w:color w:val="000000"/>
                <w:kern w:val="0"/>
                <w:sz w:val="18"/>
                <w:szCs w:val="18"/>
                <w:lang w:val="en-US" w:eastAsia="zh-CN"/>
              </w:rPr>
            </w:pPr>
            <w:r>
              <w:rPr>
                <w:rFonts w:hint="eastAsia" w:eastAsia="仿宋_GB2312" w:cs="Times New Roman"/>
                <w:b/>
                <w:bCs/>
                <w:color w:val="000000"/>
                <w:kern w:val="0"/>
                <w:sz w:val="18"/>
                <w:szCs w:val="18"/>
                <w:lang w:val="en-US" w:eastAsia="zh-CN"/>
              </w:rPr>
              <w:t>4</w:t>
            </w:r>
          </w:p>
        </w:tc>
      </w:tr>
      <w:tr w14:paraId="429B3075">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320" w:hRule="atLeast"/>
          <w:jc w:val="center"/>
        </w:trPr>
        <w:tc>
          <w:tcPr>
            <w:tcW w:w="1004" w:type="dxa"/>
            <w:vMerge w:val="continue"/>
            <w:shd w:val="clear" w:color="auto" w:fill="FFFFFF"/>
            <w:vAlign w:val="center"/>
          </w:tcPr>
          <w:p w14:paraId="390D3D5D">
            <w:pPr>
              <w:spacing w:line="0" w:lineRule="atLeast"/>
              <w:jc w:val="center"/>
              <w:rPr>
                <w:rFonts w:hint="default" w:ascii="Times New Roman" w:hAnsi="Times New Roman" w:eastAsia="仿宋_GB2312" w:cs="Times New Roman"/>
                <w:color w:val="000000"/>
                <w:kern w:val="0"/>
                <w:sz w:val="18"/>
                <w:szCs w:val="18"/>
              </w:rPr>
            </w:pPr>
          </w:p>
        </w:tc>
        <w:tc>
          <w:tcPr>
            <w:tcW w:w="1000" w:type="dxa"/>
            <w:vMerge w:val="continue"/>
            <w:shd w:val="clear" w:color="auto" w:fill="FFFFFF"/>
            <w:vAlign w:val="center"/>
          </w:tcPr>
          <w:p w14:paraId="0FAFF7A7">
            <w:pPr>
              <w:spacing w:line="0" w:lineRule="atLeast"/>
              <w:jc w:val="center"/>
              <w:rPr>
                <w:rFonts w:hint="default" w:ascii="Times New Roman" w:hAnsi="Times New Roman" w:eastAsia="仿宋_GB2312" w:cs="Times New Roman"/>
                <w:color w:val="000000"/>
                <w:kern w:val="0"/>
                <w:sz w:val="18"/>
                <w:szCs w:val="18"/>
              </w:rPr>
            </w:pPr>
          </w:p>
        </w:tc>
        <w:tc>
          <w:tcPr>
            <w:tcW w:w="1071" w:type="dxa"/>
            <w:shd w:val="clear" w:color="auto" w:fill="FFFFFF"/>
            <w:vAlign w:val="center"/>
          </w:tcPr>
          <w:p w14:paraId="5C63A30B">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预算执行率</w:t>
            </w:r>
          </w:p>
        </w:tc>
        <w:tc>
          <w:tcPr>
            <w:tcW w:w="1726" w:type="dxa"/>
            <w:shd w:val="clear" w:color="auto" w:fill="FFFFFF"/>
            <w:vAlign w:val="center"/>
          </w:tcPr>
          <w:p w14:paraId="44B99A0F">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项目预算资金是否按照计划执行，用以反映或考核项目预算执行情况。</w:t>
            </w:r>
          </w:p>
        </w:tc>
        <w:tc>
          <w:tcPr>
            <w:tcW w:w="5216" w:type="dxa"/>
            <w:shd w:val="clear" w:color="auto" w:fill="FFFFFF"/>
            <w:vAlign w:val="center"/>
          </w:tcPr>
          <w:p w14:paraId="62F5F471">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预算执行率=（实际支出资金/实际到位资金）×100%。</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实际支出资金：一定时期（本年度或项目期）内项目实际拨付的资金。</w:t>
            </w:r>
          </w:p>
        </w:tc>
        <w:tc>
          <w:tcPr>
            <w:tcW w:w="1300" w:type="dxa"/>
            <w:shd w:val="clear" w:color="auto" w:fill="FFFFFF"/>
            <w:vAlign w:val="center"/>
          </w:tcPr>
          <w:p w14:paraId="33CCBA18">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4</w:t>
            </w:r>
          </w:p>
        </w:tc>
        <w:tc>
          <w:tcPr>
            <w:tcW w:w="1366" w:type="dxa"/>
            <w:shd w:val="clear" w:color="auto" w:fill="FFFFFF"/>
            <w:vAlign w:val="center"/>
          </w:tcPr>
          <w:p w14:paraId="32E7236A">
            <w:pPr>
              <w:widowControl/>
              <w:spacing w:line="0" w:lineRule="atLeast"/>
              <w:jc w:val="center"/>
              <w:rPr>
                <w:rFonts w:hint="eastAsia" w:ascii="Times New Roman" w:hAnsi="Times New Roman" w:eastAsia="仿宋_GB2312" w:cs="Times New Roman"/>
                <w:b/>
                <w:bCs/>
                <w:color w:val="000000"/>
                <w:kern w:val="0"/>
                <w:sz w:val="18"/>
                <w:szCs w:val="18"/>
                <w:lang w:val="en-US" w:eastAsia="zh-CN"/>
              </w:rPr>
            </w:pPr>
            <w:r>
              <w:rPr>
                <w:rFonts w:hint="eastAsia" w:eastAsia="仿宋_GB2312" w:cs="Times New Roman"/>
                <w:b/>
                <w:bCs/>
                <w:color w:val="000000"/>
                <w:kern w:val="0"/>
                <w:sz w:val="18"/>
                <w:szCs w:val="18"/>
                <w:lang w:val="en-US" w:eastAsia="zh-CN"/>
              </w:rPr>
              <w:t>4</w:t>
            </w:r>
          </w:p>
        </w:tc>
      </w:tr>
      <w:tr w14:paraId="247104D7">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2076" w:hRule="atLeast"/>
          <w:jc w:val="center"/>
        </w:trPr>
        <w:tc>
          <w:tcPr>
            <w:tcW w:w="1004" w:type="dxa"/>
            <w:vMerge w:val="continue"/>
            <w:shd w:val="clear" w:color="auto" w:fill="FFFFFF"/>
            <w:vAlign w:val="center"/>
          </w:tcPr>
          <w:p w14:paraId="1DA48C4F">
            <w:pPr>
              <w:spacing w:line="0" w:lineRule="atLeast"/>
              <w:jc w:val="center"/>
              <w:rPr>
                <w:rFonts w:hint="default" w:ascii="Times New Roman" w:hAnsi="Times New Roman" w:eastAsia="仿宋_GB2312" w:cs="Times New Roman"/>
                <w:color w:val="000000"/>
                <w:kern w:val="0"/>
                <w:sz w:val="18"/>
                <w:szCs w:val="18"/>
              </w:rPr>
            </w:pPr>
          </w:p>
        </w:tc>
        <w:tc>
          <w:tcPr>
            <w:tcW w:w="1000" w:type="dxa"/>
            <w:shd w:val="clear" w:color="auto" w:fill="FFFFFF"/>
            <w:vAlign w:val="center"/>
          </w:tcPr>
          <w:p w14:paraId="1FC47B6B">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资金管理</w:t>
            </w:r>
          </w:p>
        </w:tc>
        <w:tc>
          <w:tcPr>
            <w:tcW w:w="1071" w:type="dxa"/>
            <w:shd w:val="clear" w:color="auto" w:fill="FFFFFF"/>
            <w:vAlign w:val="center"/>
          </w:tcPr>
          <w:p w14:paraId="29546F8E">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资金使用</w:t>
            </w:r>
          </w:p>
          <w:p w14:paraId="0DB469D2">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合规性</w:t>
            </w:r>
          </w:p>
        </w:tc>
        <w:tc>
          <w:tcPr>
            <w:tcW w:w="1726" w:type="dxa"/>
            <w:shd w:val="clear" w:color="000000" w:fill="FFFFFF"/>
            <w:vAlign w:val="center"/>
          </w:tcPr>
          <w:p w14:paraId="0F140AC3">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项目资金使用是否符合相关的财务管理制度规定，用以反映和考核项目资金的规范运行情况。</w:t>
            </w:r>
          </w:p>
        </w:tc>
        <w:tc>
          <w:tcPr>
            <w:tcW w:w="5216" w:type="dxa"/>
            <w:shd w:val="clear" w:color="000000" w:fill="FFFFFF"/>
            <w:vAlign w:val="center"/>
          </w:tcPr>
          <w:p w14:paraId="5E069C7F">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评价要点：</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①是否符合国家财经法规和财务管理制度以及有关专项资金管理办法的规定；</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②资金的拨付是否有完整的审批程序和手续；</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③是否符合项目预算批复或合同规定的用途；</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④是否存在截留、挤占、挪用、虚列支出等情况。</w:t>
            </w:r>
          </w:p>
        </w:tc>
        <w:tc>
          <w:tcPr>
            <w:tcW w:w="1300" w:type="dxa"/>
            <w:shd w:val="clear" w:color="000000" w:fill="FFFFFF"/>
            <w:vAlign w:val="center"/>
          </w:tcPr>
          <w:p w14:paraId="1D93DDC4">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4</w:t>
            </w:r>
          </w:p>
        </w:tc>
        <w:tc>
          <w:tcPr>
            <w:tcW w:w="1366" w:type="dxa"/>
            <w:shd w:val="clear" w:color="000000" w:fill="FFFFFF"/>
            <w:vAlign w:val="center"/>
          </w:tcPr>
          <w:p w14:paraId="18EC889D">
            <w:pPr>
              <w:widowControl/>
              <w:spacing w:line="0" w:lineRule="atLeast"/>
              <w:jc w:val="center"/>
              <w:rPr>
                <w:rFonts w:hint="eastAsia" w:ascii="Times New Roman" w:hAnsi="Times New Roman" w:eastAsia="仿宋_GB2312" w:cs="Times New Roman"/>
                <w:b/>
                <w:bCs/>
                <w:color w:val="000000"/>
                <w:kern w:val="0"/>
                <w:sz w:val="18"/>
                <w:szCs w:val="18"/>
                <w:lang w:val="en-US" w:eastAsia="zh-CN"/>
              </w:rPr>
            </w:pPr>
            <w:r>
              <w:rPr>
                <w:rFonts w:hint="eastAsia" w:eastAsia="仿宋_GB2312" w:cs="Times New Roman"/>
                <w:b/>
                <w:bCs/>
                <w:color w:val="000000"/>
                <w:kern w:val="0"/>
                <w:sz w:val="18"/>
                <w:szCs w:val="18"/>
                <w:lang w:val="en-US" w:eastAsia="zh-CN"/>
              </w:rPr>
              <w:t>4</w:t>
            </w:r>
          </w:p>
        </w:tc>
      </w:tr>
      <w:tr w14:paraId="746738E3">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797" w:hRule="atLeast"/>
          <w:jc w:val="center"/>
        </w:trPr>
        <w:tc>
          <w:tcPr>
            <w:tcW w:w="1004" w:type="dxa"/>
            <w:vMerge w:val="continue"/>
            <w:shd w:val="clear" w:color="auto" w:fill="FFFFFF"/>
            <w:vAlign w:val="center"/>
          </w:tcPr>
          <w:p w14:paraId="7B90F624">
            <w:pPr>
              <w:spacing w:line="0" w:lineRule="atLeast"/>
              <w:jc w:val="center"/>
              <w:rPr>
                <w:rFonts w:hint="default" w:ascii="Times New Roman" w:hAnsi="Times New Roman" w:eastAsia="仿宋_GB2312" w:cs="Times New Roman"/>
                <w:color w:val="000000"/>
                <w:kern w:val="0"/>
                <w:sz w:val="18"/>
                <w:szCs w:val="18"/>
              </w:rPr>
            </w:pPr>
          </w:p>
        </w:tc>
        <w:tc>
          <w:tcPr>
            <w:tcW w:w="1000" w:type="dxa"/>
            <w:vMerge w:val="restart"/>
            <w:shd w:val="clear" w:color="auto" w:fill="FFFFFF"/>
            <w:vAlign w:val="center"/>
          </w:tcPr>
          <w:p w14:paraId="75C6E99C">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组织实施</w:t>
            </w:r>
          </w:p>
          <w:p w14:paraId="152EA830">
            <w:pPr>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　</w:t>
            </w:r>
          </w:p>
        </w:tc>
        <w:tc>
          <w:tcPr>
            <w:tcW w:w="1071" w:type="dxa"/>
            <w:shd w:val="clear" w:color="auto" w:fill="FFFFFF"/>
            <w:vAlign w:val="center"/>
          </w:tcPr>
          <w:p w14:paraId="3F65C088">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管理制度</w:t>
            </w:r>
          </w:p>
          <w:p w14:paraId="546DB571">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健全性</w:t>
            </w:r>
          </w:p>
        </w:tc>
        <w:tc>
          <w:tcPr>
            <w:tcW w:w="1726" w:type="dxa"/>
            <w:shd w:val="clear" w:color="000000" w:fill="FFFFFF"/>
            <w:vAlign w:val="center"/>
          </w:tcPr>
          <w:p w14:paraId="17FDA085">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项目实施单位的财务和业务管理制度是否健全，用以反映和考核财务和业务管理制度对项目顺利实施的保障情况。</w:t>
            </w:r>
          </w:p>
        </w:tc>
        <w:tc>
          <w:tcPr>
            <w:tcW w:w="5216" w:type="dxa"/>
            <w:shd w:val="clear" w:color="000000" w:fill="FFFFFF"/>
            <w:vAlign w:val="center"/>
          </w:tcPr>
          <w:p w14:paraId="26E27BDC">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评价要点：</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①是否已制定或具有相应的财务和业务管理制度；</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②财务和业务管理制度是否合法、合规、完整。</w:t>
            </w:r>
          </w:p>
        </w:tc>
        <w:tc>
          <w:tcPr>
            <w:tcW w:w="1300" w:type="dxa"/>
            <w:shd w:val="clear" w:color="000000" w:fill="FFFFFF"/>
            <w:vAlign w:val="center"/>
          </w:tcPr>
          <w:p w14:paraId="68A339F4">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4</w:t>
            </w:r>
          </w:p>
        </w:tc>
        <w:tc>
          <w:tcPr>
            <w:tcW w:w="1366" w:type="dxa"/>
            <w:shd w:val="clear" w:color="000000" w:fill="FFFFFF"/>
            <w:vAlign w:val="center"/>
          </w:tcPr>
          <w:p w14:paraId="2081D281">
            <w:pPr>
              <w:widowControl/>
              <w:spacing w:line="0" w:lineRule="atLeast"/>
              <w:jc w:val="center"/>
              <w:rPr>
                <w:rFonts w:hint="eastAsia" w:ascii="Times New Roman" w:hAnsi="Times New Roman" w:eastAsia="仿宋_GB2312" w:cs="Times New Roman"/>
                <w:b/>
                <w:bCs/>
                <w:color w:val="000000"/>
                <w:kern w:val="0"/>
                <w:sz w:val="18"/>
                <w:szCs w:val="18"/>
                <w:lang w:val="en-US" w:eastAsia="zh-CN"/>
              </w:rPr>
            </w:pPr>
            <w:r>
              <w:rPr>
                <w:rFonts w:hint="eastAsia" w:eastAsia="仿宋_GB2312" w:cs="Times New Roman"/>
                <w:b/>
                <w:bCs/>
                <w:color w:val="000000"/>
                <w:kern w:val="0"/>
                <w:sz w:val="18"/>
                <w:szCs w:val="18"/>
                <w:lang w:val="en-US" w:eastAsia="zh-CN"/>
              </w:rPr>
              <w:t>4</w:t>
            </w:r>
          </w:p>
        </w:tc>
      </w:tr>
      <w:tr w14:paraId="250B33D1">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769" w:hRule="atLeast"/>
          <w:jc w:val="center"/>
        </w:trPr>
        <w:tc>
          <w:tcPr>
            <w:tcW w:w="1004" w:type="dxa"/>
            <w:vMerge w:val="continue"/>
            <w:shd w:val="clear" w:color="auto" w:fill="FFFFFF"/>
            <w:vAlign w:val="center"/>
          </w:tcPr>
          <w:p w14:paraId="54E5A508">
            <w:pPr>
              <w:widowControl/>
              <w:spacing w:line="0" w:lineRule="atLeast"/>
              <w:jc w:val="center"/>
              <w:rPr>
                <w:rFonts w:hint="default" w:ascii="Times New Roman" w:hAnsi="Times New Roman" w:eastAsia="仿宋_GB2312" w:cs="Times New Roman"/>
                <w:color w:val="000000"/>
                <w:kern w:val="0"/>
                <w:sz w:val="18"/>
                <w:szCs w:val="18"/>
              </w:rPr>
            </w:pPr>
          </w:p>
        </w:tc>
        <w:tc>
          <w:tcPr>
            <w:tcW w:w="1000" w:type="dxa"/>
            <w:vMerge w:val="continue"/>
            <w:shd w:val="clear" w:color="auto" w:fill="FFFFFF"/>
            <w:vAlign w:val="center"/>
          </w:tcPr>
          <w:p w14:paraId="20B93D41">
            <w:pPr>
              <w:widowControl/>
              <w:spacing w:line="0" w:lineRule="atLeast"/>
              <w:jc w:val="center"/>
              <w:rPr>
                <w:rFonts w:hint="default" w:ascii="Times New Roman" w:hAnsi="Times New Roman" w:eastAsia="仿宋_GB2312" w:cs="Times New Roman"/>
                <w:color w:val="000000"/>
                <w:kern w:val="0"/>
                <w:sz w:val="18"/>
                <w:szCs w:val="18"/>
              </w:rPr>
            </w:pPr>
          </w:p>
        </w:tc>
        <w:tc>
          <w:tcPr>
            <w:tcW w:w="1071" w:type="dxa"/>
            <w:shd w:val="clear" w:color="auto" w:fill="FFFFFF"/>
            <w:vAlign w:val="center"/>
          </w:tcPr>
          <w:p w14:paraId="2BF1931C">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制度执行</w:t>
            </w:r>
          </w:p>
          <w:p w14:paraId="66A79B84">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有效性</w:t>
            </w:r>
          </w:p>
        </w:tc>
        <w:tc>
          <w:tcPr>
            <w:tcW w:w="1726" w:type="dxa"/>
            <w:shd w:val="clear" w:color="000000" w:fill="FFFFFF"/>
            <w:vAlign w:val="center"/>
          </w:tcPr>
          <w:p w14:paraId="7C5CB34D">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项目实施是否符合相关管理规定，用以反映和考核相关管理制度的有效执行情况。</w:t>
            </w:r>
          </w:p>
        </w:tc>
        <w:tc>
          <w:tcPr>
            <w:tcW w:w="5216" w:type="dxa"/>
            <w:shd w:val="clear" w:color="000000" w:fill="FFFFFF"/>
            <w:vAlign w:val="center"/>
          </w:tcPr>
          <w:p w14:paraId="1C400F1B">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评价要点：</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①是否遵守相关法律法规和相关管理规定；</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②项目调整及支出调整手续是否完备；</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③项目合同书、验收报告、技术鉴定等资料是否齐全并及时归档；</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④项目实施的人员条件、场地设备、信息支撑等是否落实到位。</w:t>
            </w:r>
          </w:p>
        </w:tc>
        <w:tc>
          <w:tcPr>
            <w:tcW w:w="1300" w:type="dxa"/>
            <w:shd w:val="clear" w:color="000000" w:fill="FFFFFF"/>
            <w:vAlign w:val="center"/>
          </w:tcPr>
          <w:p w14:paraId="7EC46B26">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4</w:t>
            </w:r>
          </w:p>
        </w:tc>
        <w:tc>
          <w:tcPr>
            <w:tcW w:w="1366" w:type="dxa"/>
            <w:shd w:val="clear" w:color="000000" w:fill="FFFFFF"/>
            <w:vAlign w:val="center"/>
          </w:tcPr>
          <w:p w14:paraId="278C4D66">
            <w:pPr>
              <w:widowControl/>
              <w:spacing w:line="0" w:lineRule="atLeast"/>
              <w:jc w:val="center"/>
              <w:rPr>
                <w:rFonts w:hint="eastAsia" w:ascii="Times New Roman" w:hAnsi="Times New Roman" w:eastAsia="仿宋_GB2312" w:cs="Times New Roman"/>
                <w:b/>
                <w:bCs/>
                <w:color w:val="000000"/>
                <w:kern w:val="0"/>
                <w:sz w:val="18"/>
                <w:szCs w:val="18"/>
                <w:lang w:val="en-US" w:eastAsia="zh-CN"/>
              </w:rPr>
            </w:pPr>
            <w:r>
              <w:rPr>
                <w:rFonts w:hint="eastAsia" w:eastAsia="仿宋_GB2312" w:cs="Times New Roman"/>
                <w:b/>
                <w:bCs/>
                <w:color w:val="000000"/>
                <w:kern w:val="0"/>
                <w:sz w:val="18"/>
                <w:szCs w:val="18"/>
                <w:lang w:val="en-US" w:eastAsia="zh-CN"/>
              </w:rPr>
              <w:t>4</w:t>
            </w:r>
          </w:p>
        </w:tc>
      </w:tr>
      <w:tr w14:paraId="744B1D5D">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917" w:hRule="atLeast"/>
          <w:jc w:val="center"/>
        </w:trPr>
        <w:tc>
          <w:tcPr>
            <w:tcW w:w="1004" w:type="dxa"/>
            <w:vMerge w:val="restart"/>
            <w:shd w:val="clear" w:color="auto" w:fill="FFFFFF"/>
            <w:vAlign w:val="center"/>
          </w:tcPr>
          <w:p w14:paraId="49F8588D">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产出</w:t>
            </w:r>
          </w:p>
        </w:tc>
        <w:tc>
          <w:tcPr>
            <w:tcW w:w="1000" w:type="dxa"/>
            <w:shd w:val="clear" w:color="auto" w:fill="FFFFFF"/>
            <w:vAlign w:val="center"/>
          </w:tcPr>
          <w:p w14:paraId="082BDAB5">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产出数量</w:t>
            </w:r>
          </w:p>
        </w:tc>
        <w:tc>
          <w:tcPr>
            <w:tcW w:w="1071" w:type="dxa"/>
            <w:shd w:val="clear" w:color="auto" w:fill="FFFFFF"/>
            <w:vAlign w:val="center"/>
          </w:tcPr>
          <w:p w14:paraId="23CAC3A5">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实际完成率</w:t>
            </w:r>
          </w:p>
        </w:tc>
        <w:tc>
          <w:tcPr>
            <w:tcW w:w="1726" w:type="dxa"/>
            <w:shd w:val="clear" w:color="000000" w:fill="FFFFFF"/>
            <w:vAlign w:val="center"/>
          </w:tcPr>
          <w:p w14:paraId="4BA82CB4">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项目实施的实际产出数与计划产出数的比率，用以反映和考核项目产出数量目标的实现程度。</w:t>
            </w:r>
          </w:p>
        </w:tc>
        <w:tc>
          <w:tcPr>
            <w:tcW w:w="5216" w:type="dxa"/>
            <w:shd w:val="clear" w:color="000000" w:fill="FFFFFF"/>
            <w:vAlign w:val="center"/>
          </w:tcPr>
          <w:p w14:paraId="05737A83">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实际完成率=（实际产出数/计划产出数）×100%。</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实际产出数：一定时期（本年度或项目期）内项目实际产出的产品或提供的服务数量。</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计划产出数：项目绩效目标确定的在一定时期（本年度或项目期）内计划产出的产品或提供的服务数量。</w:t>
            </w:r>
          </w:p>
        </w:tc>
        <w:tc>
          <w:tcPr>
            <w:tcW w:w="1300" w:type="dxa"/>
            <w:shd w:val="clear" w:color="000000" w:fill="FFFFFF"/>
            <w:vAlign w:val="center"/>
          </w:tcPr>
          <w:p w14:paraId="157ED10F">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10</w:t>
            </w:r>
          </w:p>
        </w:tc>
        <w:tc>
          <w:tcPr>
            <w:tcW w:w="1366" w:type="dxa"/>
            <w:shd w:val="clear" w:color="000000" w:fill="FFFFFF"/>
            <w:vAlign w:val="center"/>
          </w:tcPr>
          <w:p w14:paraId="421C32E8">
            <w:pPr>
              <w:widowControl/>
              <w:spacing w:line="0" w:lineRule="atLeast"/>
              <w:jc w:val="center"/>
              <w:rPr>
                <w:rFonts w:hint="default" w:ascii="Times New Roman" w:hAnsi="Times New Roman" w:eastAsia="仿宋_GB2312" w:cs="Times New Roman"/>
                <w:b/>
                <w:bCs/>
                <w:color w:val="000000"/>
                <w:kern w:val="0"/>
                <w:sz w:val="18"/>
                <w:szCs w:val="18"/>
                <w:lang w:val="en-US" w:eastAsia="zh-CN"/>
              </w:rPr>
            </w:pPr>
            <w:r>
              <w:rPr>
                <w:rFonts w:hint="eastAsia" w:eastAsia="仿宋_GB2312" w:cs="Times New Roman"/>
                <w:b/>
                <w:bCs/>
                <w:color w:val="000000"/>
                <w:kern w:val="0"/>
                <w:sz w:val="18"/>
                <w:szCs w:val="18"/>
                <w:lang w:val="en-US" w:eastAsia="zh-CN"/>
              </w:rPr>
              <w:t>10</w:t>
            </w:r>
          </w:p>
        </w:tc>
      </w:tr>
      <w:tr w14:paraId="26B790FC">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718" w:hRule="atLeast"/>
          <w:jc w:val="center"/>
        </w:trPr>
        <w:tc>
          <w:tcPr>
            <w:tcW w:w="1004" w:type="dxa"/>
            <w:vMerge w:val="continue"/>
            <w:shd w:val="clear" w:color="auto" w:fill="FFFFFF"/>
            <w:vAlign w:val="center"/>
          </w:tcPr>
          <w:p w14:paraId="15D6C5A7">
            <w:pPr>
              <w:widowControl/>
              <w:spacing w:line="0" w:lineRule="atLeast"/>
              <w:jc w:val="center"/>
              <w:rPr>
                <w:rFonts w:hint="default" w:ascii="Times New Roman" w:hAnsi="Times New Roman" w:eastAsia="仿宋_GB2312" w:cs="Times New Roman"/>
                <w:color w:val="000000"/>
                <w:kern w:val="0"/>
                <w:sz w:val="18"/>
                <w:szCs w:val="18"/>
              </w:rPr>
            </w:pPr>
          </w:p>
        </w:tc>
        <w:tc>
          <w:tcPr>
            <w:tcW w:w="1000" w:type="dxa"/>
            <w:shd w:val="clear" w:color="auto" w:fill="FFFFFF"/>
            <w:vAlign w:val="center"/>
          </w:tcPr>
          <w:p w14:paraId="6BC89393">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产出质量</w:t>
            </w:r>
          </w:p>
        </w:tc>
        <w:tc>
          <w:tcPr>
            <w:tcW w:w="1071" w:type="dxa"/>
            <w:shd w:val="clear" w:color="auto" w:fill="FFFFFF"/>
            <w:vAlign w:val="center"/>
          </w:tcPr>
          <w:p w14:paraId="688DEA1E">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质量达标率</w:t>
            </w:r>
          </w:p>
        </w:tc>
        <w:tc>
          <w:tcPr>
            <w:tcW w:w="1726" w:type="dxa"/>
            <w:shd w:val="clear" w:color="000000" w:fill="FFFFFF"/>
            <w:vAlign w:val="center"/>
          </w:tcPr>
          <w:p w14:paraId="48EAA316">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项目完成的质量达标产出数与实际产出数的比率，用以反映和考核项目产出质量目标的实现程度。</w:t>
            </w:r>
          </w:p>
        </w:tc>
        <w:tc>
          <w:tcPr>
            <w:tcW w:w="5216" w:type="dxa"/>
            <w:shd w:val="clear" w:color="000000" w:fill="FFFFFF"/>
            <w:vAlign w:val="center"/>
          </w:tcPr>
          <w:p w14:paraId="76C7E486">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质量达标率=（质量达标产出数/实际产出数）×100%。</w:t>
            </w:r>
          </w:p>
          <w:p w14:paraId="3706CAD0">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1300" w:type="dxa"/>
            <w:shd w:val="clear" w:color="000000" w:fill="FFFFFF"/>
            <w:vAlign w:val="center"/>
          </w:tcPr>
          <w:p w14:paraId="6F8CC8ED">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10</w:t>
            </w:r>
          </w:p>
        </w:tc>
        <w:tc>
          <w:tcPr>
            <w:tcW w:w="1366" w:type="dxa"/>
            <w:shd w:val="clear" w:color="000000" w:fill="FFFFFF"/>
            <w:vAlign w:val="center"/>
          </w:tcPr>
          <w:p w14:paraId="01BBBB4B">
            <w:pPr>
              <w:widowControl/>
              <w:spacing w:line="0" w:lineRule="atLeast"/>
              <w:jc w:val="center"/>
              <w:rPr>
                <w:rFonts w:hint="default" w:ascii="Times New Roman" w:hAnsi="Times New Roman" w:eastAsia="仿宋_GB2312" w:cs="Times New Roman"/>
                <w:b/>
                <w:bCs/>
                <w:color w:val="000000"/>
                <w:kern w:val="0"/>
                <w:sz w:val="18"/>
                <w:szCs w:val="18"/>
                <w:lang w:val="en-US" w:eastAsia="zh-CN"/>
              </w:rPr>
            </w:pPr>
            <w:r>
              <w:rPr>
                <w:rFonts w:hint="eastAsia" w:eastAsia="仿宋_GB2312" w:cs="Times New Roman"/>
                <w:b/>
                <w:bCs/>
                <w:color w:val="000000"/>
                <w:kern w:val="0"/>
                <w:sz w:val="18"/>
                <w:szCs w:val="18"/>
                <w:lang w:val="en-US" w:eastAsia="zh-CN"/>
              </w:rPr>
              <w:t>10</w:t>
            </w:r>
          </w:p>
        </w:tc>
      </w:tr>
      <w:tr w14:paraId="4883C707">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506" w:hRule="atLeast"/>
          <w:jc w:val="center"/>
        </w:trPr>
        <w:tc>
          <w:tcPr>
            <w:tcW w:w="1004" w:type="dxa"/>
            <w:vMerge w:val="continue"/>
            <w:shd w:val="clear" w:color="auto" w:fill="FFFFFF"/>
            <w:vAlign w:val="center"/>
          </w:tcPr>
          <w:p w14:paraId="21DDE056">
            <w:pPr>
              <w:spacing w:line="0" w:lineRule="atLeast"/>
              <w:jc w:val="center"/>
              <w:rPr>
                <w:rFonts w:hint="default" w:ascii="Times New Roman" w:hAnsi="Times New Roman" w:eastAsia="仿宋_GB2312" w:cs="Times New Roman"/>
                <w:color w:val="000000"/>
                <w:kern w:val="0"/>
                <w:sz w:val="18"/>
                <w:szCs w:val="18"/>
              </w:rPr>
            </w:pPr>
          </w:p>
        </w:tc>
        <w:tc>
          <w:tcPr>
            <w:tcW w:w="1000" w:type="dxa"/>
            <w:shd w:val="clear" w:color="auto" w:fill="FFFFFF"/>
            <w:vAlign w:val="center"/>
          </w:tcPr>
          <w:p w14:paraId="205483BB">
            <w:pPr>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产出时效</w:t>
            </w:r>
          </w:p>
        </w:tc>
        <w:tc>
          <w:tcPr>
            <w:tcW w:w="1071" w:type="dxa"/>
            <w:shd w:val="clear" w:color="auto" w:fill="FFFFFF"/>
            <w:vAlign w:val="center"/>
          </w:tcPr>
          <w:p w14:paraId="64DCD909">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完成及时性</w:t>
            </w:r>
          </w:p>
        </w:tc>
        <w:tc>
          <w:tcPr>
            <w:tcW w:w="1726" w:type="dxa"/>
            <w:shd w:val="clear" w:color="000000" w:fill="FFFFFF"/>
            <w:vAlign w:val="center"/>
          </w:tcPr>
          <w:p w14:paraId="1A4E880D">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项目实际完成时间与计划完成时间的比较，用以反映和考核项目产出时效目标的实现程度。</w:t>
            </w:r>
          </w:p>
        </w:tc>
        <w:tc>
          <w:tcPr>
            <w:tcW w:w="5216" w:type="dxa"/>
            <w:shd w:val="clear" w:color="000000" w:fill="FFFFFF"/>
            <w:vAlign w:val="center"/>
          </w:tcPr>
          <w:p w14:paraId="3A9CF293">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实际完成时间：项目实施单位完成该项目实际所耗用的时间。</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计划完成时间：按照项目实施计划或相关规定完成该项目所需的时间。</w:t>
            </w:r>
          </w:p>
        </w:tc>
        <w:tc>
          <w:tcPr>
            <w:tcW w:w="1300" w:type="dxa"/>
            <w:shd w:val="clear" w:color="000000" w:fill="FFFFFF"/>
            <w:vAlign w:val="center"/>
          </w:tcPr>
          <w:p w14:paraId="4A7CB268">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10</w:t>
            </w:r>
          </w:p>
        </w:tc>
        <w:tc>
          <w:tcPr>
            <w:tcW w:w="1366" w:type="dxa"/>
            <w:shd w:val="clear" w:color="000000" w:fill="FFFFFF"/>
            <w:vAlign w:val="center"/>
          </w:tcPr>
          <w:p w14:paraId="699FD669">
            <w:pPr>
              <w:widowControl/>
              <w:spacing w:line="0" w:lineRule="atLeast"/>
              <w:jc w:val="center"/>
              <w:rPr>
                <w:rFonts w:hint="default" w:ascii="Times New Roman" w:hAnsi="Times New Roman" w:eastAsia="仿宋_GB2312" w:cs="Times New Roman"/>
                <w:b/>
                <w:bCs/>
                <w:color w:val="000000"/>
                <w:kern w:val="0"/>
                <w:sz w:val="18"/>
                <w:szCs w:val="18"/>
                <w:lang w:val="en-US" w:eastAsia="zh-CN"/>
              </w:rPr>
            </w:pPr>
            <w:r>
              <w:rPr>
                <w:rFonts w:hint="eastAsia" w:eastAsia="仿宋_GB2312" w:cs="Times New Roman"/>
                <w:b/>
                <w:bCs/>
                <w:color w:val="000000"/>
                <w:kern w:val="0"/>
                <w:sz w:val="18"/>
                <w:szCs w:val="18"/>
                <w:lang w:val="en-US" w:eastAsia="zh-CN"/>
              </w:rPr>
              <w:t>10</w:t>
            </w:r>
          </w:p>
        </w:tc>
      </w:tr>
      <w:tr w14:paraId="6621F1F7">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2076" w:hRule="atLeast"/>
          <w:jc w:val="center"/>
        </w:trPr>
        <w:tc>
          <w:tcPr>
            <w:tcW w:w="1004" w:type="dxa"/>
            <w:vMerge w:val="continue"/>
            <w:shd w:val="clear" w:color="auto" w:fill="FFFFFF"/>
            <w:vAlign w:val="center"/>
          </w:tcPr>
          <w:p w14:paraId="1F781A37">
            <w:pPr>
              <w:widowControl/>
              <w:spacing w:line="0" w:lineRule="atLeast"/>
              <w:jc w:val="center"/>
              <w:rPr>
                <w:rFonts w:hint="default" w:ascii="Times New Roman" w:hAnsi="Times New Roman" w:eastAsia="仿宋_GB2312" w:cs="Times New Roman"/>
                <w:color w:val="000000"/>
                <w:kern w:val="0"/>
                <w:sz w:val="18"/>
                <w:szCs w:val="18"/>
              </w:rPr>
            </w:pPr>
          </w:p>
        </w:tc>
        <w:tc>
          <w:tcPr>
            <w:tcW w:w="1000" w:type="dxa"/>
            <w:shd w:val="clear" w:color="auto" w:fill="FFFFFF"/>
            <w:vAlign w:val="center"/>
          </w:tcPr>
          <w:p w14:paraId="01A21295">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产出成本</w:t>
            </w:r>
          </w:p>
        </w:tc>
        <w:tc>
          <w:tcPr>
            <w:tcW w:w="1071" w:type="dxa"/>
            <w:shd w:val="clear" w:color="auto" w:fill="FFFFFF"/>
            <w:vAlign w:val="center"/>
          </w:tcPr>
          <w:p w14:paraId="1BAF8B48">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成本节约率</w:t>
            </w:r>
          </w:p>
        </w:tc>
        <w:tc>
          <w:tcPr>
            <w:tcW w:w="1726" w:type="dxa"/>
            <w:shd w:val="clear" w:color="000000" w:fill="FFFFFF"/>
            <w:vAlign w:val="center"/>
          </w:tcPr>
          <w:p w14:paraId="2B40CAFF">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完成项目计划工作目标的实际节约成本与计划成本的比率，用以反映和考核项目的成本节约程度。</w:t>
            </w:r>
          </w:p>
        </w:tc>
        <w:tc>
          <w:tcPr>
            <w:tcW w:w="5216" w:type="dxa"/>
            <w:shd w:val="clear" w:color="000000" w:fill="FFFFFF"/>
            <w:vAlign w:val="center"/>
          </w:tcPr>
          <w:p w14:paraId="1463EA7F">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成本节约率=[（计划成本-实际成本）/计划成本]×100%。</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实际成本：项目实施单位如期、保质、保量完成既定工作目标实际所耗费的支出。</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计划成本：项目实施单位为完成工作目标计划安排的支出，一般以项目预算为参考。</w:t>
            </w:r>
          </w:p>
        </w:tc>
        <w:tc>
          <w:tcPr>
            <w:tcW w:w="1300" w:type="dxa"/>
            <w:shd w:val="clear" w:color="000000" w:fill="FFFFFF"/>
            <w:vAlign w:val="center"/>
          </w:tcPr>
          <w:p w14:paraId="70FC9314">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10</w:t>
            </w:r>
          </w:p>
        </w:tc>
        <w:tc>
          <w:tcPr>
            <w:tcW w:w="1366" w:type="dxa"/>
            <w:shd w:val="clear" w:color="000000" w:fill="FFFFFF"/>
            <w:vAlign w:val="center"/>
          </w:tcPr>
          <w:p w14:paraId="50133298">
            <w:pPr>
              <w:widowControl/>
              <w:spacing w:line="0" w:lineRule="atLeast"/>
              <w:jc w:val="center"/>
              <w:rPr>
                <w:rFonts w:hint="default" w:ascii="Times New Roman" w:hAnsi="Times New Roman" w:eastAsia="仿宋_GB2312" w:cs="Times New Roman"/>
                <w:b/>
                <w:bCs/>
                <w:color w:val="000000"/>
                <w:kern w:val="0"/>
                <w:sz w:val="18"/>
                <w:szCs w:val="18"/>
                <w:lang w:val="en-US" w:eastAsia="zh-CN"/>
              </w:rPr>
            </w:pPr>
            <w:r>
              <w:rPr>
                <w:rFonts w:hint="eastAsia" w:eastAsia="仿宋_GB2312" w:cs="Times New Roman"/>
                <w:b/>
                <w:bCs/>
                <w:color w:val="000000"/>
                <w:kern w:val="0"/>
                <w:sz w:val="18"/>
                <w:szCs w:val="18"/>
                <w:lang w:val="en-US" w:eastAsia="zh-CN"/>
              </w:rPr>
              <w:t>10</w:t>
            </w:r>
          </w:p>
        </w:tc>
      </w:tr>
      <w:tr w14:paraId="49C3C703">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889" w:hRule="atLeast"/>
          <w:jc w:val="center"/>
        </w:trPr>
        <w:tc>
          <w:tcPr>
            <w:tcW w:w="1004" w:type="dxa"/>
            <w:vMerge w:val="restart"/>
            <w:shd w:val="clear" w:color="auto" w:fill="FFFFFF"/>
            <w:vAlign w:val="center"/>
          </w:tcPr>
          <w:p w14:paraId="0084485E">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效益　</w:t>
            </w:r>
          </w:p>
        </w:tc>
        <w:tc>
          <w:tcPr>
            <w:tcW w:w="1000" w:type="dxa"/>
            <w:vMerge w:val="restart"/>
            <w:shd w:val="clear" w:color="auto" w:fill="FFFFFF"/>
            <w:vAlign w:val="center"/>
          </w:tcPr>
          <w:p w14:paraId="2E87EEFC">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项目效益　</w:t>
            </w:r>
          </w:p>
        </w:tc>
        <w:tc>
          <w:tcPr>
            <w:tcW w:w="1071" w:type="dxa"/>
            <w:shd w:val="clear" w:color="auto" w:fill="FFFFFF"/>
            <w:vAlign w:val="center"/>
          </w:tcPr>
          <w:p w14:paraId="303179BC">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实施效益</w:t>
            </w:r>
          </w:p>
        </w:tc>
        <w:tc>
          <w:tcPr>
            <w:tcW w:w="1726" w:type="dxa"/>
            <w:shd w:val="clear" w:color="auto" w:fill="FFFFFF"/>
            <w:vAlign w:val="center"/>
          </w:tcPr>
          <w:p w14:paraId="087DFD8F">
            <w:pPr>
              <w:widowControl/>
              <w:spacing w:line="0" w:lineRule="atLeast"/>
              <w:jc w:val="lef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项目实施所产生的效益。</w:t>
            </w:r>
          </w:p>
        </w:tc>
        <w:tc>
          <w:tcPr>
            <w:tcW w:w="5216" w:type="dxa"/>
            <w:shd w:val="clear" w:color="auto" w:fill="FFFFFF"/>
            <w:vAlign w:val="center"/>
          </w:tcPr>
          <w:p w14:paraId="76837AEC">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项目实施所产生的社会效益、经济效益、生态效益、可持续影响等。可根据项目实际情况有选择地设置和细化。</w:t>
            </w:r>
          </w:p>
        </w:tc>
        <w:tc>
          <w:tcPr>
            <w:tcW w:w="1300" w:type="dxa"/>
            <w:shd w:val="clear" w:color="auto" w:fill="FFFFFF"/>
            <w:vAlign w:val="center"/>
          </w:tcPr>
          <w:p w14:paraId="3EBBA18B">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10</w:t>
            </w:r>
          </w:p>
        </w:tc>
        <w:tc>
          <w:tcPr>
            <w:tcW w:w="1366" w:type="dxa"/>
            <w:shd w:val="clear" w:color="auto" w:fill="FFFFFF"/>
            <w:vAlign w:val="center"/>
          </w:tcPr>
          <w:p w14:paraId="4E7CC6CE">
            <w:pPr>
              <w:widowControl/>
              <w:spacing w:line="0" w:lineRule="atLeast"/>
              <w:jc w:val="center"/>
              <w:rPr>
                <w:rFonts w:hint="default" w:ascii="Times New Roman" w:hAnsi="Times New Roman" w:eastAsia="仿宋_GB2312" w:cs="Times New Roman"/>
                <w:b/>
                <w:bCs/>
                <w:color w:val="000000"/>
                <w:kern w:val="0"/>
                <w:sz w:val="18"/>
                <w:szCs w:val="18"/>
                <w:lang w:val="en-US" w:eastAsia="zh-CN"/>
              </w:rPr>
            </w:pPr>
            <w:r>
              <w:rPr>
                <w:rFonts w:hint="eastAsia" w:eastAsia="仿宋_GB2312" w:cs="Times New Roman"/>
                <w:b/>
                <w:bCs/>
                <w:color w:val="000000"/>
                <w:kern w:val="0"/>
                <w:sz w:val="18"/>
                <w:szCs w:val="18"/>
                <w:lang w:val="en-US" w:eastAsia="zh-CN"/>
              </w:rPr>
              <w:t>10</w:t>
            </w:r>
          </w:p>
        </w:tc>
      </w:tr>
      <w:tr w14:paraId="12B85B45">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137" w:hRule="atLeast"/>
          <w:jc w:val="center"/>
        </w:trPr>
        <w:tc>
          <w:tcPr>
            <w:tcW w:w="1004" w:type="dxa"/>
            <w:vMerge w:val="continue"/>
            <w:shd w:val="clear" w:color="auto" w:fill="FFFFFF"/>
            <w:vAlign w:val="center"/>
          </w:tcPr>
          <w:p w14:paraId="29C9B4EB">
            <w:pPr>
              <w:widowControl/>
              <w:spacing w:line="0" w:lineRule="atLeast"/>
              <w:jc w:val="center"/>
              <w:rPr>
                <w:rFonts w:hint="default" w:ascii="Times New Roman" w:hAnsi="Times New Roman" w:eastAsia="仿宋_GB2312" w:cs="Times New Roman"/>
                <w:color w:val="000000"/>
                <w:kern w:val="0"/>
                <w:sz w:val="18"/>
                <w:szCs w:val="18"/>
              </w:rPr>
            </w:pPr>
          </w:p>
        </w:tc>
        <w:tc>
          <w:tcPr>
            <w:tcW w:w="1000" w:type="dxa"/>
            <w:vMerge w:val="continue"/>
            <w:shd w:val="clear" w:color="auto" w:fill="FFFFFF"/>
            <w:vAlign w:val="center"/>
          </w:tcPr>
          <w:p w14:paraId="451325FE">
            <w:pPr>
              <w:widowControl/>
              <w:spacing w:line="0" w:lineRule="atLeast"/>
              <w:jc w:val="center"/>
              <w:rPr>
                <w:rFonts w:hint="default" w:ascii="Times New Roman" w:hAnsi="Times New Roman" w:eastAsia="仿宋_GB2312" w:cs="Times New Roman"/>
                <w:color w:val="000000"/>
                <w:kern w:val="0"/>
                <w:sz w:val="18"/>
                <w:szCs w:val="18"/>
              </w:rPr>
            </w:pPr>
          </w:p>
        </w:tc>
        <w:tc>
          <w:tcPr>
            <w:tcW w:w="1071" w:type="dxa"/>
            <w:shd w:val="clear" w:color="auto" w:fill="FFFFFF"/>
            <w:vAlign w:val="center"/>
          </w:tcPr>
          <w:p w14:paraId="7617BC1B">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满意度</w:t>
            </w:r>
          </w:p>
        </w:tc>
        <w:tc>
          <w:tcPr>
            <w:tcW w:w="1726" w:type="dxa"/>
            <w:shd w:val="clear" w:color="000000" w:fill="FFFFFF"/>
            <w:vAlign w:val="center"/>
          </w:tcPr>
          <w:p w14:paraId="57A07F73">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社会公众或服务对象对项目实施效果的满意程度。</w:t>
            </w:r>
          </w:p>
        </w:tc>
        <w:tc>
          <w:tcPr>
            <w:tcW w:w="5216" w:type="dxa"/>
            <w:shd w:val="clear" w:color="000000" w:fill="FFFFFF"/>
            <w:vAlign w:val="center"/>
          </w:tcPr>
          <w:p w14:paraId="12BFFB97">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社会公众或服务对象是指因该项目实施而受到影响的部门（单位）、群体或个人。一般采取社会调查的方式。</w:t>
            </w:r>
          </w:p>
        </w:tc>
        <w:tc>
          <w:tcPr>
            <w:tcW w:w="1300" w:type="dxa"/>
            <w:shd w:val="clear" w:color="000000" w:fill="FFFFFF"/>
            <w:vAlign w:val="center"/>
          </w:tcPr>
          <w:p w14:paraId="14B02026">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10</w:t>
            </w:r>
          </w:p>
        </w:tc>
        <w:tc>
          <w:tcPr>
            <w:tcW w:w="1366" w:type="dxa"/>
            <w:shd w:val="clear" w:color="000000" w:fill="FFFFFF"/>
            <w:vAlign w:val="center"/>
          </w:tcPr>
          <w:p w14:paraId="37A7C7A7">
            <w:pPr>
              <w:widowControl/>
              <w:spacing w:line="0" w:lineRule="atLeast"/>
              <w:jc w:val="center"/>
              <w:rPr>
                <w:rFonts w:hint="default" w:ascii="Times New Roman" w:hAnsi="Times New Roman" w:eastAsia="仿宋_GB2312" w:cs="Times New Roman"/>
                <w:b/>
                <w:bCs/>
                <w:color w:val="000000"/>
                <w:kern w:val="0"/>
                <w:sz w:val="18"/>
                <w:szCs w:val="18"/>
                <w:lang w:val="en-US" w:eastAsia="zh-CN"/>
              </w:rPr>
            </w:pPr>
            <w:r>
              <w:rPr>
                <w:rFonts w:hint="eastAsia" w:eastAsia="仿宋_GB2312" w:cs="Times New Roman"/>
                <w:b/>
                <w:bCs/>
                <w:color w:val="000000"/>
                <w:kern w:val="0"/>
                <w:sz w:val="18"/>
                <w:szCs w:val="18"/>
                <w:lang w:val="en-US" w:eastAsia="zh-CN"/>
              </w:rPr>
              <w:t>10</w:t>
            </w:r>
          </w:p>
        </w:tc>
      </w:tr>
    </w:tbl>
    <w:p w14:paraId="58703B23">
      <w:pPr>
        <w:rPr>
          <w:rFonts w:hint="default" w:ascii="Times New Roman" w:hAnsi="Times New Roman" w:cs="Times New Roman"/>
        </w:rPr>
        <w:sectPr>
          <w:pgSz w:w="16838" w:h="11906" w:orient="landscape"/>
          <w:pgMar w:top="1800" w:right="1440" w:bottom="1558" w:left="1440" w:header="851" w:footer="992" w:gutter="0"/>
          <w:cols w:space="425" w:num="1"/>
          <w:docGrid w:type="lines" w:linePitch="312" w:charSpace="0"/>
        </w:sectPr>
      </w:pPr>
    </w:p>
    <w:p w14:paraId="49E85519">
      <w:pPr>
        <w:spacing w:line="600" w:lineRule="exact"/>
        <w:rPr>
          <w:rFonts w:hint="eastAsia" w:eastAsia="黑体" w:cs="Times New Roman"/>
          <w:sz w:val="32"/>
          <w:szCs w:val="32"/>
          <w:lang w:val="en-US" w:eastAsia="zh-CN"/>
        </w:rPr>
      </w:pPr>
      <w:r>
        <w:rPr>
          <w:rFonts w:hint="eastAsia" w:ascii="Times New Roman" w:hAnsi="Times New Roman" w:eastAsia="黑体" w:cs="Times New Roman"/>
          <w:sz w:val="32"/>
          <w:szCs w:val="32"/>
          <w:lang w:val="en-US" w:eastAsia="zh-CN"/>
        </w:rPr>
        <w:t>附件</w:t>
      </w:r>
      <w:r>
        <w:rPr>
          <w:rFonts w:hint="eastAsia" w:eastAsia="黑体" w:cs="Times New Roman"/>
          <w:sz w:val="32"/>
          <w:szCs w:val="32"/>
          <w:lang w:val="en-US" w:eastAsia="zh-CN"/>
        </w:rPr>
        <w:t>2</w:t>
      </w:r>
    </w:p>
    <w:tbl>
      <w:tblPr>
        <w:tblStyle w:val="12"/>
        <w:tblW w:w="14081"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843"/>
        <w:gridCol w:w="1041"/>
        <w:gridCol w:w="1669"/>
        <w:gridCol w:w="3958"/>
        <w:gridCol w:w="1554"/>
        <w:gridCol w:w="1225"/>
        <w:gridCol w:w="1195"/>
        <w:gridCol w:w="582"/>
        <w:gridCol w:w="537"/>
        <w:gridCol w:w="1477"/>
      </w:tblGrid>
      <w:tr w14:paraId="1F28CC2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5" w:hRule="atLeast"/>
        </w:trPr>
        <w:tc>
          <w:tcPr>
            <w:tcW w:w="14081" w:type="dxa"/>
            <w:gridSpan w:val="10"/>
            <w:tcBorders>
              <w:top w:val="nil"/>
              <w:left w:val="nil"/>
              <w:bottom w:val="nil"/>
              <w:right w:val="nil"/>
            </w:tcBorders>
            <w:shd w:val="clear" w:color="auto" w:fill="auto"/>
            <w:vAlign w:val="center"/>
          </w:tcPr>
          <w:p w14:paraId="511590A0">
            <w:pPr>
              <w:keepNext w:val="0"/>
              <w:keepLines w:val="0"/>
              <w:widowControl/>
              <w:suppressLineNumbers w:val="0"/>
              <w:jc w:val="center"/>
              <w:textAlignment w:val="center"/>
              <w:rPr>
                <w:rFonts w:hint="eastAsia" w:ascii="宋体" w:hAnsi="宋体" w:eastAsia="宋体" w:cs="宋体"/>
                <w:b/>
                <w:bCs/>
                <w:i w:val="0"/>
                <w:iCs w:val="0"/>
                <w:color w:val="000000"/>
                <w:sz w:val="32"/>
                <w:szCs w:val="32"/>
                <w:u w:val="none"/>
              </w:rPr>
            </w:pPr>
            <w:r>
              <w:rPr>
                <w:rFonts w:hint="eastAsia" w:ascii="宋体" w:hAnsi="宋体" w:eastAsia="宋体" w:cs="宋体"/>
                <w:b/>
                <w:bCs/>
                <w:i w:val="0"/>
                <w:iCs w:val="0"/>
                <w:color w:val="000000"/>
                <w:kern w:val="0"/>
                <w:sz w:val="32"/>
                <w:szCs w:val="32"/>
                <w:u w:val="none"/>
                <w:lang w:val="en-US" w:eastAsia="zh-CN"/>
              </w:rPr>
              <w:t>项目支出绩效自评表</w:t>
            </w:r>
          </w:p>
        </w:tc>
      </w:tr>
      <w:tr w14:paraId="4CFC7E1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4081" w:type="dxa"/>
            <w:gridSpan w:val="10"/>
            <w:tcBorders>
              <w:top w:val="nil"/>
              <w:left w:val="nil"/>
              <w:bottom w:val="nil"/>
              <w:right w:val="nil"/>
            </w:tcBorders>
            <w:shd w:val="clear" w:color="auto" w:fill="auto"/>
            <w:vAlign w:val="center"/>
          </w:tcPr>
          <w:p w14:paraId="06C8490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(2024年度)</w:t>
            </w:r>
          </w:p>
        </w:tc>
      </w:tr>
      <w:tr w14:paraId="71D7520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88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BE3A2E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项目名称</w:t>
            </w:r>
          </w:p>
        </w:tc>
        <w:tc>
          <w:tcPr>
            <w:tcW w:w="12197" w:type="dxa"/>
            <w:gridSpan w:val="8"/>
            <w:tcBorders>
              <w:top w:val="single" w:color="auto" w:sz="4" w:space="0"/>
              <w:left w:val="single" w:color="auto" w:sz="4" w:space="0"/>
              <w:bottom w:val="single" w:color="auto" w:sz="4" w:space="0"/>
              <w:right w:val="single" w:color="auto" w:sz="4" w:space="0"/>
            </w:tcBorders>
            <w:shd w:val="clear" w:color="auto" w:fill="auto"/>
            <w:vAlign w:val="center"/>
          </w:tcPr>
          <w:p w14:paraId="75CB12F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2023年民贸民品企业贴息</w:t>
            </w:r>
          </w:p>
        </w:tc>
      </w:tr>
      <w:tr w14:paraId="70CCB16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88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98EB1B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主管部门</w:t>
            </w:r>
          </w:p>
        </w:tc>
        <w:tc>
          <w:tcPr>
            <w:tcW w:w="7181"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475C38E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中国共产党霍尔果斯市委员会统一战线工作部</w:t>
            </w:r>
          </w:p>
        </w:tc>
        <w:tc>
          <w:tcPr>
            <w:tcW w:w="1225" w:type="dxa"/>
            <w:tcBorders>
              <w:top w:val="single" w:color="auto" w:sz="4" w:space="0"/>
              <w:left w:val="single" w:color="auto" w:sz="4" w:space="0"/>
              <w:bottom w:val="single" w:color="auto" w:sz="4" w:space="0"/>
              <w:right w:val="single" w:color="auto" w:sz="4" w:space="0"/>
            </w:tcBorders>
            <w:shd w:val="clear" w:color="auto" w:fill="auto"/>
            <w:vAlign w:val="center"/>
          </w:tcPr>
          <w:p w14:paraId="6780235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实施单位</w:t>
            </w:r>
          </w:p>
        </w:tc>
        <w:tc>
          <w:tcPr>
            <w:tcW w:w="3791" w:type="dxa"/>
            <w:gridSpan w:val="4"/>
            <w:tcBorders>
              <w:top w:val="single" w:color="auto" w:sz="4" w:space="0"/>
              <w:left w:val="single" w:color="auto" w:sz="4" w:space="0"/>
              <w:bottom w:val="single" w:color="auto" w:sz="4" w:space="0"/>
              <w:right w:val="single" w:color="auto" w:sz="4" w:space="0"/>
            </w:tcBorders>
            <w:shd w:val="clear" w:color="auto" w:fill="auto"/>
            <w:vAlign w:val="center"/>
          </w:tcPr>
          <w:p w14:paraId="20D7E12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中国共产党霍尔果斯市委员会统一战线工作部</w:t>
            </w:r>
          </w:p>
        </w:tc>
      </w:tr>
      <w:tr w14:paraId="6A89EC0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884"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71FE223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项目资金</w:t>
            </w:r>
            <w:r>
              <w:rPr>
                <w:rFonts w:hint="eastAsia" w:ascii="宋体" w:hAnsi="宋体" w:eastAsia="宋体" w:cs="宋体"/>
                <w:i w:val="0"/>
                <w:iCs w:val="0"/>
                <w:color w:val="000000"/>
                <w:kern w:val="0"/>
                <w:sz w:val="20"/>
                <w:szCs w:val="20"/>
                <w:u w:val="none"/>
                <w:lang w:val="en-US" w:eastAsia="zh-CN"/>
              </w:rPr>
              <w:br w:type="textWrapping"/>
            </w:r>
            <w:r>
              <w:rPr>
                <w:rFonts w:hint="eastAsia" w:ascii="宋体" w:hAnsi="宋体" w:eastAsia="宋体" w:cs="宋体"/>
                <w:i w:val="0"/>
                <w:iCs w:val="0"/>
                <w:color w:val="000000"/>
                <w:kern w:val="0"/>
                <w:sz w:val="20"/>
                <w:szCs w:val="20"/>
                <w:u w:val="none"/>
                <w:lang w:val="en-US" w:eastAsia="zh-CN"/>
              </w:rPr>
              <w:t>（万元）</w:t>
            </w:r>
          </w:p>
        </w:tc>
        <w:tc>
          <w:tcPr>
            <w:tcW w:w="1669" w:type="dxa"/>
            <w:tcBorders>
              <w:top w:val="single" w:color="auto" w:sz="4" w:space="0"/>
              <w:left w:val="single" w:color="auto" w:sz="4" w:space="0"/>
              <w:bottom w:val="single" w:color="auto" w:sz="4" w:space="0"/>
              <w:right w:val="single" w:color="auto" w:sz="4" w:space="0"/>
            </w:tcBorders>
            <w:shd w:val="clear" w:color="auto" w:fill="auto"/>
            <w:vAlign w:val="center"/>
          </w:tcPr>
          <w:p w14:paraId="0DB7CB4A">
            <w:pPr>
              <w:jc w:val="center"/>
              <w:rPr>
                <w:rFonts w:hint="eastAsia" w:ascii="宋体" w:hAnsi="宋体" w:eastAsia="宋体" w:cs="宋体"/>
                <w:i w:val="0"/>
                <w:iCs w:val="0"/>
                <w:color w:val="000000"/>
                <w:sz w:val="20"/>
                <w:szCs w:val="20"/>
                <w:u w:val="none"/>
              </w:rPr>
            </w:pPr>
          </w:p>
        </w:tc>
        <w:tc>
          <w:tcPr>
            <w:tcW w:w="3958" w:type="dxa"/>
            <w:tcBorders>
              <w:top w:val="single" w:color="auto" w:sz="4" w:space="0"/>
              <w:left w:val="single" w:color="auto" w:sz="4" w:space="0"/>
              <w:bottom w:val="single" w:color="auto" w:sz="4" w:space="0"/>
              <w:right w:val="single" w:color="auto" w:sz="4" w:space="0"/>
            </w:tcBorders>
            <w:shd w:val="clear" w:color="auto" w:fill="auto"/>
            <w:vAlign w:val="center"/>
          </w:tcPr>
          <w:p w14:paraId="0DFB8DB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年初预算数</w:t>
            </w:r>
          </w:p>
        </w:tc>
        <w:tc>
          <w:tcPr>
            <w:tcW w:w="1554" w:type="dxa"/>
            <w:tcBorders>
              <w:top w:val="single" w:color="auto" w:sz="4" w:space="0"/>
              <w:left w:val="single" w:color="auto" w:sz="4" w:space="0"/>
              <w:bottom w:val="single" w:color="auto" w:sz="4" w:space="0"/>
              <w:right w:val="single" w:color="auto" w:sz="4" w:space="0"/>
            </w:tcBorders>
            <w:shd w:val="clear" w:color="auto" w:fill="auto"/>
            <w:vAlign w:val="center"/>
          </w:tcPr>
          <w:p w14:paraId="1F515E9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全年预算数</w:t>
            </w:r>
          </w:p>
        </w:tc>
        <w:tc>
          <w:tcPr>
            <w:tcW w:w="1225" w:type="dxa"/>
            <w:tcBorders>
              <w:top w:val="single" w:color="auto" w:sz="4" w:space="0"/>
              <w:left w:val="single" w:color="auto" w:sz="4" w:space="0"/>
              <w:bottom w:val="single" w:color="auto" w:sz="4" w:space="0"/>
              <w:right w:val="single" w:color="auto" w:sz="4" w:space="0"/>
            </w:tcBorders>
            <w:shd w:val="clear" w:color="auto" w:fill="auto"/>
            <w:vAlign w:val="center"/>
          </w:tcPr>
          <w:p w14:paraId="3789CA7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全年执行数</w:t>
            </w:r>
          </w:p>
        </w:tc>
        <w:tc>
          <w:tcPr>
            <w:tcW w:w="1195" w:type="dxa"/>
            <w:tcBorders>
              <w:top w:val="single" w:color="auto" w:sz="4" w:space="0"/>
              <w:left w:val="single" w:color="auto" w:sz="4" w:space="0"/>
              <w:bottom w:val="single" w:color="auto" w:sz="4" w:space="0"/>
              <w:right w:val="single" w:color="auto" w:sz="4" w:space="0"/>
            </w:tcBorders>
            <w:shd w:val="clear" w:color="auto" w:fill="auto"/>
            <w:vAlign w:val="center"/>
          </w:tcPr>
          <w:p w14:paraId="233FDAA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分值</w:t>
            </w:r>
          </w:p>
        </w:tc>
        <w:tc>
          <w:tcPr>
            <w:tcW w:w="1119"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611864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执行率</w:t>
            </w:r>
          </w:p>
        </w:tc>
        <w:tc>
          <w:tcPr>
            <w:tcW w:w="1477" w:type="dxa"/>
            <w:tcBorders>
              <w:top w:val="single" w:color="auto" w:sz="4" w:space="0"/>
              <w:left w:val="single" w:color="auto" w:sz="4" w:space="0"/>
              <w:bottom w:val="single" w:color="auto" w:sz="4" w:space="0"/>
              <w:right w:val="single" w:color="auto" w:sz="4" w:space="0"/>
            </w:tcBorders>
            <w:shd w:val="clear" w:color="auto" w:fill="auto"/>
            <w:vAlign w:val="center"/>
          </w:tcPr>
          <w:p w14:paraId="4773CE2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得分</w:t>
            </w:r>
          </w:p>
        </w:tc>
      </w:tr>
      <w:tr w14:paraId="6268BDE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830" w:hRule="atLeast"/>
        </w:trPr>
        <w:tc>
          <w:tcPr>
            <w:tcW w:w="1884"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048415D1">
            <w:pPr>
              <w:jc w:val="center"/>
              <w:rPr>
                <w:rFonts w:hint="eastAsia" w:ascii="宋体" w:hAnsi="宋体" w:eastAsia="宋体" w:cs="宋体"/>
                <w:i w:val="0"/>
                <w:iCs w:val="0"/>
                <w:color w:val="000000"/>
                <w:sz w:val="20"/>
                <w:szCs w:val="20"/>
                <w:u w:val="none"/>
              </w:rPr>
            </w:pPr>
          </w:p>
        </w:tc>
        <w:tc>
          <w:tcPr>
            <w:tcW w:w="1669" w:type="dxa"/>
            <w:tcBorders>
              <w:top w:val="single" w:color="auto" w:sz="4" w:space="0"/>
              <w:left w:val="single" w:color="auto" w:sz="4" w:space="0"/>
              <w:bottom w:val="single" w:color="auto" w:sz="4" w:space="0"/>
              <w:right w:val="single" w:color="auto" w:sz="4" w:space="0"/>
            </w:tcBorders>
            <w:shd w:val="clear" w:color="auto" w:fill="auto"/>
            <w:vAlign w:val="center"/>
          </w:tcPr>
          <w:p w14:paraId="281761E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年度资金总额</w:t>
            </w:r>
          </w:p>
        </w:tc>
        <w:tc>
          <w:tcPr>
            <w:tcW w:w="3958" w:type="dxa"/>
            <w:tcBorders>
              <w:top w:val="single" w:color="auto" w:sz="4" w:space="0"/>
              <w:left w:val="single" w:color="auto" w:sz="4" w:space="0"/>
              <w:bottom w:val="single" w:color="auto" w:sz="4" w:space="0"/>
              <w:right w:val="single" w:color="auto" w:sz="4" w:space="0"/>
            </w:tcBorders>
            <w:shd w:val="clear" w:color="auto" w:fill="auto"/>
            <w:vAlign w:val="center"/>
          </w:tcPr>
          <w:p w14:paraId="32BE4D2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192.72</w:t>
            </w:r>
          </w:p>
        </w:tc>
        <w:tc>
          <w:tcPr>
            <w:tcW w:w="1554" w:type="dxa"/>
            <w:tcBorders>
              <w:top w:val="single" w:color="auto" w:sz="4" w:space="0"/>
              <w:left w:val="single" w:color="auto" w:sz="4" w:space="0"/>
              <w:bottom w:val="single" w:color="auto" w:sz="4" w:space="0"/>
              <w:right w:val="single" w:color="auto" w:sz="4" w:space="0"/>
            </w:tcBorders>
            <w:shd w:val="clear" w:color="auto" w:fill="auto"/>
            <w:vAlign w:val="center"/>
          </w:tcPr>
          <w:p w14:paraId="149EE0E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192.72</w:t>
            </w:r>
          </w:p>
        </w:tc>
        <w:tc>
          <w:tcPr>
            <w:tcW w:w="1225" w:type="dxa"/>
            <w:tcBorders>
              <w:top w:val="single" w:color="auto" w:sz="4" w:space="0"/>
              <w:left w:val="single" w:color="auto" w:sz="4" w:space="0"/>
              <w:bottom w:val="single" w:color="auto" w:sz="4" w:space="0"/>
              <w:right w:val="single" w:color="auto" w:sz="4" w:space="0"/>
            </w:tcBorders>
            <w:shd w:val="clear" w:color="auto" w:fill="auto"/>
            <w:vAlign w:val="center"/>
          </w:tcPr>
          <w:p w14:paraId="678C5D3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192.72</w:t>
            </w:r>
          </w:p>
        </w:tc>
        <w:tc>
          <w:tcPr>
            <w:tcW w:w="1195" w:type="dxa"/>
            <w:tcBorders>
              <w:top w:val="single" w:color="auto" w:sz="4" w:space="0"/>
              <w:left w:val="single" w:color="auto" w:sz="4" w:space="0"/>
              <w:bottom w:val="single" w:color="auto" w:sz="4" w:space="0"/>
              <w:right w:val="single" w:color="auto" w:sz="4" w:space="0"/>
            </w:tcBorders>
            <w:shd w:val="clear" w:color="auto" w:fill="auto"/>
            <w:vAlign w:val="center"/>
          </w:tcPr>
          <w:p w14:paraId="027FE09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10</w:t>
            </w:r>
          </w:p>
        </w:tc>
        <w:tc>
          <w:tcPr>
            <w:tcW w:w="1119"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E2851B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100.00%</w:t>
            </w:r>
          </w:p>
        </w:tc>
        <w:tc>
          <w:tcPr>
            <w:tcW w:w="1477" w:type="dxa"/>
            <w:tcBorders>
              <w:top w:val="single" w:color="auto" w:sz="4" w:space="0"/>
              <w:left w:val="single" w:color="auto" w:sz="4" w:space="0"/>
              <w:bottom w:val="single" w:color="auto" w:sz="4" w:space="0"/>
              <w:right w:val="single" w:color="auto" w:sz="4" w:space="0"/>
            </w:tcBorders>
            <w:shd w:val="clear" w:color="auto" w:fill="auto"/>
            <w:vAlign w:val="center"/>
          </w:tcPr>
          <w:p w14:paraId="3AC6606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10.00</w:t>
            </w:r>
          </w:p>
        </w:tc>
      </w:tr>
      <w:tr w14:paraId="473E562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39" w:hRule="atLeast"/>
        </w:trPr>
        <w:tc>
          <w:tcPr>
            <w:tcW w:w="1884"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722B0C1A">
            <w:pPr>
              <w:jc w:val="center"/>
              <w:rPr>
                <w:rFonts w:hint="eastAsia" w:ascii="宋体" w:hAnsi="宋体" w:eastAsia="宋体" w:cs="宋体"/>
                <w:i w:val="0"/>
                <w:iCs w:val="0"/>
                <w:color w:val="000000"/>
                <w:sz w:val="20"/>
                <w:szCs w:val="20"/>
                <w:u w:val="none"/>
              </w:rPr>
            </w:pPr>
          </w:p>
        </w:tc>
        <w:tc>
          <w:tcPr>
            <w:tcW w:w="1669" w:type="dxa"/>
            <w:tcBorders>
              <w:top w:val="single" w:color="auto" w:sz="4" w:space="0"/>
              <w:left w:val="single" w:color="auto" w:sz="4" w:space="0"/>
              <w:bottom w:val="single" w:color="auto" w:sz="4" w:space="0"/>
              <w:right w:val="single" w:color="auto" w:sz="4" w:space="0"/>
            </w:tcBorders>
            <w:shd w:val="clear" w:color="auto" w:fill="auto"/>
            <w:vAlign w:val="center"/>
          </w:tcPr>
          <w:p w14:paraId="24BC736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其中：当年财政拨款</w:t>
            </w:r>
          </w:p>
        </w:tc>
        <w:tc>
          <w:tcPr>
            <w:tcW w:w="3958" w:type="dxa"/>
            <w:tcBorders>
              <w:top w:val="single" w:color="auto" w:sz="4" w:space="0"/>
              <w:left w:val="single" w:color="auto" w:sz="4" w:space="0"/>
              <w:bottom w:val="single" w:color="auto" w:sz="4" w:space="0"/>
              <w:right w:val="single" w:color="auto" w:sz="4" w:space="0"/>
            </w:tcBorders>
            <w:shd w:val="clear" w:color="auto" w:fill="auto"/>
            <w:vAlign w:val="center"/>
          </w:tcPr>
          <w:p w14:paraId="0F58CB5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192.72</w:t>
            </w:r>
          </w:p>
        </w:tc>
        <w:tc>
          <w:tcPr>
            <w:tcW w:w="1554" w:type="dxa"/>
            <w:tcBorders>
              <w:top w:val="single" w:color="auto" w:sz="4" w:space="0"/>
              <w:left w:val="single" w:color="auto" w:sz="4" w:space="0"/>
              <w:bottom w:val="single" w:color="auto" w:sz="4" w:space="0"/>
              <w:right w:val="single" w:color="auto" w:sz="4" w:space="0"/>
            </w:tcBorders>
            <w:shd w:val="clear" w:color="auto" w:fill="auto"/>
            <w:vAlign w:val="center"/>
          </w:tcPr>
          <w:p w14:paraId="19580E2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192.72</w:t>
            </w:r>
          </w:p>
        </w:tc>
        <w:tc>
          <w:tcPr>
            <w:tcW w:w="1225" w:type="dxa"/>
            <w:tcBorders>
              <w:top w:val="single" w:color="auto" w:sz="4" w:space="0"/>
              <w:left w:val="single" w:color="auto" w:sz="4" w:space="0"/>
              <w:bottom w:val="single" w:color="auto" w:sz="4" w:space="0"/>
              <w:right w:val="single" w:color="auto" w:sz="4" w:space="0"/>
            </w:tcBorders>
            <w:shd w:val="clear" w:color="auto" w:fill="auto"/>
            <w:vAlign w:val="center"/>
          </w:tcPr>
          <w:p w14:paraId="59425DC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192.72</w:t>
            </w:r>
          </w:p>
        </w:tc>
        <w:tc>
          <w:tcPr>
            <w:tcW w:w="1195" w:type="dxa"/>
            <w:tcBorders>
              <w:top w:val="single" w:color="auto" w:sz="4" w:space="0"/>
              <w:left w:val="single" w:color="auto" w:sz="4" w:space="0"/>
              <w:bottom w:val="single" w:color="auto" w:sz="4" w:space="0"/>
              <w:right w:val="single" w:color="auto" w:sz="4" w:space="0"/>
            </w:tcBorders>
            <w:shd w:val="clear" w:color="auto" w:fill="auto"/>
            <w:vAlign w:val="center"/>
          </w:tcPr>
          <w:p w14:paraId="7D6FFA8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w:t>
            </w:r>
          </w:p>
        </w:tc>
        <w:tc>
          <w:tcPr>
            <w:tcW w:w="1119"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6FBE2A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w:t>
            </w:r>
          </w:p>
        </w:tc>
        <w:tc>
          <w:tcPr>
            <w:tcW w:w="1477" w:type="dxa"/>
            <w:tcBorders>
              <w:top w:val="single" w:color="auto" w:sz="4" w:space="0"/>
              <w:left w:val="single" w:color="auto" w:sz="4" w:space="0"/>
              <w:bottom w:val="single" w:color="auto" w:sz="4" w:space="0"/>
              <w:right w:val="single" w:color="auto" w:sz="4" w:space="0"/>
            </w:tcBorders>
            <w:shd w:val="clear" w:color="auto" w:fill="auto"/>
            <w:vAlign w:val="center"/>
          </w:tcPr>
          <w:p w14:paraId="52FD00B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w:t>
            </w:r>
          </w:p>
        </w:tc>
      </w:tr>
      <w:tr w14:paraId="2EEA296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39" w:hRule="atLeast"/>
        </w:trPr>
        <w:tc>
          <w:tcPr>
            <w:tcW w:w="1884"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2FC33FEE">
            <w:pPr>
              <w:jc w:val="center"/>
              <w:rPr>
                <w:rFonts w:hint="eastAsia" w:ascii="宋体" w:hAnsi="宋体" w:eastAsia="宋体" w:cs="宋体"/>
                <w:i w:val="0"/>
                <w:iCs w:val="0"/>
                <w:color w:val="000000"/>
                <w:sz w:val="20"/>
                <w:szCs w:val="20"/>
                <w:u w:val="none"/>
              </w:rPr>
            </w:pPr>
          </w:p>
        </w:tc>
        <w:tc>
          <w:tcPr>
            <w:tcW w:w="1669" w:type="dxa"/>
            <w:tcBorders>
              <w:top w:val="single" w:color="auto" w:sz="4" w:space="0"/>
              <w:left w:val="single" w:color="auto" w:sz="4" w:space="0"/>
              <w:bottom w:val="single" w:color="auto" w:sz="4" w:space="0"/>
              <w:right w:val="single" w:color="auto" w:sz="4" w:space="0"/>
            </w:tcBorders>
            <w:shd w:val="clear" w:color="auto" w:fill="auto"/>
            <w:vAlign w:val="center"/>
          </w:tcPr>
          <w:p w14:paraId="6D7428E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 xml:space="preserve">      上年结转资金</w:t>
            </w:r>
          </w:p>
        </w:tc>
        <w:tc>
          <w:tcPr>
            <w:tcW w:w="3958" w:type="dxa"/>
            <w:tcBorders>
              <w:top w:val="single" w:color="auto" w:sz="4" w:space="0"/>
              <w:left w:val="single" w:color="auto" w:sz="4" w:space="0"/>
              <w:bottom w:val="single" w:color="auto" w:sz="4" w:space="0"/>
              <w:right w:val="single" w:color="auto" w:sz="4" w:space="0"/>
            </w:tcBorders>
            <w:shd w:val="clear" w:color="auto" w:fill="auto"/>
            <w:vAlign w:val="center"/>
          </w:tcPr>
          <w:p w14:paraId="6EC74D5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0</w:t>
            </w:r>
          </w:p>
        </w:tc>
        <w:tc>
          <w:tcPr>
            <w:tcW w:w="1554" w:type="dxa"/>
            <w:tcBorders>
              <w:top w:val="single" w:color="auto" w:sz="4" w:space="0"/>
              <w:left w:val="single" w:color="auto" w:sz="4" w:space="0"/>
              <w:bottom w:val="single" w:color="auto" w:sz="4" w:space="0"/>
              <w:right w:val="single" w:color="auto" w:sz="4" w:space="0"/>
            </w:tcBorders>
            <w:shd w:val="clear" w:color="auto" w:fill="auto"/>
            <w:vAlign w:val="center"/>
          </w:tcPr>
          <w:p w14:paraId="156CD7D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0</w:t>
            </w:r>
          </w:p>
        </w:tc>
        <w:tc>
          <w:tcPr>
            <w:tcW w:w="1225" w:type="dxa"/>
            <w:tcBorders>
              <w:top w:val="single" w:color="auto" w:sz="4" w:space="0"/>
              <w:left w:val="single" w:color="auto" w:sz="4" w:space="0"/>
              <w:bottom w:val="single" w:color="auto" w:sz="4" w:space="0"/>
              <w:right w:val="single" w:color="auto" w:sz="4" w:space="0"/>
            </w:tcBorders>
            <w:shd w:val="clear" w:color="auto" w:fill="auto"/>
            <w:vAlign w:val="center"/>
          </w:tcPr>
          <w:p w14:paraId="1D93C5B5">
            <w:pPr>
              <w:jc w:val="center"/>
              <w:rPr>
                <w:rFonts w:hint="eastAsia" w:ascii="宋体" w:hAnsi="宋体" w:eastAsia="宋体" w:cs="宋体"/>
                <w:i w:val="0"/>
                <w:iCs w:val="0"/>
                <w:color w:val="000000"/>
                <w:sz w:val="20"/>
                <w:szCs w:val="20"/>
                <w:u w:val="none"/>
              </w:rPr>
            </w:pPr>
          </w:p>
        </w:tc>
        <w:tc>
          <w:tcPr>
            <w:tcW w:w="1195" w:type="dxa"/>
            <w:tcBorders>
              <w:top w:val="single" w:color="auto" w:sz="4" w:space="0"/>
              <w:left w:val="single" w:color="auto" w:sz="4" w:space="0"/>
              <w:bottom w:val="single" w:color="auto" w:sz="4" w:space="0"/>
              <w:right w:val="single" w:color="auto" w:sz="4" w:space="0"/>
            </w:tcBorders>
            <w:shd w:val="clear" w:color="auto" w:fill="auto"/>
            <w:vAlign w:val="center"/>
          </w:tcPr>
          <w:p w14:paraId="73299D8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w:t>
            </w:r>
          </w:p>
        </w:tc>
        <w:tc>
          <w:tcPr>
            <w:tcW w:w="1119"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A53FBA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w:t>
            </w:r>
          </w:p>
        </w:tc>
        <w:tc>
          <w:tcPr>
            <w:tcW w:w="1477" w:type="dxa"/>
            <w:tcBorders>
              <w:top w:val="single" w:color="auto" w:sz="4" w:space="0"/>
              <w:left w:val="single" w:color="auto" w:sz="4" w:space="0"/>
              <w:bottom w:val="single" w:color="auto" w:sz="4" w:space="0"/>
              <w:right w:val="single" w:color="auto" w:sz="4" w:space="0"/>
            </w:tcBorders>
            <w:shd w:val="clear" w:color="auto" w:fill="auto"/>
            <w:vAlign w:val="center"/>
          </w:tcPr>
          <w:p w14:paraId="48A40E9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w:t>
            </w:r>
          </w:p>
        </w:tc>
      </w:tr>
      <w:tr w14:paraId="0DE1039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39" w:hRule="atLeast"/>
        </w:trPr>
        <w:tc>
          <w:tcPr>
            <w:tcW w:w="1884"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4992CA76">
            <w:pPr>
              <w:jc w:val="center"/>
              <w:rPr>
                <w:rFonts w:hint="eastAsia" w:ascii="宋体" w:hAnsi="宋体" w:eastAsia="宋体" w:cs="宋体"/>
                <w:i w:val="0"/>
                <w:iCs w:val="0"/>
                <w:color w:val="000000"/>
                <w:sz w:val="20"/>
                <w:szCs w:val="20"/>
                <w:u w:val="none"/>
              </w:rPr>
            </w:pPr>
          </w:p>
        </w:tc>
        <w:tc>
          <w:tcPr>
            <w:tcW w:w="1669" w:type="dxa"/>
            <w:tcBorders>
              <w:top w:val="single" w:color="auto" w:sz="4" w:space="0"/>
              <w:left w:val="single" w:color="auto" w:sz="4" w:space="0"/>
              <w:bottom w:val="single" w:color="auto" w:sz="4" w:space="0"/>
              <w:right w:val="single" w:color="auto" w:sz="4" w:space="0"/>
            </w:tcBorders>
            <w:shd w:val="clear" w:color="auto" w:fill="auto"/>
            <w:vAlign w:val="center"/>
          </w:tcPr>
          <w:p w14:paraId="4E252AE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 xml:space="preserve">  其他资金</w:t>
            </w:r>
          </w:p>
        </w:tc>
        <w:tc>
          <w:tcPr>
            <w:tcW w:w="3958" w:type="dxa"/>
            <w:tcBorders>
              <w:top w:val="single" w:color="auto" w:sz="4" w:space="0"/>
              <w:left w:val="single" w:color="auto" w:sz="4" w:space="0"/>
              <w:bottom w:val="single" w:color="auto" w:sz="4" w:space="0"/>
              <w:right w:val="single" w:color="auto" w:sz="4" w:space="0"/>
            </w:tcBorders>
            <w:shd w:val="clear" w:color="auto" w:fill="auto"/>
            <w:vAlign w:val="center"/>
          </w:tcPr>
          <w:p w14:paraId="12F2213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0</w:t>
            </w:r>
          </w:p>
        </w:tc>
        <w:tc>
          <w:tcPr>
            <w:tcW w:w="1554" w:type="dxa"/>
            <w:tcBorders>
              <w:top w:val="single" w:color="auto" w:sz="4" w:space="0"/>
              <w:left w:val="single" w:color="auto" w:sz="4" w:space="0"/>
              <w:bottom w:val="single" w:color="auto" w:sz="4" w:space="0"/>
              <w:right w:val="single" w:color="auto" w:sz="4" w:space="0"/>
            </w:tcBorders>
            <w:shd w:val="clear" w:color="auto" w:fill="auto"/>
            <w:vAlign w:val="center"/>
          </w:tcPr>
          <w:p w14:paraId="787058F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0</w:t>
            </w:r>
          </w:p>
        </w:tc>
        <w:tc>
          <w:tcPr>
            <w:tcW w:w="1225" w:type="dxa"/>
            <w:tcBorders>
              <w:top w:val="single" w:color="auto" w:sz="4" w:space="0"/>
              <w:left w:val="single" w:color="auto" w:sz="4" w:space="0"/>
              <w:bottom w:val="single" w:color="auto" w:sz="4" w:space="0"/>
              <w:right w:val="single" w:color="auto" w:sz="4" w:space="0"/>
            </w:tcBorders>
            <w:shd w:val="clear" w:color="auto" w:fill="auto"/>
            <w:vAlign w:val="center"/>
          </w:tcPr>
          <w:p w14:paraId="49238F1D">
            <w:pPr>
              <w:jc w:val="center"/>
              <w:rPr>
                <w:rFonts w:hint="eastAsia" w:ascii="宋体" w:hAnsi="宋体" w:eastAsia="宋体" w:cs="宋体"/>
                <w:i w:val="0"/>
                <w:iCs w:val="0"/>
                <w:color w:val="000000"/>
                <w:sz w:val="20"/>
                <w:szCs w:val="20"/>
                <w:u w:val="none"/>
              </w:rPr>
            </w:pPr>
          </w:p>
        </w:tc>
        <w:tc>
          <w:tcPr>
            <w:tcW w:w="1195" w:type="dxa"/>
            <w:tcBorders>
              <w:top w:val="single" w:color="auto" w:sz="4" w:space="0"/>
              <w:left w:val="single" w:color="auto" w:sz="4" w:space="0"/>
              <w:bottom w:val="single" w:color="auto" w:sz="4" w:space="0"/>
              <w:right w:val="single" w:color="auto" w:sz="4" w:space="0"/>
            </w:tcBorders>
            <w:shd w:val="clear" w:color="auto" w:fill="auto"/>
            <w:vAlign w:val="center"/>
          </w:tcPr>
          <w:p w14:paraId="4E01704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w:t>
            </w:r>
          </w:p>
        </w:tc>
        <w:tc>
          <w:tcPr>
            <w:tcW w:w="1119"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66514A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w:t>
            </w:r>
          </w:p>
        </w:tc>
        <w:tc>
          <w:tcPr>
            <w:tcW w:w="1477" w:type="dxa"/>
            <w:tcBorders>
              <w:top w:val="single" w:color="auto" w:sz="4" w:space="0"/>
              <w:left w:val="single" w:color="auto" w:sz="4" w:space="0"/>
              <w:bottom w:val="single" w:color="auto" w:sz="4" w:space="0"/>
              <w:right w:val="single" w:color="auto" w:sz="4" w:space="0"/>
            </w:tcBorders>
            <w:shd w:val="clear" w:color="auto" w:fill="auto"/>
            <w:vAlign w:val="center"/>
          </w:tcPr>
          <w:p w14:paraId="4C3415B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w:t>
            </w:r>
          </w:p>
        </w:tc>
      </w:tr>
      <w:tr w14:paraId="4D583AE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843"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6C8B3EE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年度总体目标</w:t>
            </w:r>
          </w:p>
        </w:tc>
        <w:tc>
          <w:tcPr>
            <w:tcW w:w="8222" w:type="dxa"/>
            <w:gridSpan w:val="4"/>
            <w:tcBorders>
              <w:top w:val="single" w:color="auto" w:sz="4" w:space="0"/>
              <w:left w:val="single" w:color="auto" w:sz="4" w:space="0"/>
              <w:bottom w:val="single" w:color="auto" w:sz="4" w:space="0"/>
              <w:right w:val="single" w:color="auto" w:sz="4" w:space="0"/>
            </w:tcBorders>
            <w:shd w:val="clear" w:color="auto" w:fill="auto"/>
            <w:vAlign w:val="center"/>
          </w:tcPr>
          <w:p w14:paraId="2E5AF7A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预期目标</w:t>
            </w:r>
          </w:p>
        </w:tc>
        <w:tc>
          <w:tcPr>
            <w:tcW w:w="5016" w:type="dxa"/>
            <w:gridSpan w:val="5"/>
            <w:tcBorders>
              <w:top w:val="single" w:color="auto" w:sz="4" w:space="0"/>
              <w:left w:val="single" w:color="auto" w:sz="4" w:space="0"/>
              <w:bottom w:val="single" w:color="auto" w:sz="4" w:space="0"/>
              <w:right w:val="single" w:color="auto" w:sz="4" w:space="0"/>
            </w:tcBorders>
            <w:shd w:val="clear" w:color="auto" w:fill="auto"/>
            <w:vAlign w:val="center"/>
          </w:tcPr>
          <w:p w14:paraId="31B4980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实际完成情况</w:t>
            </w:r>
          </w:p>
        </w:tc>
      </w:tr>
      <w:tr w14:paraId="05DC9AA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79" w:hRule="atLeast"/>
        </w:trPr>
        <w:tc>
          <w:tcPr>
            <w:tcW w:w="843"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4EAB15BB">
            <w:pPr>
              <w:jc w:val="center"/>
              <w:rPr>
                <w:rFonts w:hint="eastAsia" w:ascii="宋体" w:hAnsi="宋体" w:eastAsia="宋体" w:cs="宋体"/>
                <w:i w:val="0"/>
                <w:iCs w:val="0"/>
                <w:color w:val="000000"/>
                <w:sz w:val="20"/>
                <w:szCs w:val="20"/>
                <w:u w:val="none"/>
              </w:rPr>
            </w:pPr>
          </w:p>
        </w:tc>
        <w:tc>
          <w:tcPr>
            <w:tcW w:w="8222" w:type="dxa"/>
            <w:gridSpan w:val="4"/>
            <w:tcBorders>
              <w:top w:val="single" w:color="auto" w:sz="4" w:space="0"/>
              <w:left w:val="single" w:color="auto" w:sz="4" w:space="0"/>
              <w:bottom w:val="single" w:color="auto" w:sz="4" w:space="0"/>
              <w:right w:val="single" w:color="auto" w:sz="4" w:space="0"/>
            </w:tcBorders>
            <w:shd w:val="clear" w:color="auto" w:fill="auto"/>
            <w:vAlign w:val="top"/>
          </w:tcPr>
          <w:p w14:paraId="056F79FF">
            <w:pPr>
              <w:keepNext w:val="0"/>
              <w:keepLines w:val="0"/>
              <w:widowControl/>
              <w:suppressLineNumbers w:val="0"/>
              <w:jc w:val="left"/>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根据《关于结算2023年度民族贸易和民族特需商品生产贷款贴息引导支持资金的通知》，通过为8家民贸民品企业进行核定补齐2023年贷款贴息共计192.72万元，为民贸民品企业注入经济活力，促进企业健康发展。</w:t>
            </w:r>
          </w:p>
        </w:tc>
        <w:tc>
          <w:tcPr>
            <w:tcW w:w="5016" w:type="dxa"/>
            <w:gridSpan w:val="5"/>
            <w:tcBorders>
              <w:top w:val="single" w:color="auto" w:sz="4" w:space="0"/>
              <w:left w:val="single" w:color="auto" w:sz="4" w:space="0"/>
              <w:bottom w:val="single" w:color="auto" w:sz="4" w:space="0"/>
              <w:right w:val="single" w:color="auto" w:sz="4" w:space="0"/>
            </w:tcBorders>
            <w:shd w:val="clear" w:color="auto" w:fill="auto"/>
            <w:vAlign w:val="top"/>
          </w:tcPr>
          <w:p w14:paraId="5E854585">
            <w:pPr>
              <w:keepNext w:val="0"/>
              <w:keepLines w:val="0"/>
              <w:widowControl/>
              <w:suppressLineNumbers w:val="0"/>
              <w:jc w:val="left"/>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已完成8家民贸民品企业进行核定补齐2023年贷款贴息共计192.72万元，为民贸民品企业注入经济活力，促进企业健康发展。</w:t>
            </w:r>
          </w:p>
        </w:tc>
      </w:tr>
      <w:tr w14:paraId="21C6884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843"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55B7BC7">
            <w:pPr>
              <w:jc w:val="center"/>
              <w:rPr>
                <w:rFonts w:hint="eastAsia" w:ascii="宋体" w:hAnsi="宋体" w:eastAsia="宋体" w:cs="宋体"/>
                <w:i w:val="0"/>
                <w:iCs w:val="0"/>
                <w:color w:val="000000"/>
                <w:sz w:val="20"/>
                <w:szCs w:val="20"/>
                <w:u w:val="none"/>
              </w:rPr>
            </w:pPr>
          </w:p>
        </w:tc>
        <w:tc>
          <w:tcPr>
            <w:tcW w:w="104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6B3A23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一级指标</w:t>
            </w:r>
          </w:p>
        </w:tc>
        <w:tc>
          <w:tcPr>
            <w:tcW w:w="1669"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FD7AC9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二级指标</w:t>
            </w:r>
          </w:p>
        </w:tc>
        <w:tc>
          <w:tcPr>
            <w:tcW w:w="3958"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70153BF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三级指标</w:t>
            </w:r>
          </w:p>
        </w:tc>
        <w:tc>
          <w:tcPr>
            <w:tcW w:w="1554"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642C273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年度指标值</w:t>
            </w:r>
          </w:p>
        </w:tc>
        <w:tc>
          <w:tcPr>
            <w:tcW w:w="122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82CBA0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实际完成值</w:t>
            </w:r>
          </w:p>
        </w:tc>
        <w:tc>
          <w:tcPr>
            <w:tcW w:w="119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6AB1536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分值</w:t>
            </w:r>
          </w:p>
        </w:tc>
        <w:tc>
          <w:tcPr>
            <w:tcW w:w="582"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F4B6D7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得分</w:t>
            </w:r>
          </w:p>
        </w:tc>
        <w:tc>
          <w:tcPr>
            <w:tcW w:w="2014"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660B29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偏差原因分析及改进措施</w:t>
            </w:r>
          </w:p>
        </w:tc>
      </w:tr>
      <w:tr w14:paraId="5AF0263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843"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1BF4EA6A">
            <w:pPr>
              <w:jc w:val="center"/>
              <w:rPr>
                <w:rFonts w:hint="eastAsia" w:ascii="宋体" w:hAnsi="宋体" w:eastAsia="宋体" w:cs="宋体"/>
                <w:i w:val="0"/>
                <w:iCs w:val="0"/>
                <w:color w:val="000000"/>
                <w:sz w:val="20"/>
                <w:szCs w:val="20"/>
                <w:u w:val="none"/>
              </w:rPr>
            </w:pPr>
          </w:p>
        </w:tc>
        <w:tc>
          <w:tcPr>
            <w:tcW w:w="104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4EE48421">
            <w:pPr>
              <w:jc w:val="center"/>
              <w:rPr>
                <w:rFonts w:hint="eastAsia" w:ascii="宋体" w:hAnsi="宋体" w:eastAsia="宋体" w:cs="宋体"/>
                <w:i w:val="0"/>
                <w:iCs w:val="0"/>
                <w:color w:val="000000"/>
                <w:sz w:val="20"/>
                <w:szCs w:val="20"/>
                <w:u w:val="none"/>
              </w:rPr>
            </w:pPr>
          </w:p>
        </w:tc>
        <w:tc>
          <w:tcPr>
            <w:tcW w:w="166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400FB3D4">
            <w:pPr>
              <w:jc w:val="center"/>
              <w:rPr>
                <w:rFonts w:hint="eastAsia" w:ascii="宋体" w:hAnsi="宋体" w:eastAsia="宋体" w:cs="宋体"/>
                <w:i w:val="0"/>
                <w:iCs w:val="0"/>
                <w:color w:val="000000"/>
                <w:sz w:val="20"/>
                <w:szCs w:val="20"/>
                <w:u w:val="none"/>
              </w:rPr>
            </w:pPr>
          </w:p>
        </w:tc>
        <w:tc>
          <w:tcPr>
            <w:tcW w:w="3958"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366A3B52">
            <w:pPr>
              <w:jc w:val="center"/>
              <w:rPr>
                <w:rFonts w:hint="eastAsia" w:ascii="宋体" w:hAnsi="宋体" w:eastAsia="宋体" w:cs="宋体"/>
                <w:i w:val="0"/>
                <w:iCs w:val="0"/>
                <w:color w:val="000000"/>
                <w:sz w:val="20"/>
                <w:szCs w:val="20"/>
                <w:u w:val="none"/>
              </w:rPr>
            </w:pPr>
          </w:p>
        </w:tc>
        <w:tc>
          <w:tcPr>
            <w:tcW w:w="1554"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087EAEAC">
            <w:pPr>
              <w:jc w:val="center"/>
              <w:rPr>
                <w:rFonts w:hint="eastAsia" w:ascii="宋体" w:hAnsi="宋体" w:eastAsia="宋体" w:cs="宋体"/>
                <w:i w:val="0"/>
                <w:iCs w:val="0"/>
                <w:color w:val="000000"/>
                <w:sz w:val="20"/>
                <w:szCs w:val="20"/>
                <w:u w:val="none"/>
              </w:rPr>
            </w:pPr>
          </w:p>
        </w:tc>
        <w:tc>
          <w:tcPr>
            <w:tcW w:w="122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10279427">
            <w:pPr>
              <w:jc w:val="center"/>
              <w:rPr>
                <w:rFonts w:hint="eastAsia" w:ascii="宋体" w:hAnsi="宋体" w:eastAsia="宋体" w:cs="宋体"/>
                <w:i w:val="0"/>
                <w:iCs w:val="0"/>
                <w:color w:val="000000"/>
                <w:sz w:val="20"/>
                <w:szCs w:val="20"/>
                <w:u w:val="none"/>
              </w:rPr>
            </w:pPr>
          </w:p>
        </w:tc>
        <w:tc>
          <w:tcPr>
            <w:tcW w:w="119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22DA1FEF">
            <w:pPr>
              <w:jc w:val="center"/>
              <w:rPr>
                <w:rFonts w:hint="eastAsia" w:ascii="宋体" w:hAnsi="宋体" w:eastAsia="宋体" w:cs="宋体"/>
                <w:i w:val="0"/>
                <w:iCs w:val="0"/>
                <w:color w:val="000000"/>
                <w:sz w:val="20"/>
                <w:szCs w:val="20"/>
                <w:u w:val="none"/>
              </w:rPr>
            </w:pPr>
          </w:p>
        </w:tc>
        <w:tc>
          <w:tcPr>
            <w:tcW w:w="582"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65CED0B5">
            <w:pPr>
              <w:jc w:val="center"/>
              <w:rPr>
                <w:rFonts w:hint="eastAsia" w:ascii="宋体" w:hAnsi="宋体" w:eastAsia="宋体" w:cs="宋体"/>
                <w:i w:val="0"/>
                <w:iCs w:val="0"/>
                <w:color w:val="000000"/>
                <w:sz w:val="20"/>
                <w:szCs w:val="20"/>
                <w:u w:val="none"/>
              </w:rPr>
            </w:pPr>
          </w:p>
        </w:tc>
        <w:tc>
          <w:tcPr>
            <w:tcW w:w="2014"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21093BE3">
            <w:pPr>
              <w:jc w:val="center"/>
              <w:rPr>
                <w:rFonts w:hint="eastAsia" w:ascii="宋体" w:hAnsi="宋体" w:eastAsia="宋体" w:cs="宋体"/>
                <w:i w:val="0"/>
                <w:iCs w:val="0"/>
                <w:color w:val="000000"/>
                <w:sz w:val="20"/>
                <w:szCs w:val="20"/>
                <w:u w:val="none"/>
              </w:rPr>
            </w:pPr>
          </w:p>
        </w:tc>
      </w:tr>
      <w:tr w14:paraId="6CECA26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843"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792A8E2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年度绩效指标完成情况</w:t>
            </w:r>
          </w:p>
        </w:tc>
        <w:tc>
          <w:tcPr>
            <w:tcW w:w="104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7B7DB3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产出指标</w:t>
            </w:r>
          </w:p>
        </w:tc>
        <w:tc>
          <w:tcPr>
            <w:tcW w:w="1669" w:type="dxa"/>
            <w:tcBorders>
              <w:top w:val="single" w:color="auto" w:sz="4" w:space="0"/>
              <w:left w:val="single" w:color="auto" w:sz="4" w:space="0"/>
              <w:bottom w:val="single" w:color="auto" w:sz="4" w:space="0"/>
              <w:right w:val="single" w:color="auto" w:sz="4" w:space="0"/>
            </w:tcBorders>
            <w:shd w:val="clear" w:color="auto" w:fill="auto"/>
            <w:vAlign w:val="center"/>
          </w:tcPr>
          <w:p w14:paraId="7A520AF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数量指标</w:t>
            </w:r>
          </w:p>
        </w:tc>
        <w:tc>
          <w:tcPr>
            <w:tcW w:w="3958" w:type="dxa"/>
            <w:tcBorders>
              <w:top w:val="single" w:color="auto" w:sz="4" w:space="0"/>
              <w:left w:val="single" w:color="auto" w:sz="4" w:space="0"/>
              <w:bottom w:val="single" w:color="auto" w:sz="4" w:space="0"/>
              <w:right w:val="single" w:color="auto" w:sz="4" w:space="0"/>
            </w:tcBorders>
            <w:shd w:val="clear" w:color="auto" w:fill="auto"/>
            <w:noWrap/>
            <w:vAlign w:val="center"/>
          </w:tcPr>
          <w:p w14:paraId="1642394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支持民贸民品企业数量</w:t>
            </w:r>
          </w:p>
        </w:tc>
        <w:tc>
          <w:tcPr>
            <w:tcW w:w="1554" w:type="dxa"/>
            <w:tcBorders>
              <w:top w:val="single" w:color="auto" w:sz="4" w:space="0"/>
              <w:left w:val="single" w:color="auto" w:sz="4" w:space="0"/>
              <w:bottom w:val="single" w:color="auto" w:sz="4" w:space="0"/>
              <w:right w:val="single" w:color="auto" w:sz="4" w:space="0"/>
            </w:tcBorders>
            <w:shd w:val="clear" w:color="auto" w:fill="auto"/>
            <w:vAlign w:val="center"/>
          </w:tcPr>
          <w:p w14:paraId="3F8789D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=8家</w:t>
            </w:r>
          </w:p>
        </w:tc>
        <w:tc>
          <w:tcPr>
            <w:tcW w:w="1225" w:type="dxa"/>
            <w:tcBorders>
              <w:top w:val="single" w:color="auto" w:sz="4" w:space="0"/>
              <w:left w:val="single" w:color="auto" w:sz="4" w:space="0"/>
              <w:bottom w:val="single" w:color="auto" w:sz="4" w:space="0"/>
              <w:right w:val="single" w:color="auto" w:sz="4" w:space="0"/>
            </w:tcBorders>
            <w:shd w:val="clear" w:color="auto" w:fill="auto"/>
            <w:vAlign w:val="center"/>
          </w:tcPr>
          <w:p w14:paraId="3FC7E07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8家</w:t>
            </w:r>
          </w:p>
        </w:tc>
        <w:tc>
          <w:tcPr>
            <w:tcW w:w="1195" w:type="dxa"/>
            <w:tcBorders>
              <w:top w:val="single" w:color="auto" w:sz="4" w:space="0"/>
              <w:left w:val="single" w:color="auto" w:sz="4" w:space="0"/>
              <w:bottom w:val="single" w:color="auto" w:sz="4" w:space="0"/>
              <w:right w:val="single" w:color="auto" w:sz="4" w:space="0"/>
            </w:tcBorders>
            <w:shd w:val="clear" w:color="auto" w:fill="auto"/>
            <w:vAlign w:val="center"/>
          </w:tcPr>
          <w:p w14:paraId="4E3724B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10</w:t>
            </w:r>
          </w:p>
        </w:tc>
        <w:tc>
          <w:tcPr>
            <w:tcW w:w="582" w:type="dxa"/>
            <w:tcBorders>
              <w:top w:val="single" w:color="auto" w:sz="4" w:space="0"/>
              <w:left w:val="single" w:color="auto" w:sz="4" w:space="0"/>
              <w:bottom w:val="single" w:color="auto" w:sz="4" w:space="0"/>
              <w:right w:val="single" w:color="auto" w:sz="4" w:space="0"/>
            </w:tcBorders>
            <w:shd w:val="clear" w:color="auto" w:fill="auto"/>
            <w:vAlign w:val="center"/>
          </w:tcPr>
          <w:p w14:paraId="693803F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10</w:t>
            </w:r>
          </w:p>
        </w:tc>
        <w:tc>
          <w:tcPr>
            <w:tcW w:w="201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6FABF66">
            <w:pPr>
              <w:jc w:val="center"/>
              <w:rPr>
                <w:rFonts w:hint="eastAsia" w:ascii="宋体" w:hAnsi="宋体" w:eastAsia="宋体" w:cs="宋体"/>
                <w:i w:val="0"/>
                <w:iCs w:val="0"/>
                <w:color w:val="000000"/>
                <w:sz w:val="20"/>
                <w:szCs w:val="20"/>
                <w:u w:val="none"/>
              </w:rPr>
            </w:pPr>
          </w:p>
        </w:tc>
      </w:tr>
      <w:tr w14:paraId="27E7CEB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843"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2B5FBA25">
            <w:pPr>
              <w:jc w:val="center"/>
              <w:rPr>
                <w:rFonts w:hint="eastAsia" w:ascii="宋体" w:hAnsi="宋体" w:eastAsia="宋体" w:cs="宋体"/>
                <w:i w:val="0"/>
                <w:iCs w:val="0"/>
                <w:color w:val="000000"/>
                <w:sz w:val="20"/>
                <w:szCs w:val="20"/>
                <w:u w:val="none"/>
              </w:rPr>
            </w:pPr>
          </w:p>
        </w:tc>
        <w:tc>
          <w:tcPr>
            <w:tcW w:w="104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21A1DA5E">
            <w:pPr>
              <w:jc w:val="center"/>
              <w:rPr>
                <w:rFonts w:hint="eastAsia" w:ascii="宋体" w:hAnsi="宋体" w:eastAsia="宋体" w:cs="宋体"/>
                <w:i w:val="0"/>
                <w:iCs w:val="0"/>
                <w:color w:val="000000"/>
                <w:sz w:val="20"/>
                <w:szCs w:val="20"/>
                <w:u w:val="none"/>
              </w:rPr>
            </w:pPr>
          </w:p>
        </w:tc>
        <w:tc>
          <w:tcPr>
            <w:tcW w:w="1669" w:type="dxa"/>
            <w:tcBorders>
              <w:top w:val="single" w:color="auto" w:sz="4" w:space="0"/>
              <w:left w:val="single" w:color="auto" w:sz="4" w:space="0"/>
              <w:bottom w:val="single" w:color="auto" w:sz="4" w:space="0"/>
              <w:right w:val="single" w:color="auto" w:sz="4" w:space="0"/>
            </w:tcBorders>
            <w:shd w:val="clear" w:color="auto" w:fill="auto"/>
            <w:vAlign w:val="center"/>
          </w:tcPr>
          <w:p w14:paraId="558D974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质量指标</w:t>
            </w:r>
          </w:p>
        </w:tc>
        <w:tc>
          <w:tcPr>
            <w:tcW w:w="3958" w:type="dxa"/>
            <w:tcBorders>
              <w:top w:val="single" w:color="auto" w:sz="4" w:space="0"/>
              <w:left w:val="single" w:color="auto" w:sz="4" w:space="0"/>
              <w:bottom w:val="single" w:color="auto" w:sz="4" w:space="0"/>
              <w:right w:val="single" w:color="auto" w:sz="4" w:space="0"/>
            </w:tcBorders>
            <w:shd w:val="clear" w:color="auto" w:fill="auto"/>
            <w:noWrap/>
            <w:vAlign w:val="center"/>
          </w:tcPr>
          <w:p w14:paraId="22C03C2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贴息足额支付率</w:t>
            </w:r>
          </w:p>
        </w:tc>
        <w:tc>
          <w:tcPr>
            <w:tcW w:w="1554" w:type="dxa"/>
            <w:tcBorders>
              <w:top w:val="single" w:color="auto" w:sz="4" w:space="0"/>
              <w:left w:val="single" w:color="auto" w:sz="4" w:space="0"/>
              <w:bottom w:val="single" w:color="auto" w:sz="4" w:space="0"/>
              <w:right w:val="single" w:color="auto" w:sz="4" w:space="0"/>
            </w:tcBorders>
            <w:shd w:val="clear" w:color="auto" w:fill="auto"/>
            <w:vAlign w:val="center"/>
          </w:tcPr>
          <w:p w14:paraId="0E55F4B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=100%</w:t>
            </w:r>
          </w:p>
        </w:tc>
        <w:tc>
          <w:tcPr>
            <w:tcW w:w="1225" w:type="dxa"/>
            <w:tcBorders>
              <w:top w:val="single" w:color="auto" w:sz="4" w:space="0"/>
              <w:left w:val="single" w:color="auto" w:sz="4" w:space="0"/>
              <w:bottom w:val="single" w:color="auto" w:sz="4" w:space="0"/>
              <w:right w:val="single" w:color="auto" w:sz="4" w:space="0"/>
            </w:tcBorders>
            <w:shd w:val="clear" w:color="auto" w:fill="auto"/>
            <w:vAlign w:val="center"/>
          </w:tcPr>
          <w:p w14:paraId="120DDFD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100%</w:t>
            </w:r>
          </w:p>
        </w:tc>
        <w:tc>
          <w:tcPr>
            <w:tcW w:w="1195" w:type="dxa"/>
            <w:tcBorders>
              <w:top w:val="single" w:color="auto" w:sz="4" w:space="0"/>
              <w:left w:val="single" w:color="auto" w:sz="4" w:space="0"/>
              <w:bottom w:val="single" w:color="auto" w:sz="4" w:space="0"/>
              <w:right w:val="single" w:color="auto" w:sz="4" w:space="0"/>
            </w:tcBorders>
            <w:shd w:val="clear" w:color="auto" w:fill="auto"/>
            <w:vAlign w:val="center"/>
          </w:tcPr>
          <w:p w14:paraId="3C428CB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10</w:t>
            </w:r>
          </w:p>
        </w:tc>
        <w:tc>
          <w:tcPr>
            <w:tcW w:w="582" w:type="dxa"/>
            <w:tcBorders>
              <w:top w:val="single" w:color="auto" w:sz="4" w:space="0"/>
              <w:left w:val="single" w:color="auto" w:sz="4" w:space="0"/>
              <w:bottom w:val="single" w:color="auto" w:sz="4" w:space="0"/>
              <w:right w:val="single" w:color="auto" w:sz="4" w:space="0"/>
            </w:tcBorders>
            <w:shd w:val="clear" w:color="auto" w:fill="auto"/>
            <w:vAlign w:val="center"/>
          </w:tcPr>
          <w:p w14:paraId="2FEF9B4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10</w:t>
            </w:r>
          </w:p>
        </w:tc>
        <w:tc>
          <w:tcPr>
            <w:tcW w:w="201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BE34F32">
            <w:pPr>
              <w:jc w:val="center"/>
              <w:rPr>
                <w:rFonts w:hint="eastAsia" w:ascii="宋体" w:hAnsi="宋体" w:eastAsia="宋体" w:cs="宋体"/>
                <w:i w:val="0"/>
                <w:iCs w:val="0"/>
                <w:color w:val="000000"/>
                <w:sz w:val="20"/>
                <w:szCs w:val="20"/>
                <w:u w:val="none"/>
              </w:rPr>
            </w:pPr>
          </w:p>
        </w:tc>
      </w:tr>
      <w:tr w14:paraId="59F64EA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843"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0B4C8D4D">
            <w:pPr>
              <w:jc w:val="center"/>
              <w:rPr>
                <w:rFonts w:hint="eastAsia" w:ascii="宋体" w:hAnsi="宋体" w:eastAsia="宋体" w:cs="宋体"/>
                <w:i w:val="0"/>
                <w:iCs w:val="0"/>
                <w:color w:val="000000"/>
                <w:sz w:val="20"/>
                <w:szCs w:val="20"/>
                <w:u w:val="none"/>
              </w:rPr>
            </w:pPr>
          </w:p>
        </w:tc>
        <w:tc>
          <w:tcPr>
            <w:tcW w:w="104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14364D65">
            <w:pPr>
              <w:jc w:val="center"/>
              <w:rPr>
                <w:rFonts w:hint="eastAsia" w:ascii="宋体" w:hAnsi="宋体" w:eastAsia="宋体" w:cs="宋体"/>
                <w:i w:val="0"/>
                <w:iCs w:val="0"/>
                <w:color w:val="000000"/>
                <w:sz w:val="20"/>
                <w:szCs w:val="20"/>
                <w:u w:val="none"/>
              </w:rPr>
            </w:pPr>
          </w:p>
        </w:tc>
        <w:tc>
          <w:tcPr>
            <w:tcW w:w="1669" w:type="dxa"/>
            <w:tcBorders>
              <w:top w:val="single" w:color="auto" w:sz="4" w:space="0"/>
              <w:left w:val="single" w:color="auto" w:sz="4" w:space="0"/>
              <w:bottom w:val="single" w:color="auto" w:sz="4" w:space="0"/>
              <w:right w:val="single" w:color="auto" w:sz="4" w:space="0"/>
            </w:tcBorders>
            <w:shd w:val="clear" w:color="auto" w:fill="auto"/>
            <w:vAlign w:val="center"/>
          </w:tcPr>
          <w:p w14:paraId="4D90028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质量指标</w:t>
            </w:r>
          </w:p>
        </w:tc>
        <w:tc>
          <w:tcPr>
            <w:tcW w:w="3958" w:type="dxa"/>
            <w:tcBorders>
              <w:top w:val="single" w:color="auto" w:sz="4" w:space="0"/>
              <w:left w:val="single" w:color="auto" w:sz="4" w:space="0"/>
              <w:bottom w:val="single" w:color="auto" w:sz="4" w:space="0"/>
              <w:right w:val="single" w:color="auto" w:sz="4" w:space="0"/>
            </w:tcBorders>
            <w:shd w:val="clear" w:color="auto" w:fill="auto"/>
            <w:noWrap/>
            <w:vAlign w:val="center"/>
          </w:tcPr>
          <w:p w14:paraId="5372FDB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贴息资金管理规范率</w:t>
            </w:r>
          </w:p>
        </w:tc>
        <w:tc>
          <w:tcPr>
            <w:tcW w:w="1554" w:type="dxa"/>
            <w:tcBorders>
              <w:top w:val="single" w:color="auto" w:sz="4" w:space="0"/>
              <w:left w:val="single" w:color="auto" w:sz="4" w:space="0"/>
              <w:bottom w:val="single" w:color="auto" w:sz="4" w:space="0"/>
              <w:right w:val="single" w:color="auto" w:sz="4" w:space="0"/>
            </w:tcBorders>
            <w:shd w:val="clear" w:color="auto" w:fill="auto"/>
            <w:vAlign w:val="center"/>
          </w:tcPr>
          <w:p w14:paraId="7BBBBEF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=100%</w:t>
            </w:r>
          </w:p>
        </w:tc>
        <w:tc>
          <w:tcPr>
            <w:tcW w:w="1225" w:type="dxa"/>
            <w:tcBorders>
              <w:top w:val="single" w:color="auto" w:sz="4" w:space="0"/>
              <w:left w:val="single" w:color="auto" w:sz="4" w:space="0"/>
              <w:bottom w:val="single" w:color="auto" w:sz="4" w:space="0"/>
              <w:right w:val="single" w:color="auto" w:sz="4" w:space="0"/>
            </w:tcBorders>
            <w:shd w:val="clear" w:color="auto" w:fill="auto"/>
            <w:vAlign w:val="center"/>
          </w:tcPr>
          <w:p w14:paraId="70A841C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100%</w:t>
            </w:r>
          </w:p>
        </w:tc>
        <w:tc>
          <w:tcPr>
            <w:tcW w:w="1195" w:type="dxa"/>
            <w:tcBorders>
              <w:top w:val="single" w:color="auto" w:sz="4" w:space="0"/>
              <w:left w:val="single" w:color="auto" w:sz="4" w:space="0"/>
              <w:bottom w:val="single" w:color="auto" w:sz="4" w:space="0"/>
              <w:right w:val="single" w:color="auto" w:sz="4" w:space="0"/>
            </w:tcBorders>
            <w:shd w:val="clear" w:color="auto" w:fill="auto"/>
            <w:vAlign w:val="center"/>
          </w:tcPr>
          <w:p w14:paraId="3F74560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10</w:t>
            </w:r>
          </w:p>
        </w:tc>
        <w:tc>
          <w:tcPr>
            <w:tcW w:w="582" w:type="dxa"/>
            <w:tcBorders>
              <w:top w:val="single" w:color="auto" w:sz="4" w:space="0"/>
              <w:left w:val="single" w:color="auto" w:sz="4" w:space="0"/>
              <w:bottom w:val="single" w:color="auto" w:sz="4" w:space="0"/>
              <w:right w:val="single" w:color="auto" w:sz="4" w:space="0"/>
            </w:tcBorders>
            <w:shd w:val="clear" w:color="auto" w:fill="auto"/>
            <w:vAlign w:val="center"/>
          </w:tcPr>
          <w:p w14:paraId="0EF2AD0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10</w:t>
            </w:r>
          </w:p>
        </w:tc>
        <w:tc>
          <w:tcPr>
            <w:tcW w:w="201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9D26151">
            <w:pPr>
              <w:jc w:val="center"/>
              <w:rPr>
                <w:rFonts w:hint="eastAsia" w:ascii="宋体" w:hAnsi="宋体" w:eastAsia="宋体" w:cs="宋体"/>
                <w:i w:val="0"/>
                <w:iCs w:val="0"/>
                <w:color w:val="000000"/>
                <w:sz w:val="20"/>
                <w:szCs w:val="20"/>
                <w:u w:val="none"/>
              </w:rPr>
            </w:pPr>
          </w:p>
        </w:tc>
      </w:tr>
      <w:tr w14:paraId="46FC94C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843"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2A58A214">
            <w:pPr>
              <w:jc w:val="center"/>
              <w:rPr>
                <w:rFonts w:hint="eastAsia" w:ascii="宋体" w:hAnsi="宋体" w:eastAsia="宋体" w:cs="宋体"/>
                <w:i w:val="0"/>
                <w:iCs w:val="0"/>
                <w:color w:val="000000"/>
                <w:sz w:val="20"/>
                <w:szCs w:val="20"/>
                <w:u w:val="none"/>
              </w:rPr>
            </w:pPr>
          </w:p>
        </w:tc>
        <w:tc>
          <w:tcPr>
            <w:tcW w:w="104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6B7FD24F">
            <w:pPr>
              <w:jc w:val="center"/>
              <w:rPr>
                <w:rFonts w:hint="eastAsia" w:ascii="宋体" w:hAnsi="宋体" w:eastAsia="宋体" w:cs="宋体"/>
                <w:i w:val="0"/>
                <w:iCs w:val="0"/>
                <w:color w:val="000000"/>
                <w:sz w:val="20"/>
                <w:szCs w:val="20"/>
                <w:u w:val="none"/>
              </w:rPr>
            </w:pPr>
          </w:p>
        </w:tc>
        <w:tc>
          <w:tcPr>
            <w:tcW w:w="1669" w:type="dxa"/>
            <w:tcBorders>
              <w:top w:val="single" w:color="auto" w:sz="4" w:space="0"/>
              <w:left w:val="single" w:color="auto" w:sz="4" w:space="0"/>
              <w:bottom w:val="single" w:color="auto" w:sz="4" w:space="0"/>
              <w:right w:val="single" w:color="auto" w:sz="4" w:space="0"/>
            </w:tcBorders>
            <w:shd w:val="clear" w:color="auto" w:fill="auto"/>
            <w:vAlign w:val="center"/>
          </w:tcPr>
          <w:p w14:paraId="1430A9C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时效指标</w:t>
            </w:r>
          </w:p>
        </w:tc>
        <w:tc>
          <w:tcPr>
            <w:tcW w:w="3958" w:type="dxa"/>
            <w:tcBorders>
              <w:top w:val="single" w:color="auto" w:sz="4" w:space="0"/>
              <w:left w:val="single" w:color="auto" w:sz="4" w:space="0"/>
              <w:bottom w:val="single" w:color="auto" w:sz="4" w:space="0"/>
              <w:right w:val="single" w:color="auto" w:sz="4" w:space="0"/>
            </w:tcBorders>
            <w:shd w:val="clear" w:color="auto" w:fill="auto"/>
            <w:noWrap/>
            <w:vAlign w:val="center"/>
          </w:tcPr>
          <w:p w14:paraId="441C2C3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上级资金支付及时率</w:t>
            </w:r>
          </w:p>
        </w:tc>
        <w:tc>
          <w:tcPr>
            <w:tcW w:w="1554" w:type="dxa"/>
            <w:tcBorders>
              <w:top w:val="single" w:color="auto" w:sz="4" w:space="0"/>
              <w:left w:val="single" w:color="auto" w:sz="4" w:space="0"/>
              <w:bottom w:val="single" w:color="auto" w:sz="4" w:space="0"/>
              <w:right w:val="single" w:color="auto" w:sz="4" w:space="0"/>
            </w:tcBorders>
            <w:shd w:val="clear" w:color="auto" w:fill="auto"/>
            <w:vAlign w:val="center"/>
          </w:tcPr>
          <w:p w14:paraId="7093F6D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=100%</w:t>
            </w:r>
          </w:p>
        </w:tc>
        <w:tc>
          <w:tcPr>
            <w:tcW w:w="1225" w:type="dxa"/>
            <w:tcBorders>
              <w:top w:val="single" w:color="auto" w:sz="4" w:space="0"/>
              <w:left w:val="single" w:color="auto" w:sz="4" w:space="0"/>
              <w:bottom w:val="single" w:color="auto" w:sz="4" w:space="0"/>
              <w:right w:val="single" w:color="auto" w:sz="4" w:space="0"/>
            </w:tcBorders>
            <w:shd w:val="clear" w:color="auto" w:fill="auto"/>
            <w:vAlign w:val="center"/>
          </w:tcPr>
          <w:p w14:paraId="0B8A1FE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100%</w:t>
            </w:r>
          </w:p>
        </w:tc>
        <w:tc>
          <w:tcPr>
            <w:tcW w:w="1195" w:type="dxa"/>
            <w:tcBorders>
              <w:top w:val="single" w:color="auto" w:sz="4" w:space="0"/>
              <w:left w:val="single" w:color="auto" w:sz="4" w:space="0"/>
              <w:bottom w:val="single" w:color="auto" w:sz="4" w:space="0"/>
              <w:right w:val="single" w:color="auto" w:sz="4" w:space="0"/>
            </w:tcBorders>
            <w:shd w:val="clear" w:color="auto" w:fill="auto"/>
            <w:vAlign w:val="center"/>
          </w:tcPr>
          <w:p w14:paraId="0A8E235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10</w:t>
            </w:r>
          </w:p>
        </w:tc>
        <w:tc>
          <w:tcPr>
            <w:tcW w:w="582" w:type="dxa"/>
            <w:tcBorders>
              <w:top w:val="single" w:color="auto" w:sz="4" w:space="0"/>
              <w:left w:val="single" w:color="auto" w:sz="4" w:space="0"/>
              <w:bottom w:val="single" w:color="auto" w:sz="4" w:space="0"/>
              <w:right w:val="single" w:color="auto" w:sz="4" w:space="0"/>
            </w:tcBorders>
            <w:shd w:val="clear" w:color="auto" w:fill="auto"/>
            <w:vAlign w:val="center"/>
          </w:tcPr>
          <w:p w14:paraId="0A58144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10</w:t>
            </w:r>
          </w:p>
        </w:tc>
        <w:tc>
          <w:tcPr>
            <w:tcW w:w="201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7090EE7">
            <w:pPr>
              <w:jc w:val="center"/>
              <w:rPr>
                <w:rFonts w:hint="eastAsia" w:ascii="宋体" w:hAnsi="宋体" w:eastAsia="宋体" w:cs="宋体"/>
                <w:i w:val="0"/>
                <w:iCs w:val="0"/>
                <w:color w:val="000000"/>
                <w:sz w:val="20"/>
                <w:szCs w:val="20"/>
                <w:u w:val="none"/>
              </w:rPr>
            </w:pPr>
          </w:p>
        </w:tc>
      </w:tr>
      <w:tr w14:paraId="1BC40E1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843"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238B88CD">
            <w:pPr>
              <w:jc w:val="center"/>
              <w:rPr>
                <w:rFonts w:hint="eastAsia" w:ascii="宋体" w:hAnsi="宋体" w:eastAsia="宋体" w:cs="宋体"/>
                <w:i w:val="0"/>
                <w:iCs w:val="0"/>
                <w:color w:val="000000"/>
                <w:sz w:val="20"/>
                <w:szCs w:val="20"/>
                <w:u w:val="none"/>
              </w:rPr>
            </w:pPr>
          </w:p>
        </w:tc>
        <w:tc>
          <w:tcPr>
            <w:tcW w:w="104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23AB533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成本指标</w:t>
            </w:r>
          </w:p>
        </w:tc>
        <w:tc>
          <w:tcPr>
            <w:tcW w:w="1669" w:type="dxa"/>
            <w:tcBorders>
              <w:top w:val="single" w:color="auto" w:sz="4" w:space="0"/>
              <w:left w:val="single" w:color="auto" w:sz="4" w:space="0"/>
              <w:bottom w:val="single" w:color="auto" w:sz="4" w:space="0"/>
              <w:right w:val="single" w:color="auto" w:sz="4" w:space="0"/>
            </w:tcBorders>
            <w:shd w:val="clear" w:color="auto" w:fill="auto"/>
            <w:vAlign w:val="center"/>
          </w:tcPr>
          <w:p w14:paraId="50BA5DA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经济成本指标</w:t>
            </w:r>
          </w:p>
        </w:tc>
        <w:tc>
          <w:tcPr>
            <w:tcW w:w="3958" w:type="dxa"/>
            <w:tcBorders>
              <w:top w:val="single" w:color="auto" w:sz="4" w:space="0"/>
              <w:left w:val="single" w:color="auto" w:sz="4" w:space="0"/>
              <w:bottom w:val="single" w:color="auto" w:sz="4" w:space="0"/>
              <w:right w:val="single" w:color="auto" w:sz="4" w:space="0"/>
            </w:tcBorders>
            <w:shd w:val="clear" w:color="auto" w:fill="auto"/>
            <w:noWrap/>
            <w:vAlign w:val="center"/>
          </w:tcPr>
          <w:p w14:paraId="4AB160A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补齐2023年贷款贴息补贴标准</w:t>
            </w:r>
          </w:p>
        </w:tc>
        <w:tc>
          <w:tcPr>
            <w:tcW w:w="1554" w:type="dxa"/>
            <w:tcBorders>
              <w:top w:val="single" w:color="auto" w:sz="4" w:space="0"/>
              <w:left w:val="single" w:color="auto" w:sz="4" w:space="0"/>
              <w:bottom w:val="single" w:color="auto" w:sz="4" w:space="0"/>
              <w:right w:val="single" w:color="auto" w:sz="4" w:space="0"/>
            </w:tcBorders>
            <w:shd w:val="clear" w:color="auto" w:fill="auto"/>
            <w:vAlign w:val="center"/>
          </w:tcPr>
          <w:p w14:paraId="7A24E54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=24.09万元/家</w:t>
            </w:r>
          </w:p>
        </w:tc>
        <w:tc>
          <w:tcPr>
            <w:tcW w:w="1225" w:type="dxa"/>
            <w:tcBorders>
              <w:top w:val="single" w:color="auto" w:sz="4" w:space="0"/>
              <w:left w:val="single" w:color="auto" w:sz="4" w:space="0"/>
              <w:bottom w:val="single" w:color="auto" w:sz="4" w:space="0"/>
              <w:right w:val="single" w:color="auto" w:sz="4" w:space="0"/>
            </w:tcBorders>
            <w:shd w:val="clear" w:color="auto" w:fill="auto"/>
            <w:vAlign w:val="center"/>
          </w:tcPr>
          <w:p w14:paraId="51B66B4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24.09万元/家</w:t>
            </w:r>
          </w:p>
        </w:tc>
        <w:tc>
          <w:tcPr>
            <w:tcW w:w="1195" w:type="dxa"/>
            <w:tcBorders>
              <w:top w:val="single" w:color="auto" w:sz="4" w:space="0"/>
              <w:left w:val="single" w:color="auto" w:sz="4" w:space="0"/>
              <w:bottom w:val="single" w:color="auto" w:sz="4" w:space="0"/>
              <w:right w:val="single" w:color="auto" w:sz="4" w:space="0"/>
            </w:tcBorders>
            <w:shd w:val="clear" w:color="auto" w:fill="auto"/>
            <w:vAlign w:val="center"/>
          </w:tcPr>
          <w:p w14:paraId="77D7581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20</w:t>
            </w:r>
          </w:p>
        </w:tc>
        <w:tc>
          <w:tcPr>
            <w:tcW w:w="582" w:type="dxa"/>
            <w:tcBorders>
              <w:top w:val="single" w:color="auto" w:sz="4" w:space="0"/>
              <w:left w:val="single" w:color="auto" w:sz="4" w:space="0"/>
              <w:bottom w:val="single" w:color="auto" w:sz="4" w:space="0"/>
              <w:right w:val="single" w:color="auto" w:sz="4" w:space="0"/>
            </w:tcBorders>
            <w:shd w:val="clear" w:color="auto" w:fill="auto"/>
            <w:vAlign w:val="center"/>
          </w:tcPr>
          <w:p w14:paraId="595F268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20</w:t>
            </w:r>
          </w:p>
        </w:tc>
        <w:tc>
          <w:tcPr>
            <w:tcW w:w="201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A0D90A3">
            <w:pPr>
              <w:jc w:val="center"/>
              <w:rPr>
                <w:rFonts w:hint="eastAsia" w:ascii="宋体" w:hAnsi="宋体" w:eastAsia="宋体" w:cs="宋体"/>
                <w:i w:val="0"/>
                <w:iCs w:val="0"/>
                <w:color w:val="000000"/>
                <w:sz w:val="20"/>
                <w:szCs w:val="20"/>
                <w:u w:val="none"/>
              </w:rPr>
            </w:pPr>
          </w:p>
        </w:tc>
      </w:tr>
      <w:tr w14:paraId="0530E2D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843"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48C8F0AE">
            <w:pPr>
              <w:jc w:val="center"/>
              <w:rPr>
                <w:rFonts w:hint="eastAsia" w:ascii="宋体" w:hAnsi="宋体" w:eastAsia="宋体" w:cs="宋体"/>
                <w:i w:val="0"/>
                <w:iCs w:val="0"/>
                <w:color w:val="000000"/>
                <w:sz w:val="20"/>
                <w:szCs w:val="20"/>
                <w:u w:val="none"/>
              </w:rPr>
            </w:pPr>
          </w:p>
        </w:tc>
        <w:tc>
          <w:tcPr>
            <w:tcW w:w="104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7619FF16">
            <w:pPr>
              <w:jc w:val="center"/>
              <w:rPr>
                <w:rFonts w:hint="eastAsia" w:ascii="宋体" w:hAnsi="宋体" w:eastAsia="宋体" w:cs="宋体"/>
                <w:i w:val="0"/>
                <w:iCs w:val="0"/>
                <w:color w:val="000000"/>
                <w:sz w:val="20"/>
                <w:szCs w:val="20"/>
                <w:u w:val="none"/>
              </w:rPr>
            </w:pPr>
          </w:p>
        </w:tc>
        <w:tc>
          <w:tcPr>
            <w:tcW w:w="1669" w:type="dxa"/>
            <w:tcBorders>
              <w:top w:val="single" w:color="auto" w:sz="4" w:space="0"/>
              <w:left w:val="single" w:color="auto" w:sz="4" w:space="0"/>
              <w:bottom w:val="single" w:color="auto" w:sz="4" w:space="0"/>
              <w:right w:val="single" w:color="auto" w:sz="4" w:space="0"/>
            </w:tcBorders>
            <w:shd w:val="clear" w:color="auto" w:fill="auto"/>
            <w:vAlign w:val="center"/>
          </w:tcPr>
          <w:p w14:paraId="12A2A29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社会成本指标</w:t>
            </w:r>
          </w:p>
        </w:tc>
        <w:tc>
          <w:tcPr>
            <w:tcW w:w="3958" w:type="dxa"/>
            <w:tcBorders>
              <w:top w:val="single" w:color="auto" w:sz="4" w:space="0"/>
              <w:left w:val="single" w:color="auto" w:sz="4" w:space="0"/>
              <w:bottom w:val="single" w:color="auto" w:sz="4" w:space="0"/>
              <w:right w:val="single" w:color="auto" w:sz="4" w:space="0"/>
            </w:tcBorders>
            <w:shd w:val="clear" w:color="auto" w:fill="auto"/>
            <w:noWrap/>
            <w:vAlign w:val="center"/>
          </w:tcPr>
          <w:p w14:paraId="537A8E68">
            <w:pPr>
              <w:jc w:val="left"/>
              <w:rPr>
                <w:rFonts w:hint="eastAsia" w:ascii="宋体" w:hAnsi="宋体" w:eastAsia="宋体" w:cs="宋体"/>
                <w:i w:val="0"/>
                <w:iCs w:val="0"/>
                <w:color w:val="000000"/>
                <w:sz w:val="20"/>
                <w:szCs w:val="20"/>
                <w:u w:val="none"/>
              </w:rPr>
            </w:pPr>
          </w:p>
        </w:tc>
        <w:tc>
          <w:tcPr>
            <w:tcW w:w="1554" w:type="dxa"/>
            <w:tcBorders>
              <w:top w:val="single" w:color="auto" w:sz="4" w:space="0"/>
              <w:left w:val="single" w:color="auto" w:sz="4" w:space="0"/>
              <w:bottom w:val="single" w:color="auto" w:sz="4" w:space="0"/>
              <w:right w:val="single" w:color="auto" w:sz="4" w:space="0"/>
            </w:tcBorders>
            <w:shd w:val="clear" w:color="auto" w:fill="auto"/>
            <w:vAlign w:val="center"/>
          </w:tcPr>
          <w:p w14:paraId="39600528">
            <w:pPr>
              <w:jc w:val="center"/>
              <w:rPr>
                <w:rFonts w:hint="eastAsia" w:ascii="宋体" w:hAnsi="宋体" w:eastAsia="宋体" w:cs="宋体"/>
                <w:i w:val="0"/>
                <w:iCs w:val="0"/>
                <w:color w:val="000000"/>
                <w:sz w:val="20"/>
                <w:szCs w:val="20"/>
                <w:u w:val="none"/>
              </w:rPr>
            </w:pPr>
          </w:p>
        </w:tc>
        <w:tc>
          <w:tcPr>
            <w:tcW w:w="1225" w:type="dxa"/>
            <w:tcBorders>
              <w:top w:val="single" w:color="auto" w:sz="4" w:space="0"/>
              <w:left w:val="single" w:color="auto" w:sz="4" w:space="0"/>
              <w:bottom w:val="single" w:color="auto" w:sz="4" w:space="0"/>
              <w:right w:val="single" w:color="auto" w:sz="4" w:space="0"/>
            </w:tcBorders>
            <w:shd w:val="clear" w:color="auto" w:fill="auto"/>
            <w:vAlign w:val="center"/>
          </w:tcPr>
          <w:p w14:paraId="58CEFC0A">
            <w:pPr>
              <w:jc w:val="center"/>
              <w:rPr>
                <w:rFonts w:hint="eastAsia" w:ascii="宋体" w:hAnsi="宋体" w:eastAsia="宋体" w:cs="宋体"/>
                <w:i w:val="0"/>
                <w:iCs w:val="0"/>
                <w:color w:val="000000"/>
                <w:sz w:val="20"/>
                <w:szCs w:val="20"/>
                <w:u w:val="none"/>
              </w:rPr>
            </w:pPr>
          </w:p>
        </w:tc>
        <w:tc>
          <w:tcPr>
            <w:tcW w:w="1195" w:type="dxa"/>
            <w:tcBorders>
              <w:top w:val="single" w:color="auto" w:sz="4" w:space="0"/>
              <w:left w:val="single" w:color="auto" w:sz="4" w:space="0"/>
              <w:bottom w:val="single" w:color="auto" w:sz="4" w:space="0"/>
              <w:right w:val="single" w:color="auto" w:sz="4" w:space="0"/>
            </w:tcBorders>
            <w:shd w:val="clear" w:color="auto" w:fill="auto"/>
            <w:vAlign w:val="center"/>
          </w:tcPr>
          <w:p w14:paraId="39FA6E2A">
            <w:pPr>
              <w:jc w:val="center"/>
              <w:rPr>
                <w:rFonts w:hint="eastAsia" w:ascii="宋体" w:hAnsi="宋体" w:eastAsia="宋体" w:cs="宋体"/>
                <w:i w:val="0"/>
                <w:iCs w:val="0"/>
                <w:color w:val="000000"/>
                <w:sz w:val="20"/>
                <w:szCs w:val="20"/>
                <w:u w:val="none"/>
              </w:rPr>
            </w:pPr>
          </w:p>
        </w:tc>
        <w:tc>
          <w:tcPr>
            <w:tcW w:w="582" w:type="dxa"/>
            <w:tcBorders>
              <w:top w:val="single" w:color="auto" w:sz="4" w:space="0"/>
              <w:left w:val="single" w:color="auto" w:sz="4" w:space="0"/>
              <w:bottom w:val="single" w:color="auto" w:sz="4" w:space="0"/>
              <w:right w:val="single" w:color="auto" w:sz="4" w:space="0"/>
            </w:tcBorders>
            <w:shd w:val="clear" w:color="auto" w:fill="auto"/>
            <w:vAlign w:val="center"/>
          </w:tcPr>
          <w:p w14:paraId="4612249A">
            <w:pPr>
              <w:jc w:val="center"/>
              <w:rPr>
                <w:rFonts w:hint="eastAsia" w:ascii="宋体" w:hAnsi="宋体" w:eastAsia="宋体" w:cs="宋体"/>
                <w:i w:val="0"/>
                <w:iCs w:val="0"/>
                <w:color w:val="000000"/>
                <w:sz w:val="20"/>
                <w:szCs w:val="20"/>
                <w:u w:val="none"/>
              </w:rPr>
            </w:pPr>
          </w:p>
        </w:tc>
        <w:tc>
          <w:tcPr>
            <w:tcW w:w="201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9EFE924">
            <w:pPr>
              <w:jc w:val="center"/>
              <w:rPr>
                <w:rFonts w:hint="eastAsia" w:ascii="宋体" w:hAnsi="宋体" w:eastAsia="宋体" w:cs="宋体"/>
                <w:i w:val="0"/>
                <w:iCs w:val="0"/>
                <w:color w:val="000000"/>
                <w:sz w:val="20"/>
                <w:szCs w:val="20"/>
                <w:u w:val="none"/>
              </w:rPr>
            </w:pPr>
          </w:p>
        </w:tc>
      </w:tr>
      <w:tr w14:paraId="7011D8B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843"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2CA246CD">
            <w:pPr>
              <w:jc w:val="center"/>
              <w:rPr>
                <w:rFonts w:hint="eastAsia" w:ascii="宋体" w:hAnsi="宋体" w:eastAsia="宋体" w:cs="宋体"/>
                <w:i w:val="0"/>
                <w:iCs w:val="0"/>
                <w:color w:val="000000"/>
                <w:sz w:val="20"/>
                <w:szCs w:val="20"/>
                <w:u w:val="none"/>
              </w:rPr>
            </w:pPr>
          </w:p>
        </w:tc>
        <w:tc>
          <w:tcPr>
            <w:tcW w:w="104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38F06027">
            <w:pPr>
              <w:jc w:val="center"/>
              <w:rPr>
                <w:rFonts w:hint="eastAsia" w:ascii="宋体" w:hAnsi="宋体" w:eastAsia="宋体" w:cs="宋体"/>
                <w:i w:val="0"/>
                <w:iCs w:val="0"/>
                <w:color w:val="000000"/>
                <w:sz w:val="20"/>
                <w:szCs w:val="20"/>
                <w:u w:val="none"/>
              </w:rPr>
            </w:pPr>
          </w:p>
        </w:tc>
        <w:tc>
          <w:tcPr>
            <w:tcW w:w="1669" w:type="dxa"/>
            <w:tcBorders>
              <w:top w:val="single" w:color="auto" w:sz="4" w:space="0"/>
              <w:left w:val="single" w:color="auto" w:sz="4" w:space="0"/>
              <w:bottom w:val="single" w:color="auto" w:sz="4" w:space="0"/>
              <w:right w:val="single" w:color="auto" w:sz="4" w:space="0"/>
            </w:tcBorders>
            <w:shd w:val="clear" w:color="auto" w:fill="auto"/>
            <w:vAlign w:val="center"/>
          </w:tcPr>
          <w:p w14:paraId="59DC288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生态环境成本指标</w:t>
            </w:r>
          </w:p>
        </w:tc>
        <w:tc>
          <w:tcPr>
            <w:tcW w:w="3958" w:type="dxa"/>
            <w:tcBorders>
              <w:top w:val="single" w:color="auto" w:sz="4" w:space="0"/>
              <w:left w:val="single" w:color="auto" w:sz="4" w:space="0"/>
              <w:bottom w:val="single" w:color="auto" w:sz="4" w:space="0"/>
              <w:right w:val="single" w:color="auto" w:sz="4" w:space="0"/>
            </w:tcBorders>
            <w:shd w:val="clear" w:color="auto" w:fill="auto"/>
            <w:noWrap/>
            <w:vAlign w:val="center"/>
          </w:tcPr>
          <w:p w14:paraId="771853BE">
            <w:pPr>
              <w:jc w:val="left"/>
              <w:rPr>
                <w:rFonts w:hint="eastAsia" w:ascii="宋体" w:hAnsi="宋体" w:eastAsia="宋体" w:cs="宋体"/>
                <w:i w:val="0"/>
                <w:iCs w:val="0"/>
                <w:color w:val="000000"/>
                <w:sz w:val="20"/>
                <w:szCs w:val="20"/>
                <w:u w:val="none"/>
              </w:rPr>
            </w:pPr>
          </w:p>
        </w:tc>
        <w:tc>
          <w:tcPr>
            <w:tcW w:w="1554" w:type="dxa"/>
            <w:tcBorders>
              <w:top w:val="single" w:color="auto" w:sz="4" w:space="0"/>
              <w:left w:val="single" w:color="auto" w:sz="4" w:space="0"/>
              <w:bottom w:val="single" w:color="auto" w:sz="4" w:space="0"/>
              <w:right w:val="single" w:color="auto" w:sz="4" w:space="0"/>
            </w:tcBorders>
            <w:shd w:val="clear" w:color="auto" w:fill="auto"/>
            <w:vAlign w:val="center"/>
          </w:tcPr>
          <w:p w14:paraId="3FAB33FF">
            <w:pPr>
              <w:jc w:val="center"/>
              <w:rPr>
                <w:rFonts w:hint="eastAsia" w:ascii="宋体" w:hAnsi="宋体" w:eastAsia="宋体" w:cs="宋体"/>
                <w:i w:val="0"/>
                <w:iCs w:val="0"/>
                <w:color w:val="000000"/>
                <w:sz w:val="20"/>
                <w:szCs w:val="20"/>
                <w:u w:val="none"/>
              </w:rPr>
            </w:pPr>
          </w:p>
        </w:tc>
        <w:tc>
          <w:tcPr>
            <w:tcW w:w="1225" w:type="dxa"/>
            <w:tcBorders>
              <w:top w:val="single" w:color="auto" w:sz="4" w:space="0"/>
              <w:left w:val="single" w:color="auto" w:sz="4" w:space="0"/>
              <w:bottom w:val="single" w:color="auto" w:sz="4" w:space="0"/>
              <w:right w:val="single" w:color="auto" w:sz="4" w:space="0"/>
            </w:tcBorders>
            <w:shd w:val="clear" w:color="auto" w:fill="auto"/>
            <w:vAlign w:val="center"/>
          </w:tcPr>
          <w:p w14:paraId="0E206483">
            <w:pPr>
              <w:jc w:val="center"/>
              <w:rPr>
                <w:rFonts w:hint="eastAsia" w:ascii="宋体" w:hAnsi="宋体" w:eastAsia="宋体" w:cs="宋体"/>
                <w:i w:val="0"/>
                <w:iCs w:val="0"/>
                <w:color w:val="000000"/>
                <w:sz w:val="20"/>
                <w:szCs w:val="20"/>
                <w:u w:val="none"/>
              </w:rPr>
            </w:pPr>
          </w:p>
        </w:tc>
        <w:tc>
          <w:tcPr>
            <w:tcW w:w="1195" w:type="dxa"/>
            <w:tcBorders>
              <w:top w:val="single" w:color="auto" w:sz="4" w:space="0"/>
              <w:left w:val="single" w:color="auto" w:sz="4" w:space="0"/>
              <w:bottom w:val="single" w:color="auto" w:sz="4" w:space="0"/>
              <w:right w:val="single" w:color="auto" w:sz="4" w:space="0"/>
            </w:tcBorders>
            <w:shd w:val="clear" w:color="auto" w:fill="auto"/>
            <w:vAlign w:val="center"/>
          </w:tcPr>
          <w:p w14:paraId="19D31064">
            <w:pPr>
              <w:jc w:val="center"/>
              <w:rPr>
                <w:rFonts w:hint="eastAsia" w:ascii="宋体" w:hAnsi="宋体" w:eastAsia="宋体" w:cs="宋体"/>
                <w:i w:val="0"/>
                <w:iCs w:val="0"/>
                <w:color w:val="000000"/>
                <w:sz w:val="20"/>
                <w:szCs w:val="20"/>
                <w:u w:val="none"/>
              </w:rPr>
            </w:pPr>
          </w:p>
        </w:tc>
        <w:tc>
          <w:tcPr>
            <w:tcW w:w="582" w:type="dxa"/>
            <w:tcBorders>
              <w:top w:val="single" w:color="auto" w:sz="4" w:space="0"/>
              <w:left w:val="single" w:color="auto" w:sz="4" w:space="0"/>
              <w:bottom w:val="single" w:color="auto" w:sz="4" w:space="0"/>
              <w:right w:val="single" w:color="auto" w:sz="4" w:space="0"/>
            </w:tcBorders>
            <w:shd w:val="clear" w:color="auto" w:fill="auto"/>
            <w:vAlign w:val="center"/>
          </w:tcPr>
          <w:p w14:paraId="247DF22A">
            <w:pPr>
              <w:jc w:val="center"/>
              <w:rPr>
                <w:rFonts w:hint="eastAsia" w:ascii="宋体" w:hAnsi="宋体" w:eastAsia="宋体" w:cs="宋体"/>
                <w:i w:val="0"/>
                <w:iCs w:val="0"/>
                <w:color w:val="000000"/>
                <w:sz w:val="20"/>
                <w:szCs w:val="20"/>
                <w:u w:val="none"/>
              </w:rPr>
            </w:pPr>
          </w:p>
        </w:tc>
        <w:tc>
          <w:tcPr>
            <w:tcW w:w="201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DBD101C">
            <w:pPr>
              <w:jc w:val="center"/>
              <w:rPr>
                <w:rFonts w:hint="eastAsia" w:ascii="宋体" w:hAnsi="宋体" w:eastAsia="宋体" w:cs="宋体"/>
                <w:i w:val="0"/>
                <w:iCs w:val="0"/>
                <w:color w:val="000000"/>
                <w:sz w:val="20"/>
                <w:szCs w:val="20"/>
                <w:u w:val="none"/>
              </w:rPr>
            </w:pPr>
          </w:p>
        </w:tc>
      </w:tr>
      <w:tr w14:paraId="228DF0A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843"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19E1ED82">
            <w:pPr>
              <w:jc w:val="center"/>
              <w:rPr>
                <w:rFonts w:hint="eastAsia" w:ascii="宋体" w:hAnsi="宋体" w:eastAsia="宋体" w:cs="宋体"/>
                <w:i w:val="0"/>
                <w:iCs w:val="0"/>
                <w:color w:val="000000"/>
                <w:sz w:val="20"/>
                <w:szCs w:val="20"/>
                <w:u w:val="none"/>
              </w:rPr>
            </w:pPr>
          </w:p>
        </w:tc>
        <w:tc>
          <w:tcPr>
            <w:tcW w:w="104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A55B2B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效益指标</w:t>
            </w:r>
          </w:p>
        </w:tc>
        <w:tc>
          <w:tcPr>
            <w:tcW w:w="1669" w:type="dxa"/>
            <w:tcBorders>
              <w:top w:val="single" w:color="auto" w:sz="4" w:space="0"/>
              <w:left w:val="single" w:color="auto" w:sz="4" w:space="0"/>
              <w:bottom w:val="single" w:color="auto" w:sz="4" w:space="0"/>
              <w:right w:val="single" w:color="auto" w:sz="4" w:space="0"/>
            </w:tcBorders>
            <w:shd w:val="clear" w:color="auto" w:fill="auto"/>
            <w:vAlign w:val="center"/>
          </w:tcPr>
          <w:p w14:paraId="5BA17FA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经济效益指标</w:t>
            </w:r>
          </w:p>
        </w:tc>
        <w:tc>
          <w:tcPr>
            <w:tcW w:w="3958" w:type="dxa"/>
            <w:tcBorders>
              <w:top w:val="single" w:color="auto" w:sz="4" w:space="0"/>
              <w:left w:val="single" w:color="auto" w:sz="4" w:space="0"/>
              <w:bottom w:val="single" w:color="auto" w:sz="4" w:space="0"/>
              <w:right w:val="single" w:color="auto" w:sz="4" w:space="0"/>
            </w:tcBorders>
            <w:shd w:val="clear" w:color="auto" w:fill="auto"/>
            <w:noWrap/>
            <w:vAlign w:val="center"/>
          </w:tcPr>
          <w:p w14:paraId="0F3CE5C6">
            <w:pPr>
              <w:jc w:val="left"/>
              <w:rPr>
                <w:rFonts w:hint="eastAsia" w:ascii="宋体" w:hAnsi="宋体" w:eastAsia="宋体" w:cs="宋体"/>
                <w:i w:val="0"/>
                <w:iCs w:val="0"/>
                <w:color w:val="000000"/>
                <w:sz w:val="20"/>
                <w:szCs w:val="20"/>
                <w:u w:val="none"/>
              </w:rPr>
            </w:pPr>
          </w:p>
        </w:tc>
        <w:tc>
          <w:tcPr>
            <w:tcW w:w="1554" w:type="dxa"/>
            <w:tcBorders>
              <w:top w:val="single" w:color="auto" w:sz="4" w:space="0"/>
              <w:left w:val="single" w:color="auto" w:sz="4" w:space="0"/>
              <w:bottom w:val="single" w:color="auto" w:sz="4" w:space="0"/>
              <w:right w:val="single" w:color="auto" w:sz="4" w:space="0"/>
            </w:tcBorders>
            <w:shd w:val="clear" w:color="auto" w:fill="auto"/>
            <w:vAlign w:val="center"/>
          </w:tcPr>
          <w:p w14:paraId="35A59BC2">
            <w:pPr>
              <w:jc w:val="center"/>
              <w:rPr>
                <w:rFonts w:hint="eastAsia" w:ascii="宋体" w:hAnsi="宋体" w:eastAsia="宋体" w:cs="宋体"/>
                <w:i w:val="0"/>
                <w:iCs w:val="0"/>
                <w:color w:val="000000"/>
                <w:sz w:val="20"/>
                <w:szCs w:val="20"/>
                <w:u w:val="none"/>
              </w:rPr>
            </w:pPr>
          </w:p>
        </w:tc>
        <w:tc>
          <w:tcPr>
            <w:tcW w:w="1225" w:type="dxa"/>
            <w:tcBorders>
              <w:top w:val="single" w:color="auto" w:sz="4" w:space="0"/>
              <w:left w:val="single" w:color="auto" w:sz="4" w:space="0"/>
              <w:bottom w:val="single" w:color="auto" w:sz="4" w:space="0"/>
              <w:right w:val="single" w:color="auto" w:sz="4" w:space="0"/>
            </w:tcBorders>
            <w:shd w:val="clear" w:color="auto" w:fill="auto"/>
            <w:vAlign w:val="center"/>
          </w:tcPr>
          <w:p w14:paraId="321A2883">
            <w:pPr>
              <w:jc w:val="center"/>
              <w:rPr>
                <w:rFonts w:hint="eastAsia" w:ascii="宋体" w:hAnsi="宋体" w:eastAsia="宋体" w:cs="宋体"/>
                <w:i w:val="0"/>
                <w:iCs w:val="0"/>
                <w:color w:val="000000"/>
                <w:sz w:val="20"/>
                <w:szCs w:val="20"/>
                <w:u w:val="none"/>
              </w:rPr>
            </w:pPr>
          </w:p>
        </w:tc>
        <w:tc>
          <w:tcPr>
            <w:tcW w:w="1195" w:type="dxa"/>
            <w:tcBorders>
              <w:top w:val="single" w:color="auto" w:sz="4" w:space="0"/>
              <w:left w:val="single" w:color="auto" w:sz="4" w:space="0"/>
              <w:bottom w:val="single" w:color="auto" w:sz="4" w:space="0"/>
              <w:right w:val="single" w:color="auto" w:sz="4" w:space="0"/>
            </w:tcBorders>
            <w:shd w:val="clear" w:color="auto" w:fill="auto"/>
            <w:vAlign w:val="center"/>
          </w:tcPr>
          <w:p w14:paraId="3E56D0B2">
            <w:pPr>
              <w:jc w:val="center"/>
              <w:rPr>
                <w:rFonts w:hint="eastAsia" w:ascii="宋体" w:hAnsi="宋体" w:eastAsia="宋体" w:cs="宋体"/>
                <w:i w:val="0"/>
                <w:iCs w:val="0"/>
                <w:color w:val="000000"/>
                <w:sz w:val="20"/>
                <w:szCs w:val="20"/>
                <w:u w:val="none"/>
              </w:rPr>
            </w:pPr>
          </w:p>
        </w:tc>
        <w:tc>
          <w:tcPr>
            <w:tcW w:w="582" w:type="dxa"/>
            <w:tcBorders>
              <w:top w:val="single" w:color="auto" w:sz="4" w:space="0"/>
              <w:left w:val="single" w:color="auto" w:sz="4" w:space="0"/>
              <w:bottom w:val="single" w:color="auto" w:sz="4" w:space="0"/>
              <w:right w:val="single" w:color="auto" w:sz="4" w:space="0"/>
            </w:tcBorders>
            <w:shd w:val="clear" w:color="auto" w:fill="auto"/>
            <w:vAlign w:val="center"/>
          </w:tcPr>
          <w:p w14:paraId="5665F3B0">
            <w:pPr>
              <w:jc w:val="center"/>
              <w:rPr>
                <w:rFonts w:hint="eastAsia" w:ascii="宋体" w:hAnsi="宋体" w:eastAsia="宋体" w:cs="宋体"/>
                <w:i w:val="0"/>
                <w:iCs w:val="0"/>
                <w:color w:val="000000"/>
                <w:sz w:val="20"/>
                <w:szCs w:val="20"/>
                <w:u w:val="none"/>
              </w:rPr>
            </w:pPr>
          </w:p>
        </w:tc>
        <w:tc>
          <w:tcPr>
            <w:tcW w:w="201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3E76A5B">
            <w:pPr>
              <w:jc w:val="center"/>
              <w:rPr>
                <w:rFonts w:hint="eastAsia" w:ascii="宋体" w:hAnsi="宋体" w:eastAsia="宋体" w:cs="宋体"/>
                <w:i w:val="0"/>
                <w:iCs w:val="0"/>
                <w:color w:val="000000"/>
                <w:sz w:val="20"/>
                <w:szCs w:val="20"/>
                <w:u w:val="none"/>
              </w:rPr>
            </w:pPr>
          </w:p>
        </w:tc>
      </w:tr>
      <w:tr w14:paraId="2489733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843"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78E4E4C6">
            <w:pPr>
              <w:jc w:val="center"/>
              <w:rPr>
                <w:rFonts w:hint="eastAsia" w:ascii="宋体" w:hAnsi="宋体" w:eastAsia="宋体" w:cs="宋体"/>
                <w:i w:val="0"/>
                <w:iCs w:val="0"/>
                <w:color w:val="000000"/>
                <w:sz w:val="20"/>
                <w:szCs w:val="20"/>
                <w:u w:val="none"/>
              </w:rPr>
            </w:pPr>
          </w:p>
        </w:tc>
        <w:tc>
          <w:tcPr>
            <w:tcW w:w="104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7306E61C">
            <w:pPr>
              <w:jc w:val="center"/>
              <w:rPr>
                <w:rFonts w:hint="eastAsia" w:ascii="宋体" w:hAnsi="宋体" w:eastAsia="宋体" w:cs="宋体"/>
                <w:i w:val="0"/>
                <w:iCs w:val="0"/>
                <w:color w:val="000000"/>
                <w:sz w:val="20"/>
                <w:szCs w:val="20"/>
                <w:u w:val="none"/>
              </w:rPr>
            </w:pPr>
          </w:p>
        </w:tc>
        <w:tc>
          <w:tcPr>
            <w:tcW w:w="1669" w:type="dxa"/>
            <w:tcBorders>
              <w:top w:val="single" w:color="auto" w:sz="4" w:space="0"/>
              <w:left w:val="single" w:color="auto" w:sz="4" w:space="0"/>
              <w:bottom w:val="single" w:color="auto" w:sz="4" w:space="0"/>
              <w:right w:val="single" w:color="auto" w:sz="4" w:space="0"/>
            </w:tcBorders>
            <w:shd w:val="clear" w:color="auto" w:fill="auto"/>
            <w:vAlign w:val="center"/>
          </w:tcPr>
          <w:p w14:paraId="100BED5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社会效益指标</w:t>
            </w:r>
          </w:p>
        </w:tc>
        <w:tc>
          <w:tcPr>
            <w:tcW w:w="3958" w:type="dxa"/>
            <w:tcBorders>
              <w:top w:val="single" w:color="auto" w:sz="4" w:space="0"/>
              <w:left w:val="single" w:color="auto" w:sz="4" w:space="0"/>
              <w:bottom w:val="single" w:color="auto" w:sz="4" w:space="0"/>
              <w:right w:val="single" w:color="auto" w:sz="4" w:space="0"/>
            </w:tcBorders>
            <w:shd w:val="clear" w:color="auto" w:fill="auto"/>
            <w:noWrap/>
            <w:vAlign w:val="center"/>
          </w:tcPr>
          <w:p w14:paraId="34F3A95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促进相关企业健康发展</w:t>
            </w:r>
          </w:p>
        </w:tc>
        <w:tc>
          <w:tcPr>
            <w:tcW w:w="1554" w:type="dxa"/>
            <w:tcBorders>
              <w:top w:val="single" w:color="auto" w:sz="4" w:space="0"/>
              <w:left w:val="single" w:color="auto" w:sz="4" w:space="0"/>
              <w:bottom w:val="single" w:color="auto" w:sz="4" w:space="0"/>
              <w:right w:val="single" w:color="auto" w:sz="4" w:space="0"/>
            </w:tcBorders>
            <w:shd w:val="clear" w:color="auto" w:fill="auto"/>
            <w:vAlign w:val="center"/>
          </w:tcPr>
          <w:p w14:paraId="19271CB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有效促进</w:t>
            </w:r>
          </w:p>
        </w:tc>
        <w:tc>
          <w:tcPr>
            <w:tcW w:w="1225" w:type="dxa"/>
            <w:tcBorders>
              <w:top w:val="single" w:color="auto" w:sz="4" w:space="0"/>
              <w:left w:val="single" w:color="auto" w:sz="4" w:space="0"/>
              <w:bottom w:val="single" w:color="auto" w:sz="4" w:space="0"/>
              <w:right w:val="single" w:color="auto" w:sz="4" w:space="0"/>
            </w:tcBorders>
            <w:shd w:val="clear" w:color="auto" w:fill="auto"/>
            <w:vAlign w:val="center"/>
          </w:tcPr>
          <w:p w14:paraId="5BCC1F5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效果显著</w:t>
            </w:r>
          </w:p>
        </w:tc>
        <w:tc>
          <w:tcPr>
            <w:tcW w:w="1195" w:type="dxa"/>
            <w:tcBorders>
              <w:top w:val="single" w:color="auto" w:sz="4" w:space="0"/>
              <w:left w:val="single" w:color="auto" w:sz="4" w:space="0"/>
              <w:bottom w:val="single" w:color="auto" w:sz="4" w:space="0"/>
              <w:right w:val="single" w:color="auto" w:sz="4" w:space="0"/>
            </w:tcBorders>
            <w:shd w:val="clear" w:color="auto" w:fill="auto"/>
            <w:vAlign w:val="center"/>
          </w:tcPr>
          <w:p w14:paraId="36137AF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20</w:t>
            </w:r>
          </w:p>
        </w:tc>
        <w:tc>
          <w:tcPr>
            <w:tcW w:w="582" w:type="dxa"/>
            <w:tcBorders>
              <w:top w:val="single" w:color="auto" w:sz="4" w:space="0"/>
              <w:left w:val="single" w:color="auto" w:sz="4" w:space="0"/>
              <w:bottom w:val="single" w:color="auto" w:sz="4" w:space="0"/>
              <w:right w:val="single" w:color="auto" w:sz="4" w:space="0"/>
            </w:tcBorders>
            <w:shd w:val="clear" w:color="auto" w:fill="auto"/>
            <w:vAlign w:val="center"/>
          </w:tcPr>
          <w:p w14:paraId="5E82326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20</w:t>
            </w:r>
          </w:p>
        </w:tc>
        <w:tc>
          <w:tcPr>
            <w:tcW w:w="201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3675D51">
            <w:pPr>
              <w:jc w:val="center"/>
              <w:rPr>
                <w:rFonts w:hint="eastAsia" w:ascii="宋体" w:hAnsi="宋体" w:eastAsia="宋体" w:cs="宋体"/>
                <w:i w:val="0"/>
                <w:iCs w:val="0"/>
                <w:color w:val="000000"/>
                <w:sz w:val="20"/>
                <w:szCs w:val="20"/>
                <w:u w:val="none"/>
              </w:rPr>
            </w:pPr>
          </w:p>
        </w:tc>
      </w:tr>
      <w:tr w14:paraId="7A9D655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843"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39023F39">
            <w:pPr>
              <w:jc w:val="center"/>
              <w:rPr>
                <w:rFonts w:hint="eastAsia" w:ascii="宋体" w:hAnsi="宋体" w:eastAsia="宋体" w:cs="宋体"/>
                <w:i w:val="0"/>
                <w:iCs w:val="0"/>
                <w:color w:val="000000"/>
                <w:sz w:val="20"/>
                <w:szCs w:val="20"/>
                <w:u w:val="none"/>
              </w:rPr>
            </w:pPr>
          </w:p>
        </w:tc>
        <w:tc>
          <w:tcPr>
            <w:tcW w:w="104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0C1B1A3C">
            <w:pPr>
              <w:jc w:val="center"/>
              <w:rPr>
                <w:rFonts w:hint="eastAsia" w:ascii="宋体" w:hAnsi="宋体" w:eastAsia="宋体" w:cs="宋体"/>
                <w:i w:val="0"/>
                <w:iCs w:val="0"/>
                <w:color w:val="000000"/>
                <w:sz w:val="20"/>
                <w:szCs w:val="20"/>
                <w:u w:val="none"/>
              </w:rPr>
            </w:pPr>
          </w:p>
        </w:tc>
        <w:tc>
          <w:tcPr>
            <w:tcW w:w="1669" w:type="dxa"/>
            <w:tcBorders>
              <w:top w:val="single" w:color="auto" w:sz="4" w:space="0"/>
              <w:left w:val="single" w:color="auto" w:sz="4" w:space="0"/>
              <w:bottom w:val="single" w:color="auto" w:sz="4" w:space="0"/>
              <w:right w:val="single" w:color="auto" w:sz="4" w:space="0"/>
            </w:tcBorders>
            <w:shd w:val="clear" w:color="auto" w:fill="auto"/>
            <w:vAlign w:val="center"/>
          </w:tcPr>
          <w:p w14:paraId="026BA4C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生态效益指标</w:t>
            </w:r>
          </w:p>
        </w:tc>
        <w:tc>
          <w:tcPr>
            <w:tcW w:w="3958" w:type="dxa"/>
            <w:tcBorders>
              <w:top w:val="single" w:color="auto" w:sz="4" w:space="0"/>
              <w:left w:val="single" w:color="auto" w:sz="4" w:space="0"/>
              <w:bottom w:val="single" w:color="auto" w:sz="4" w:space="0"/>
              <w:right w:val="single" w:color="auto" w:sz="4" w:space="0"/>
            </w:tcBorders>
            <w:shd w:val="clear" w:color="auto" w:fill="auto"/>
            <w:noWrap/>
            <w:vAlign w:val="center"/>
          </w:tcPr>
          <w:p w14:paraId="6D0645B2">
            <w:pPr>
              <w:jc w:val="left"/>
              <w:rPr>
                <w:rFonts w:hint="eastAsia" w:ascii="宋体" w:hAnsi="宋体" w:eastAsia="宋体" w:cs="宋体"/>
                <w:i w:val="0"/>
                <w:iCs w:val="0"/>
                <w:color w:val="000000"/>
                <w:sz w:val="20"/>
                <w:szCs w:val="20"/>
                <w:u w:val="none"/>
              </w:rPr>
            </w:pPr>
          </w:p>
        </w:tc>
        <w:tc>
          <w:tcPr>
            <w:tcW w:w="1554" w:type="dxa"/>
            <w:tcBorders>
              <w:top w:val="single" w:color="auto" w:sz="4" w:space="0"/>
              <w:left w:val="single" w:color="auto" w:sz="4" w:space="0"/>
              <w:bottom w:val="single" w:color="auto" w:sz="4" w:space="0"/>
              <w:right w:val="single" w:color="auto" w:sz="4" w:space="0"/>
            </w:tcBorders>
            <w:shd w:val="clear" w:color="auto" w:fill="auto"/>
            <w:vAlign w:val="center"/>
          </w:tcPr>
          <w:p w14:paraId="09986767">
            <w:pPr>
              <w:jc w:val="center"/>
              <w:rPr>
                <w:rFonts w:hint="eastAsia" w:ascii="宋体" w:hAnsi="宋体" w:eastAsia="宋体" w:cs="宋体"/>
                <w:i w:val="0"/>
                <w:iCs w:val="0"/>
                <w:color w:val="000000"/>
                <w:sz w:val="20"/>
                <w:szCs w:val="20"/>
                <w:u w:val="none"/>
              </w:rPr>
            </w:pPr>
          </w:p>
        </w:tc>
        <w:tc>
          <w:tcPr>
            <w:tcW w:w="1225" w:type="dxa"/>
            <w:tcBorders>
              <w:top w:val="single" w:color="auto" w:sz="4" w:space="0"/>
              <w:left w:val="single" w:color="auto" w:sz="4" w:space="0"/>
              <w:bottom w:val="single" w:color="auto" w:sz="4" w:space="0"/>
              <w:right w:val="single" w:color="auto" w:sz="4" w:space="0"/>
            </w:tcBorders>
            <w:shd w:val="clear" w:color="auto" w:fill="auto"/>
            <w:vAlign w:val="center"/>
          </w:tcPr>
          <w:p w14:paraId="61750074">
            <w:pPr>
              <w:jc w:val="center"/>
              <w:rPr>
                <w:rFonts w:hint="eastAsia" w:ascii="宋体" w:hAnsi="宋体" w:eastAsia="宋体" w:cs="宋体"/>
                <w:i w:val="0"/>
                <w:iCs w:val="0"/>
                <w:color w:val="000000"/>
                <w:sz w:val="20"/>
                <w:szCs w:val="20"/>
                <w:u w:val="none"/>
              </w:rPr>
            </w:pPr>
          </w:p>
        </w:tc>
        <w:tc>
          <w:tcPr>
            <w:tcW w:w="1195" w:type="dxa"/>
            <w:tcBorders>
              <w:top w:val="single" w:color="auto" w:sz="4" w:space="0"/>
              <w:left w:val="single" w:color="auto" w:sz="4" w:space="0"/>
              <w:bottom w:val="single" w:color="auto" w:sz="4" w:space="0"/>
              <w:right w:val="single" w:color="auto" w:sz="4" w:space="0"/>
            </w:tcBorders>
            <w:shd w:val="clear" w:color="auto" w:fill="auto"/>
            <w:vAlign w:val="center"/>
          </w:tcPr>
          <w:p w14:paraId="5FD65F16">
            <w:pPr>
              <w:jc w:val="center"/>
              <w:rPr>
                <w:rFonts w:hint="eastAsia" w:ascii="宋体" w:hAnsi="宋体" w:eastAsia="宋体" w:cs="宋体"/>
                <w:i w:val="0"/>
                <w:iCs w:val="0"/>
                <w:color w:val="000000"/>
                <w:sz w:val="20"/>
                <w:szCs w:val="20"/>
                <w:u w:val="none"/>
              </w:rPr>
            </w:pPr>
          </w:p>
        </w:tc>
        <w:tc>
          <w:tcPr>
            <w:tcW w:w="582" w:type="dxa"/>
            <w:tcBorders>
              <w:top w:val="single" w:color="auto" w:sz="4" w:space="0"/>
              <w:left w:val="single" w:color="auto" w:sz="4" w:space="0"/>
              <w:bottom w:val="single" w:color="auto" w:sz="4" w:space="0"/>
              <w:right w:val="single" w:color="auto" w:sz="4" w:space="0"/>
            </w:tcBorders>
            <w:shd w:val="clear" w:color="auto" w:fill="auto"/>
            <w:vAlign w:val="center"/>
          </w:tcPr>
          <w:p w14:paraId="5DE676FD">
            <w:pPr>
              <w:jc w:val="center"/>
              <w:rPr>
                <w:rFonts w:hint="eastAsia" w:ascii="宋体" w:hAnsi="宋体" w:eastAsia="宋体" w:cs="宋体"/>
                <w:i w:val="0"/>
                <w:iCs w:val="0"/>
                <w:color w:val="000000"/>
                <w:sz w:val="20"/>
                <w:szCs w:val="20"/>
                <w:u w:val="none"/>
              </w:rPr>
            </w:pPr>
          </w:p>
        </w:tc>
        <w:tc>
          <w:tcPr>
            <w:tcW w:w="201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40DFADB">
            <w:pPr>
              <w:jc w:val="center"/>
              <w:rPr>
                <w:rFonts w:hint="eastAsia" w:ascii="宋体" w:hAnsi="宋体" w:eastAsia="宋体" w:cs="宋体"/>
                <w:i w:val="0"/>
                <w:iCs w:val="0"/>
                <w:color w:val="000000"/>
                <w:sz w:val="20"/>
                <w:szCs w:val="20"/>
                <w:u w:val="none"/>
              </w:rPr>
            </w:pPr>
          </w:p>
        </w:tc>
      </w:tr>
      <w:tr w14:paraId="6E43962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843"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7FF2690F">
            <w:pPr>
              <w:jc w:val="center"/>
              <w:rPr>
                <w:rFonts w:hint="eastAsia" w:ascii="宋体" w:hAnsi="宋体" w:eastAsia="宋体" w:cs="宋体"/>
                <w:i w:val="0"/>
                <w:iCs w:val="0"/>
                <w:color w:val="000000"/>
                <w:sz w:val="20"/>
                <w:szCs w:val="20"/>
                <w:u w:val="none"/>
              </w:rPr>
            </w:pPr>
          </w:p>
        </w:tc>
        <w:tc>
          <w:tcPr>
            <w:tcW w:w="1041" w:type="dxa"/>
            <w:tcBorders>
              <w:top w:val="single" w:color="auto" w:sz="4" w:space="0"/>
              <w:left w:val="single" w:color="auto" w:sz="4" w:space="0"/>
              <w:bottom w:val="single" w:color="auto" w:sz="4" w:space="0"/>
              <w:right w:val="single" w:color="auto" w:sz="4" w:space="0"/>
            </w:tcBorders>
            <w:shd w:val="clear" w:color="auto" w:fill="auto"/>
            <w:vAlign w:val="center"/>
          </w:tcPr>
          <w:p w14:paraId="11C1C70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满意度指标</w:t>
            </w:r>
          </w:p>
        </w:tc>
        <w:tc>
          <w:tcPr>
            <w:tcW w:w="1669" w:type="dxa"/>
            <w:tcBorders>
              <w:top w:val="single" w:color="auto" w:sz="4" w:space="0"/>
              <w:left w:val="single" w:color="auto" w:sz="4" w:space="0"/>
              <w:bottom w:val="single" w:color="auto" w:sz="4" w:space="0"/>
              <w:right w:val="single" w:color="auto" w:sz="4" w:space="0"/>
            </w:tcBorders>
            <w:shd w:val="clear" w:color="auto" w:fill="auto"/>
            <w:vAlign w:val="center"/>
          </w:tcPr>
          <w:p w14:paraId="1A02832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满意度指标</w:t>
            </w:r>
          </w:p>
        </w:tc>
        <w:tc>
          <w:tcPr>
            <w:tcW w:w="3958" w:type="dxa"/>
            <w:tcBorders>
              <w:top w:val="single" w:color="auto" w:sz="4" w:space="0"/>
              <w:left w:val="single" w:color="auto" w:sz="4" w:space="0"/>
              <w:bottom w:val="single" w:color="auto" w:sz="4" w:space="0"/>
              <w:right w:val="single" w:color="auto" w:sz="4" w:space="0"/>
            </w:tcBorders>
            <w:shd w:val="clear" w:color="auto" w:fill="auto"/>
            <w:noWrap/>
            <w:vAlign w:val="center"/>
          </w:tcPr>
          <w:p w14:paraId="5FC979F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申报贴息资金企业满意度</w:t>
            </w:r>
          </w:p>
        </w:tc>
        <w:tc>
          <w:tcPr>
            <w:tcW w:w="1554" w:type="dxa"/>
            <w:tcBorders>
              <w:top w:val="single" w:color="auto" w:sz="4" w:space="0"/>
              <w:left w:val="single" w:color="auto" w:sz="4" w:space="0"/>
              <w:bottom w:val="single" w:color="auto" w:sz="4" w:space="0"/>
              <w:right w:val="single" w:color="auto" w:sz="4" w:space="0"/>
            </w:tcBorders>
            <w:shd w:val="clear" w:color="auto" w:fill="auto"/>
            <w:vAlign w:val="center"/>
          </w:tcPr>
          <w:p w14:paraId="0C6E984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&gt;=95%</w:t>
            </w:r>
          </w:p>
        </w:tc>
        <w:tc>
          <w:tcPr>
            <w:tcW w:w="1225" w:type="dxa"/>
            <w:tcBorders>
              <w:top w:val="single" w:color="auto" w:sz="4" w:space="0"/>
              <w:left w:val="single" w:color="auto" w:sz="4" w:space="0"/>
              <w:bottom w:val="single" w:color="auto" w:sz="4" w:space="0"/>
              <w:right w:val="single" w:color="auto" w:sz="4" w:space="0"/>
            </w:tcBorders>
            <w:shd w:val="clear" w:color="auto" w:fill="auto"/>
            <w:vAlign w:val="center"/>
          </w:tcPr>
          <w:p w14:paraId="0782DD6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95%</w:t>
            </w:r>
          </w:p>
        </w:tc>
        <w:tc>
          <w:tcPr>
            <w:tcW w:w="1195" w:type="dxa"/>
            <w:tcBorders>
              <w:top w:val="single" w:color="auto" w:sz="4" w:space="0"/>
              <w:left w:val="single" w:color="auto" w:sz="4" w:space="0"/>
              <w:bottom w:val="single" w:color="auto" w:sz="4" w:space="0"/>
              <w:right w:val="single" w:color="auto" w:sz="4" w:space="0"/>
            </w:tcBorders>
            <w:shd w:val="clear" w:color="auto" w:fill="auto"/>
            <w:vAlign w:val="center"/>
          </w:tcPr>
          <w:p w14:paraId="5A2453A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10</w:t>
            </w:r>
          </w:p>
        </w:tc>
        <w:tc>
          <w:tcPr>
            <w:tcW w:w="582" w:type="dxa"/>
            <w:tcBorders>
              <w:top w:val="single" w:color="auto" w:sz="4" w:space="0"/>
              <w:left w:val="single" w:color="auto" w:sz="4" w:space="0"/>
              <w:bottom w:val="single" w:color="auto" w:sz="4" w:space="0"/>
              <w:right w:val="single" w:color="auto" w:sz="4" w:space="0"/>
            </w:tcBorders>
            <w:shd w:val="clear" w:color="auto" w:fill="auto"/>
            <w:vAlign w:val="center"/>
          </w:tcPr>
          <w:p w14:paraId="0EF28D7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10</w:t>
            </w:r>
          </w:p>
        </w:tc>
        <w:tc>
          <w:tcPr>
            <w:tcW w:w="201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C5B7162">
            <w:pPr>
              <w:jc w:val="center"/>
              <w:rPr>
                <w:rFonts w:hint="eastAsia" w:ascii="宋体" w:hAnsi="宋体" w:eastAsia="宋体" w:cs="宋体"/>
                <w:i w:val="0"/>
                <w:iCs w:val="0"/>
                <w:color w:val="000000"/>
                <w:sz w:val="20"/>
                <w:szCs w:val="20"/>
                <w:u w:val="none"/>
              </w:rPr>
            </w:pPr>
          </w:p>
        </w:tc>
      </w:tr>
      <w:tr w14:paraId="75D79B6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0290" w:type="dxa"/>
            <w:gridSpan w:val="6"/>
            <w:tcBorders>
              <w:top w:val="single" w:color="auto" w:sz="4" w:space="0"/>
              <w:left w:val="single" w:color="auto" w:sz="4" w:space="0"/>
              <w:bottom w:val="single" w:color="auto" w:sz="4" w:space="0"/>
              <w:right w:val="single" w:color="auto" w:sz="4" w:space="0"/>
            </w:tcBorders>
            <w:shd w:val="clear" w:color="auto" w:fill="auto"/>
            <w:vAlign w:val="center"/>
          </w:tcPr>
          <w:p w14:paraId="00C9762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总分</w:t>
            </w:r>
          </w:p>
        </w:tc>
        <w:tc>
          <w:tcPr>
            <w:tcW w:w="1195" w:type="dxa"/>
            <w:tcBorders>
              <w:top w:val="single" w:color="auto" w:sz="4" w:space="0"/>
              <w:left w:val="single" w:color="auto" w:sz="4" w:space="0"/>
              <w:bottom w:val="single" w:color="auto" w:sz="4" w:space="0"/>
              <w:right w:val="single" w:color="auto" w:sz="4" w:space="0"/>
            </w:tcBorders>
            <w:shd w:val="clear" w:color="auto" w:fill="auto"/>
            <w:vAlign w:val="center"/>
          </w:tcPr>
          <w:p w14:paraId="79395F8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100</w:t>
            </w:r>
          </w:p>
        </w:tc>
        <w:tc>
          <w:tcPr>
            <w:tcW w:w="582" w:type="dxa"/>
            <w:tcBorders>
              <w:top w:val="single" w:color="auto" w:sz="4" w:space="0"/>
              <w:left w:val="single" w:color="auto" w:sz="4" w:space="0"/>
              <w:bottom w:val="single" w:color="auto" w:sz="4" w:space="0"/>
              <w:right w:val="single" w:color="auto" w:sz="4" w:space="0"/>
            </w:tcBorders>
            <w:shd w:val="clear" w:color="auto" w:fill="auto"/>
            <w:vAlign w:val="center"/>
          </w:tcPr>
          <w:p w14:paraId="0BEDC05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100分</w:t>
            </w:r>
          </w:p>
        </w:tc>
        <w:tc>
          <w:tcPr>
            <w:tcW w:w="201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50BBF4F">
            <w:pPr>
              <w:jc w:val="center"/>
              <w:rPr>
                <w:rFonts w:hint="eastAsia" w:ascii="宋体" w:hAnsi="宋体" w:eastAsia="宋体" w:cs="宋体"/>
                <w:i w:val="0"/>
                <w:iCs w:val="0"/>
                <w:color w:val="000000"/>
                <w:sz w:val="20"/>
                <w:szCs w:val="20"/>
                <w:u w:val="none"/>
              </w:rPr>
            </w:pPr>
          </w:p>
        </w:tc>
      </w:tr>
      <w:tr w14:paraId="3D7BCDC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884" w:type="dxa"/>
            <w:gridSpan w:val="2"/>
            <w:tcBorders>
              <w:top w:val="single" w:color="auto" w:sz="4" w:space="0"/>
              <w:left w:val="nil"/>
              <w:bottom w:val="nil"/>
              <w:right w:val="nil"/>
            </w:tcBorders>
            <w:shd w:val="clear" w:color="auto" w:fill="auto"/>
            <w:vAlign w:val="center"/>
          </w:tcPr>
          <w:p w14:paraId="11D3F028">
            <w:pPr>
              <w:jc w:val="right"/>
              <w:rPr>
                <w:rFonts w:hint="eastAsia" w:ascii="宋体" w:hAnsi="宋体" w:eastAsia="宋体" w:cs="宋体"/>
                <w:i w:val="0"/>
                <w:iCs w:val="0"/>
                <w:color w:val="000000"/>
                <w:sz w:val="20"/>
                <w:szCs w:val="20"/>
                <w:u w:val="none"/>
              </w:rPr>
            </w:pPr>
          </w:p>
        </w:tc>
        <w:tc>
          <w:tcPr>
            <w:tcW w:w="5627" w:type="dxa"/>
            <w:gridSpan w:val="2"/>
            <w:tcBorders>
              <w:top w:val="single" w:color="auto" w:sz="4" w:space="0"/>
              <w:left w:val="nil"/>
              <w:bottom w:val="nil"/>
              <w:right w:val="nil"/>
            </w:tcBorders>
            <w:shd w:val="clear" w:color="auto" w:fill="auto"/>
            <w:vAlign w:val="center"/>
          </w:tcPr>
          <w:p w14:paraId="36358646">
            <w:pPr>
              <w:jc w:val="left"/>
              <w:rPr>
                <w:rFonts w:hint="eastAsia" w:ascii="宋体" w:hAnsi="宋体" w:eastAsia="宋体" w:cs="宋体"/>
                <w:i w:val="0"/>
                <w:iCs w:val="0"/>
                <w:color w:val="000000"/>
                <w:sz w:val="20"/>
                <w:szCs w:val="20"/>
                <w:u w:val="none"/>
              </w:rPr>
            </w:pPr>
          </w:p>
        </w:tc>
        <w:tc>
          <w:tcPr>
            <w:tcW w:w="2779" w:type="dxa"/>
            <w:gridSpan w:val="2"/>
            <w:tcBorders>
              <w:top w:val="single" w:color="auto" w:sz="4" w:space="0"/>
              <w:left w:val="nil"/>
              <w:bottom w:val="nil"/>
              <w:right w:val="nil"/>
            </w:tcBorders>
            <w:shd w:val="clear" w:color="auto" w:fill="auto"/>
            <w:vAlign w:val="center"/>
          </w:tcPr>
          <w:p w14:paraId="2864EF18">
            <w:pPr>
              <w:jc w:val="right"/>
              <w:rPr>
                <w:rFonts w:hint="eastAsia" w:ascii="宋体" w:hAnsi="宋体" w:eastAsia="宋体" w:cs="宋体"/>
                <w:i w:val="0"/>
                <w:iCs w:val="0"/>
                <w:color w:val="000000"/>
                <w:sz w:val="20"/>
                <w:szCs w:val="20"/>
                <w:u w:val="none"/>
              </w:rPr>
            </w:pPr>
          </w:p>
        </w:tc>
        <w:tc>
          <w:tcPr>
            <w:tcW w:w="3791" w:type="dxa"/>
            <w:gridSpan w:val="4"/>
            <w:tcBorders>
              <w:top w:val="single" w:color="auto" w:sz="4" w:space="0"/>
              <w:left w:val="nil"/>
              <w:bottom w:val="nil"/>
              <w:right w:val="nil"/>
            </w:tcBorders>
            <w:shd w:val="clear" w:color="auto" w:fill="auto"/>
            <w:vAlign w:val="center"/>
          </w:tcPr>
          <w:p w14:paraId="1479B102">
            <w:pPr>
              <w:jc w:val="left"/>
              <w:rPr>
                <w:rFonts w:hint="eastAsia" w:ascii="宋体" w:hAnsi="宋体" w:eastAsia="宋体" w:cs="宋体"/>
                <w:i w:val="0"/>
                <w:iCs w:val="0"/>
                <w:color w:val="000000"/>
                <w:sz w:val="20"/>
                <w:szCs w:val="20"/>
                <w:u w:val="none"/>
              </w:rPr>
            </w:pPr>
          </w:p>
        </w:tc>
      </w:tr>
      <w:tr w14:paraId="130220D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884" w:type="dxa"/>
            <w:gridSpan w:val="2"/>
            <w:tcBorders>
              <w:top w:val="nil"/>
              <w:left w:val="nil"/>
              <w:bottom w:val="nil"/>
              <w:right w:val="nil"/>
            </w:tcBorders>
            <w:shd w:val="clear" w:color="auto" w:fill="auto"/>
            <w:noWrap/>
            <w:vAlign w:val="center"/>
          </w:tcPr>
          <w:p w14:paraId="789A7E2A">
            <w:pPr>
              <w:jc w:val="right"/>
              <w:rPr>
                <w:rFonts w:hint="eastAsia" w:ascii="宋体" w:hAnsi="宋体" w:eastAsia="宋体" w:cs="宋体"/>
                <w:i w:val="0"/>
                <w:iCs w:val="0"/>
                <w:color w:val="000000"/>
                <w:sz w:val="20"/>
                <w:szCs w:val="20"/>
                <w:u w:val="none"/>
              </w:rPr>
            </w:pPr>
          </w:p>
        </w:tc>
        <w:tc>
          <w:tcPr>
            <w:tcW w:w="5627" w:type="dxa"/>
            <w:gridSpan w:val="2"/>
            <w:tcBorders>
              <w:top w:val="nil"/>
              <w:left w:val="nil"/>
              <w:bottom w:val="nil"/>
              <w:right w:val="nil"/>
            </w:tcBorders>
            <w:shd w:val="clear" w:color="auto" w:fill="auto"/>
            <w:noWrap/>
            <w:vAlign w:val="center"/>
          </w:tcPr>
          <w:p w14:paraId="781FA450">
            <w:pPr>
              <w:jc w:val="left"/>
              <w:rPr>
                <w:rFonts w:hint="eastAsia" w:ascii="宋体" w:hAnsi="宋体" w:eastAsia="宋体" w:cs="宋体"/>
                <w:i w:val="0"/>
                <w:iCs w:val="0"/>
                <w:color w:val="000000"/>
                <w:sz w:val="20"/>
                <w:szCs w:val="20"/>
                <w:u w:val="none"/>
              </w:rPr>
            </w:pPr>
          </w:p>
        </w:tc>
        <w:tc>
          <w:tcPr>
            <w:tcW w:w="2779" w:type="dxa"/>
            <w:gridSpan w:val="2"/>
            <w:tcBorders>
              <w:top w:val="nil"/>
              <w:left w:val="nil"/>
              <w:bottom w:val="nil"/>
              <w:right w:val="nil"/>
            </w:tcBorders>
            <w:shd w:val="clear" w:color="auto" w:fill="auto"/>
            <w:noWrap/>
            <w:vAlign w:val="center"/>
          </w:tcPr>
          <w:p w14:paraId="64092BFC">
            <w:pPr>
              <w:jc w:val="right"/>
              <w:rPr>
                <w:rFonts w:hint="eastAsia" w:ascii="宋体" w:hAnsi="宋体" w:eastAsia="宋体" w:cs="宋体"/>
                <w:i w:val="0"/>
                <w:iCs w:val="0"/>
                <w:color w:val="000000"/>
                <w:sz w:val="20"/>
                <w:szCs w:val="20"/>
                <w:u w:val="none"/>
              </w:rPr>
            </w:pPr>
          </w:p>
        </w:tc>
        <w:tc>
          <w:tcPr>
            <w:tcW w:w="3791" w:type="dxa"/>
            <w:gridSpan w:val="4"/>
            <w:tcBorders>
              <w:top w:val="nil"/>
              <w:left w:val="nil"/>
              <w:bottom w:val="nil"/>
              <w:right w:val="nil"/>
            </w:tcBorders>
            <w:shd w:val="clear" w:color="auto" w:fill="auto"/>
            <w:noWrap/>
            <w:vAlign w:val="center"/>
          </w:tcPr>
          <w:p w14:paraId="1C0E4C60">
            <w:pPr>
              <w:jc w:val="left"/>
              <w:rPr>
                <w:rFonts w:hint="eastAsia" w:ascii="宋体" w:hAnsi="宋体" w:eastAsia="宋体" w:cs="宋体"/>
                <w:i w:val="0"/>
                <w:iCs w:val="0"/>
                <w:color w:val="000000"/>
                <w:sz w:val="20"/>
                <w:szCs w:val="20"/>
                <w:u w:val="none"/>
              </w:rPr>
            </w:pPr>
          </w:p>
        </w:tc>
      </w:tr>
    </w:tbl>
    <w:p w14:paraId="4B02AAD0">
      <w:pPr>
        <w:rPr>
          <w:rFonts w:hint="default" w:ascii="Times New Roman" w:hAnsi="Times New Roman" w:cs="Times New Roman"/>
        </w:rPr>
      </w:pPr>
    </w:p>
    <w:sectPr>
      <w:pgSz w:w="16838" w:h="11906" w:orient="landscape"/>
      <w:pgMar w:top="1800" w:right="1440" w:bottom="1558"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3000509000000000000"/>
    <w:charset w:val="86"/>
    <w:family w:val="script"/>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3000509000000000000"/>
    <w:charset w:val="86"/>
    <w:family w:val="auto"/>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47468962"/>
    </w:sdtPr>
    <w:sdtContent>
      <w:p w14:paraId="66EE7E11">
        <w:pPr>
          <w:pStyle w:val="7"/>
          <w:jc w:val="center"/>
        </w:pPr>
        <w:r>
          <w:fldChar w:fldCharType="begin"/>
        </w:r>
        <w:r>
          <w:instrText xml:space="preserve">PAGE   \* MERGEFORMAT</w:instrText>
        </w:r>
        <w:r>
          <w:fldChar w:fldCharType="separate"/>
        </w:r>
        <w:r>
          <w:rPr>
            <w:lang w:val="zh-CN"/>
          </w:rPr>
          <w:t>13</w:t>
        </w:r>
        <w:r>
          <w:fldChar w:fldCharType="end"/>
        </w:r>
      </w:p>
    </w:sdtContent>
  </w:sdt>
  <w:p w14:paraId="6DFC8508">
    <w:pPr>
      <w:pStyle w:val="7"/>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5E306ED"/>
    <w:multiLevelType w:val="singleLevel"/>
    <w:tmpl w:val="B5E306ED"/>
    <w:lvl w:ilvl="0" w:tentative="0">
      <w:start w:val="2"/>
      <w:numFmt w:val="chineseCounting"/>
      <w:suff w:val="nothing"/>
      <w:lvlText w:val="（%1）"/>
      <w:lvlJc w:val="left"/>
      <w:rPr>
        <w:rFonts w:hint="eastAsia"/>
      </w:rPr>
    </w:lvl>
  </w:abstractNum>
  <w:abstractNum w:abstractNumId="1">
    <w:nsid w:val="BF205925"/>
    <w:multiLevelType w:val="singleLevel"/>
    <w:tmpl w:val="BF205925"/>
    <w:lvl w:ilvl="0" w:tentative="0">
      <w:start w:val="3"/>
      <w:numFmt w:val="chineseCounting"/>
      <w:suff w:val="nothing"/>
      <w:lvlText w:val="%1、"/>
      <w:lvlJc w:val="left"/>
      <w:rPr>
        <w:rFonts w:hint="eastAsia"/>
      </w:rPr>
    </w:lvl>
  </w:abstractNum>
  <w:abstractNum w:abstractNumId="2">
    <w:nsid w:val="CF092B84"/>
    <w:multiLevelType w:val="singleLevel"/>
    <w:tmpl w:val="CF092B84"/>
    <w:lvl w:ilvl="0" w:tentative="0">
      <w:start w:val="4"/>
      <w:numFmt w:val="decimal"/>
      <w:lvlText w:val="%1."/>
      <w:lvlJc w:val="left"/>
      <w:pPr>
        <w:tabs>
          <w:tab w:val="left" w:pos="312"/>
        </w:tabs>
      </w:pPr>
    </w:lvl>
  </w:abstractNum>
  <w:abstractNum w:abstractNumId="3">
    <w:nsid w:val="0053208E"/>
    <w:multiLevelType w:val="singleLevel"/>
    <w:tmpl w:val="0053208E"/>
    <w:lvl w:ilvl="0" w:tentative="0">
      <w:start w:val="1"/>
      <w:numFmt w:val="decimal"/>
      <w:suff w:val="nothing"/>
      <w:lvlText w:val="（%1）"/>
      <w:lvlJc w:val="left"/>
    </w:lvl>
  </w:abstractNum>
  <w:abstractNum w:abstractNumId="4">
    <w:nsid w:val="03D62ECE"/>
    <w:multiLevelType w:val="singleLevel"/>
    <w:tmpl w:val="03D62ECE"/>
    <w:lvl w:ilvl="0" w:tentative="0">
      <w:start w:val="2"/>
      <w:numFmt w:val="chineseCounting"/>
      <w:suff w:val="nothing"/>
      <w:lvlText w:val="（%1）"/>
      <w:lvlJc w:val="left"/>
      <w:rPr>
        <w:rFonts w:hint="eastAsia"/>
      </w:rPr>
    </w:lvl>
  </w:abstractNum>
  <w:abstractNum w:abstractNumId="5">
    <w:nsid w:val="59ADCABA"/>
    <w:multiLevelType w:val="singleLevel"/>
    <w:tmpl w:val="59ADCABA"/>
    <w:lvl w:ilvl="0" w:tentative="0">
      <w:start w:val="3"/>
      <w:numFmt w:val="chineseCounting"/>
      <w:suff w:val="nothing"/>
      <w:lvlText w:val="（%1）"/>
      <w:lvlJc w:val="left"/>
      <w:rPr>
        <w:rFonts w:hint="eastAsia"/>
      </w:rPr>
    </w:lvl>
  </w:abstractNum>
  <w:num w:numId="1">
    <w:abstractNumId w:val="3"/>
  </w:num>
  <w:num w:numId="2">
    <w:abstractNumId w:val="2"/>
  </w:num>
  <w:num w:numId="3">
    <w:abstractNumId w:val="5"/>
  </w:num>
  <w:num w:numId="4">
    <w:abstractNumId w:val="1"/>
  </w:num>
  <w:num w:numId="5">
    <w:abstractNumId w:val="0"/>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NotTrackMove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Q1NzU1ZDE5MWUyOTliZTgzODE4MzZjMzNmODI4OTMifQ=="/>
  </w:docVars>
  <w:rsids>
    <w:rsidRoot w:val="00000000"/>
    <w:rsid w:val="0C090F58"/>
  </w:rsids>
  <m:mathPr>
    <m:mathFont m:val="Cambria Math"/>
    <m:brkBin m:val="before"/>
    <m:brkBinSub m:val="--"/>
    <m:smallFrac m:val="0"/>
    <m:dispDef/>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9"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iPriority="99"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iPriority="99"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3"/>
    <w:basedOn w:val="1"/>
    <w:next w:val="1"/>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character" w:default="1" w:styleId="14">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2">
    <w:name w:val="Title"/>
    <w:basedOn w:val="1"/>
    <w:next w:val="1"/>
    <w:qFormat/>
    <w:uiPriority w:val="10"/>
    <w:pPr>
      <w:widowControl/>
      <w:spacing w:before="240" w:after="60"/>
      <w:jc w:val="center"/>
      <w:outlineLvl w:val="0"/>
    </w:pPr>
    <w:rPr>
      <w:rFonts w:asciiTheme="majorHAnsi" w:hAnsiTheme="majorHAnsi" w:eastAsiaTheme="majorEastAsia"/>
      <w:b/>
      <w:bCs/>
      <w:kern w:val="28"/>
      <w:sz w:val="32"/>
      <w:szCs w:val="32"/>
    </w:rPr>
  </w:style>
  <w:style w:type="paragraph" w:styleId="4">
    <w:name w:val="Body Text"/>
    <w:basedOn w:val="1"/>
    <w:qFormat/>
    <w:uiPriority w:val="0"/>
    <w:pPr>
      <w:spacing w:after="120"/>
    </w:pPr>
  </w:style>
  <w:style w:type="paragraph" w:styleId="5">
    <w:name w:val="Body Text Indent"/>
    <w:basedOn w:val="1"/>
    <w:qFormat/>
    <w:uiPriority w:val="0"/>
    <w:pPr>
      <w:spacing w:after="120"/>
      <w:ind w:left="420" w:leftChars="200"/>
    </w:pPr>
    <w:rPr>
      <w:rFonts w:ascii="Calibri" w:hAnsi="Calibri"/>
    </w:rPr>
  </w:style>
  <w:style w:type="paragraph" w:styleId="6">
    <w:name w:val="Balloon Text"/>
    <w:basedOn w:val="1"/>
    <w:link w:val="21"/>
    <w:qFormat/>
    <w:uiPriority w:val="0"/>
    <w:rPr>
      <w:sz w:val="18"/>
      <w:szCs w:val="18"/>
    </w:rPr>
  </w:style>
  <w:style w:type="paragraph" w:styleId="7">
    <w:name w:val="footer"/>
    <w:basedOn w:val="1"/>
    <w:unhideWhenUsed/>
    <w:qFormat/>
    <w:uiPriority w:val="99"/>
    <w:pPr>
      <w:tabs>
        <w:tab w:val="center" w:pos="4153"/>
        <w:tab w:val="right" w:pos="8306"/>
      </w:tabs>
      <w:snapToGrid w:val="0"/>
      <w:jc w:val="left"/>
    </w:pPr>
    <w:rPr>
      <w:rFonts w:ascii="Calibri" w:hAnsi="Calibri"/>
      <w:sz w:val="18"/>
      <w:szCs w:val="18"/>
    </w:rPr>
  </w:style>
  <w:style w:type="paragraph" w:styleId="8">
    <w:name w:val="header"/>
    <w:basedOn w:val="1"/>
    <w:link w:val="22"/>
    <w:qFormat/>
    <w:uiPriority w:val="0"/>
    <w:pPr>
      <w:pBdr>
        <w:bottom w:val="single" w:color="auto" w:sz="6" w:space="1"/>
      </w:pBdr>
      <w:tabs>
        <w:tab w:val="center" w:pos="4153"/>
        <w:tab w:val="right" w:pos="8306"/>
      </w:tabs>
      <w:snapToGrid w:val="0"/>
      <w:jc w:val="center"/>
    </w:pPr>
    <w:rPr>
      <w:sz w:val="18"/>
      <w:szCs w:val="18"/>
    </w:rPr>
  </w:style>
  <w:style w:type="paragraph" w:styleId="9">
    <w:name w:val="Normal (Web)"/>
    <w:basedOn w:val="1"/>
    <w:qFormat/>
    <w:uiPriority w:val="0"/>
    <w:pPr>
      <w:spacing w:before="0" w:beforeAutospacing="1" w:after="0" w:afterAutospacing="1"/>
      <w:ind w:left="0" w:right="0"/>
      <w:jc w:val="left"/>
    </w:pPr>
    <w:rPr>
      <w:kern w:val="0"/>
      <w:sz w:val="24"/>
      <w:lang w:val="en-US" w:eastAsia="zh-CN"/>
    </w:rPr>
  </w:style>
  <w:style w:type="paragraph" w:styleId="10">
    <w:name w:val="Body Text First Indent"/>
    <w:basedOn w:val="4"/>
    <w:qFormat/>
    <w:uiPriority w:val="0"/>
    <w:pPr>
      <w:spacing w:after="0"/>
      <w:ind w:firstLine="200" w:firstLineChars="200"/>
    </w:pPr>
  </w:style>
  <w:style w:type="paragraph" w:styleId="11">
    <w:name w:val="Body Text First Indent 2"/>
    <w:basedOn w:val="5"/>
    <w:qFormat/>
    <w:uiPriority w:val="0"/>
    <w:pPr>
      <w:ind w:firstLine="420" w:firstLineChars="200"/>
    </w:pPr>
  </w:style>
  <w:style w:type="table" w:styleId="13">
    <w:name w:val="Table Grid"/>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5">
    <w:name w:val="Strong"/>
    <w:basedOn w:val="14"/>
    <w:qFormat/>
    <w:uiPriority w:val="0"/>
    <w:rPr>
      <w:b/>
      <w:bCs/>
    </w:rPr>
  </w:style>
  <w:style w:type="paragraph" w:customStyle="1" w:styleId="16">
    <w:name w:val="Comment Text"/>
    <w:basedOn w:val="1"/>
    <w:link w:val="23"/>
    <w:qFormat/>
    <w:uiPriority w:val="0"/>
    <w:pPr>
      <w:jc w:val="left"/>
    </w:pPr>
  </w:style>
  <w:style w:type="paragraph" w:customStyle="1" w:styleId="17">
    <w:name w:val="Comment Subject"/>
    <w:basedOn w:val="16"/>
    <w:next w:val="16"/>
    <w:link w:val="24"/>
    <w:qFormat/>
    <w:uiPriority w:val="0"/>
    <w:rPr>
      <w:b/>
      <w:bCs/>
    </w:rPr>
  </w:style>
  <w:style w:type="character" w:customStyle="1" w:styleId="18">
    <w:name w:val="Comment Reference"/>
    <w:basedOn w:val="14"/>
    <w:qFormat/>
    <w:uiPriority w:val="0"/>
    <w:rPr>
      <w:sz w:val="21"/>
      <w:szCs w:val="21"/>
    </w:rPr>
  </w:style>
  <w:style w:type="character" w:customStyle="1" w:styleId="19">
    <w:name w:val="fontstyle01"/>
    <w:qFormat/>
    <w:uiPriority w:val="0"/>
    <w:rPr>
      <w:rFonts w:ascii="仿宋_GB2312" w:hAnsi="仿宋_GB2312" w:eastAsia="仿宋_GB2312" w:cs="仿宋_GB2312"/>
      <w:color w:val="000000"/>
      <w:sz w:val="32"/>
      <w:szCs w:val="32"/>
    </w:rPr>
  </w:style>
  <w:style w:type="paragraph" w:customStyle="1" w:styleId="20">
    <w:name w:val="闻政-正文段落文字"/>
    <w:basedOn w:val="1"/>
    <w:qFormat/>
    <w:uiPriority w:val="3"/>
    <w:pPr>
      <w:spacing w:line="500" w:lineRule="exact"/>
      <w:ind w:firstLine="200"/>
    </w:pPr>
    <w:rPr>
      <w:kern w:val="0"/>
      <w:szCs w:val="28"/>
    </w:rPr>
  </w:style>
  <w:style w:type="character" w:customStyle="1" w:styleId="21">
    <w:name w:val="批注框文本 字符"/>
    <w:basedOn w:val="14"/>
    <w:link w:val="6"/>
    <w:qFormat/>
    <w:uiPriority w:val="0"/>
    <w:rPr>
      <w:rFonts w:ascii="Times New Roman" w:hAnsi="Times New Roman" w:eastAsia="宋体" w:cs="Times New Roman"/>
      <w:kern w:val="2"/>
      <w:sz w:val="18"/>
      <w:szCs w:val="18"/>
    </w:rPr>
  </w:style>
  <w:style w:type="character" w:customStyle="1" w:styleId="22">
    <w:name w:val="页眉 字符"/>
    <w:basedOn w:val="14"/>
    <w:link w:val="8"/>
    <w:qFormat/>
    <w:uiPriority w:val="0"/>
    <w:rPr>
      <w:rFonts w:ascii="Times New Roman" w:hAnsi="Times New Roman" w:eastAsia="宋体" w:cs="Times New Roman"/>
      <w:kern w:val="2"/>
      <w:sz w:val="18"/>
      <w:szCs w:val="18"/>
    </w:rPr>
  </w:style>
  <w:style w:type="character" w:customStyle="1" w:styleId="23">
    <w:name w:val="批注文字 字符"/>
    <w:basedOn w:val="14"/>
    <w:link w:val="16"/>
    <w:qFormat/>
    <w:uiPriority w:val="0"/>
    <w:rPr>
      <w:rFonts w:ascii="Times New Roman" w:hAnsi="Times New Roman" w:eastAsia="宋体" w:cs="Times New Roman"/>
      <w:kern w:val="2"/>
      <w:sz w:val="21"/>
      <w:szCs w:val="24"/>
    </w:rPr>
  </w:style>
  <w:style w:type="character" w:customStyle="1" w:styleId="24">
    <w:name w:val="批注主题 字符"/>
    <w:basedOn w:val="23"/>
    <w:link w:val="17"/>
    <w:qFormat/>
    <w:uiPriority w:val="0"/>
    <w:rPr>
      <w:rFonts w:ascii="Times New Roman" w:hAnsi="Times New Roman" w:eastAsia="宋体" w:cs="Times New Roman"/>
      <w:b/>
      <w:bCs/>
      <w:kern w:val="2"/>
      <w:sz w:val="21"/>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y fmtid="{D5CDD505-2E9C-101B-9397-08002B2CF9AE}" pid="3" name="ICV">
    <vt:lpwstr>4B536B8BBFB2490F9D08F04113DEBB6C_13</vt:lpwstr>
  </property>
  <property fmtid="{D5CDD505-2E9C-101B-9397-08002B2CF9AE}" pid="4" name="KSOTemplateDocerSaveRecord">
    <vt:lpwstr>eyJoZGlkIjoiM2QyNTVlMjA1MzU0ZmE2ZGVjNjEzNjExZjg0MmQ1MzciLCJ1c2VySWQiOiIyMjk4MzUzNDIifQ==</vt:lpwstr>
  </property>
</Properties>
</file>

<file path=customXml/itemProps1.xml><?xml version="1.0" encoding="utf-8"?>
<ds:datastoreItem xmlns:ds="http://schemas.openxmlformats.org/officeDocument/2006/customXml" ds:itemID="{95ab667d-762d-4b56-82f9-0039b813b099}">
  <ds:schemaRefs/>
</ds:datastoreItem>
</file>

<file path=docProps/app.xml><?xml version="1.0" encoding="utf-8"?>
<Properties xmlns="http://schemas.openxmlformats.org/officeDocument/2006/extended-properties" xmlns:vt="http://schemas.openxmlformats.org/officeDocument/2006/docPropsVTypes">
  <Template>Normal</Template>
  <Pages>27</Pages>
  <Words>11939</Words>
  <Characters>12440</Characters>
  <Lines>58</Lines>
  <Paragraphs>16</Paragraphs>
  <TotalTime>118</TotalTime>
  <ScaleCrop>false</ScaleCrop>
  <LinksUpToDate>false</LinksUpToDate>
  <CharactersWithSpaces>12461</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2023-03-08T13:13:00Z</dcterms:created>
  <dc:creator>审核人</dc:creator>
  <cp:lastModifiedBy>来财&amp;十个晴天</cp:lastModifiedBy>
  <dcterms:modified xsi:type="dcterms:W3CDTF">2025-09-10T08:16:09Z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4B536B8BBFB2490F9D08F04113DEBB6C_13</vt:lpwstr>
  </property>
  <property fmtid="{D5CDD505-2E9C-101B-9397-08002B2CF9AE}" pid="4" name="KSOTemplateDocerSaveRecord">
    <vt:lpwstr>eyJoZGlkIjoiNTM1NjJiMTUwNmFhZWNlZmQwNDVjMDAxNDMwM2IwMDkiLCJ1c2VySWQiOiIzNzI2MDMzNTYifQ==</vt:lpwstr>
  </property>
</Properties>
</file>