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霍尔果斯市苏港中学2024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7FBFD3">
      <w:r>
        <w:br w:type="page"/>
      </w:r>
    </w:p>
    <w:p w14:paraId="0435FD78">
      <w:pPr>
        <w:spacing w:line="640" w:lineRule="exact"/>
        <w:jc w:val="center"/>
        <w:outlineLvl w:val="1"/>
      </w:pPr>
      <w:r>
        <w:rPr>
          <w:rFonts w:ascii="黑体" w:hAnsi="黑体" w:eastAsia="黑体"/>
          <w:sz w:val="32"/>
        </w:rPr>
        <w:t>第一部分 单位概况</w:t>
      </w:r>
    </w:p>
    <w:p w14:paraId="39198683">
      <w:pPr>
        <w:spacing w:line="640" w:lineRule="exact"/>
        <w:ind w:firstLine="640"/>
        <w:jc w:val="both"/>
        <w:outlineLvl w:val="2"/>
      </w:pPr>
      <w:r>
        <w:rPr>
          <w:rFonts w:ascii="黑体" w:hAnsi="黑体" w:eastAsia="黑体"/>
          <w:sz w:val="32"/>
        </w:rPr>
        <w:t>一、主要职能</w:t>
      </w:r>
    </w:p>
    <w:p w14:paraId="5607795D">
      <w:pPr>
        <w:spacing w:line="580" w:lineRule="exact"/>
        <w:ind w:firstLine="640"/>
        <w:jc w:val="both"/>
      </w:pPr>
      <w:r>
        <w:rPr>
          <w:rFonts w:ascii="仿宋_GB2312" w:hAnsi="仿宋_GB2312" w:eastAsia="仿宋_GB2312"/>
          <w:sz w:val="32"/>
        </w:rPr>
        <w:t>1.贯彻执行党和国家的教育方针、政策和法规，配合市人民政府制定学校发展规划和年度计划，并抓好组织实施和落实工作。</w:t>
      </w:r>
    </w:p>
    <w:p w14:paraId="345D914F">
      <w:pPr>
        <w:spacing w:line="580" w:lineRule="exact"/>
        <w:ind w:firstLine="640"/>
        <w:jc w:val="both"/>
      </w:pPr>
      <w:r>
        <w:rPr>
          <w:rFonts w:ascii="仿宋_GB2312" w:hAnsi="仿宋_GB2312" w:eastAsia="仿宋_GB2312"/>
          <w:sz w:val="32"/>
        </w:rPr>
        <w:t>2.贯彻、执行教育法律法规和政策规定，坚持依法治教、依法治学。巩固提高“两基”工作成果和整体水平，配合人民政府依法动员、组织适龄学生入学，推进普及高中教育。</w:t>
      </w:r>
    </w:p>
    <w:p w14:paraId="095BEB11">
      <w:pPr>
        <w:spacing w:line="580" w:lineRule="exact"/>
        <w:ind w:firstLine="640"/>
        <w:jc w:val="both"/>
      </w:pPr>
      <w:r>
        <w:rPr>
          <w:rFonts w:ascii="仿宋_GB2312" w:hAnsi="仿宋_GB2312" w:eastAsia="仿宋_GB2312"/>
          <w:sz w:val="32"/>
        </w:rPr>
        <w:t>3.指导、管理、检查、评价高中教育教学工作，提高办学质量和办学效益。</w:t>
      </w:r>
    </w:p>
    <w:p w14:paraId="719A111A">
      <w:pPr>
        <w:spacing w:line="580" w:lineRule="exact"/>
        <w:ind w:firstLine="640"/>
        <w:jc w:val="both"/>
      </w:pPr>
      <w:r>
        <w:rPr>
          <w:rFonts w:ascii="仿宋_GB2312" w:hAnsi="仿宋_GB2312" w:eastAsia="仿宋_GB2312"/>
          <w:sz w:val="32"/>
        </w:rPr>
        <w:t>4.负责教育教学管理及教研教改工作，全力推进素质教育实施。</w:t>
      </w:r>
    </w:p>
    <w:p w14:paraId="63A23DF2">
      <w:pPr>
        <w:spacing w:line="580" w:lineRule="exact"/>
        <w:ind w:firstLine="640"/>
        <w:jc w:val="both"/>
      </w:pPr>
      <w:r>
        <w:rPr>
          <w:rFonts w:ascii="仿宋_GB2312" w:hAnsi="仿宋_GB2312" w:eastAsia="仿宋_GB2312"/>
          <w:sz w:val="32"/>
        </w:rPr>
        <w:t>5.负责抓好高中教育工作，普及国语教学。</w:t>
      </w:r>
    </w:p>
    <w:p w14:paraId="09B6ADE9">
      <w:pPr>
        <w:spacing w:line="580" w:lineRule="exact"/>
        <w:ind w:firstLine="640"/>
        <w:jc w:val="both"/>
      </w:pPr>
      <w:r>
        <w:rPr>
          <w:rFonts w:ascii="仿宋_GB2312" w:hAnsi="仿宋_GB2312" w:eastAsia="仿宋_GB2312"/>
          <w:sz w:val="32"/>
        </w:rPr>
        <w:t>6.协助上级教育主管部门做好校长、书记的考核任免工作，负责教师人事管理、继续教育、考核考评等工作。</w:t>
      </w:r>
    </w:p>
    <w:p w14:paraId="2B476F2F">
      <w:pPr>
        <w:spacing w:line="580" w:lineRule="exact"/>
        <w:ind w:firstLine="640"/>
        <w:jc w:val="both"/>
      </w:pPr>
      <w:r>
        <w:rPr>
          <w:rFonts w:ascii="仿宋_GB2312" w:hAnsi="仿宋_GB2312" w:eastAsia="仿宋_GB2312"/>
          <w:sz w:val="32"/>
        </w:rPr>
        <w:t>7.负责财务管理，筹措资金，改善办学条件等工作，负责学校后勤财务工作。</w:t>
      </w:r>
    </w:p>
    <w:p w14:paraId="24492CC8">
      <w:pPr>
        <w:spacing w:line="640" w:lineRule="exact"/>
        <w:ind w:firstLine="640"/>
        <w:jc w:val="both"/>
        <w:outlineLvl w:val="2"/>
      </w:pPr>
      <w:r>
        <w:rPr>
          <w:rFonts w:ascii="黑体" w:hAnsi="黑体" w:eastAsia="黑体"/>
          <w:sz w:val="32"/>
        </w:rPr>
        <w:t>二、机构设置及人员情况</w:t>
      </w:r>
    </w:p>
    <w:p w14:paraId="3AD635F1">
      <w:pPr>
        <w:spacing w:line="580" w:lineRule="exact"/>
        <w:ind w:firstLine="640"/>
        <w:jc w:val="both"/>
      </w:pPr>
      <w:r>
        <w:rPr>
          <w:rFonts w:ascii="仿宋_GB2312" w:hAnsi="仿宋_GB2312" w:eastAsia="仿宋_GB2312"/>
          <w:sz w:val="32"/>
        </w:rPr>
        <w:t>霍尔果斯市苏港中学2024年度，实有人数68人，其中：在职人员67人，增加10人；离休人员0人，增加0人；退休人员1人,增加0人。</w:t>
      </w:r>
    </w:p>
    <w:p w14:paraId="22F436A9">
      <w:pPr>
        <w:spacing w:line="580" w:lineRule="exact"/>
        <w:ind w:firstLine="640"/>
        <w:jc w:val="both"/>
      </w:pPr>
      <w:r>
        <w:rPr>
          <w:rFonts w:ascii="仿宋_GB2312" w:hAnsi="仿宋_GB2312" w:eastAsia="仿宋_GB2312"/>
          <w:sz w:val="32"/>
        </w:rPr>
        <w:t>霍尔果斯市苏港中学无下属预算单位，下设11个科室，分别是：教务办公室、教研办公室、德育办公室、团委办公室、平安建设办公室、工会办公室、党建办公室、资助办公室、民族团结办公室、总务办公室、财务办公室。</w:t>
      </w:r>
    </w:p>
    <w:p w14:paraId="76DDA684">
      <w:r>
        <w:br w:type="page"/>
      </w:r>
    </w:p>
    <w:p w14:paraId="7C06C365">
      <w:pPr>
        <w:spacing w:line="240" w:lineRule="auto"/>
        <w:jc w:val="center"/>
        <w:outlineLvl w:val="1"/>
      </w:pPr>
      <w:r>
        <w:rPr>
          <w:rFonts w:ascii="黑体" w:hAnsi="黑体" w:eastAsia="黑体"/>
          <w:sz w:val="32"/>
        </w:rPr>
        <w:t>第二部分 部门决算情况说明</w:t>
      </w:r>
    </w:p>
    <w:p w14:paraId="1E3529BE">
      <w:pPr>
        <w:spacing w:line="640" w:lineRule="exact"/>
        <w:ind w:firstLine="640"/>
        <w:jc w:val="both"/>
        <w:outlineLvl w:val="2"/>
      </w:pPr>
      <w:r>
        <w:rPr>
          <w:rFonts w:ascii="黑体" w:hAnsi="黑体" w:eastAsia="黑体"/>
          <w:sz w:val="32"/>
        </w:rPr>
        <w:t>一、收入支出决算总体情况说明</w:t>
      </w:r>
    </w:p>
    <w:p w14:paraId="1F29D9E0">
      <w:pPr>
        <w:spacing w:line="580" w:lineRule="exact"/>
        <w:ind w:firstLine="640"/>
        <w:jc w:val="both"/>
      </w:pPr>
      <w:r>
        <w:rPr>
          <w:rFonts w:ascii="仿宋_GB2312" w:hAnsi="仿宋_GB2312" w:eastAsia="仿宋_GB2312"/>
          <w:b/>
          <w:sz w:val="32"/>
        </w:rPr>
        <w:t>2024年度收入总计2,469.95万元，</w:t>
      </w:r>
      <w:r>
        <w:rPr>
          <w:rFonts w:ascii="仿宋_GB2312" w:hAnsi="仿宋_GB2312" w:eastAsia="仿宋_GB2312"/>
          <w:b w:val="0"/>
          <w:sz w:val="32"/>
        </w:rPr>
        <w:t>其中：本年收入合计2,469.95万元，使用非财政拨款结余（含专用结余）0.00万元，年初结转和结余0.00万元。</w:t>
      </w:r>
    </w:p>
    <w:p w14:paraId="2ABC3994">
      <w:pPr>
        <w:spacing w:line="580" w:lineRule="exact"/>
        <w:ind w:firstLine="640"/>
        <w:jc w:val="both"/>
      </w:pPr>
      <w:r>
        <w:rPr>
          <w:rFonts w:ascii="仿宋_GB2312" w:hAnsi="仿宋_GB2312" w:eastAsia="仿宋_GB2312"/>
          <w:b/>
          <w:sz w:val="32"/>
        </w:rPr>
        <w:t>2024年度支出总计2,469.95万元，</w:t>
      </w:r>
      <w:r>
        <w:rPr>
          <w:rFonts w:ascii="仿宋_GB2312" w:hAnsi="仿宋_GB2312" w:eastAsia="仿宋_GB2312"/>
          <w:b w:val="0"/>
          <w:sz w:val="32"/>
        </w:rPr>
        <w:t>其中：本年支出合计2,469.95万元，结余分配0.00万元，年末结转和结余0.00万元。</w:t>
      </w:r>
    </w:p>
    <w:p w14:paraId="0703F1C8">
      <w:pPr>
        <w:spacing w:line="580" w:lineRule="exact"/>
        <w:ind w:firstLine="640"/>
        <w:jc w:val="both"/>
      </w:pPr>
      <w:r>
        <w:rPr>
          <w:rFonts w:ascii="仿宋_GB2312" w:hAnsi="仿宋_GB2312" w:eastAsia="仿宋_GB2312"/>
          <w:b w:val="0"/>
          <w:sz w:val="32"/>
        </w:rPr>
        <w:t>收入支出总体与上年相比，增加433.32万元，增长21.28%，主要原因是：2024年学生人数增加，经费增加；2024年教师工资调整，工资发放总额增加；2024年返还高中学费与住宿费；拨付苏港中学历年欠款资金。</w:t>
      </w:r>
    </w:p>
    <w:p w14:paraId="0B4C278F">
      <w:pPr>
        <w:spacing w:line="640" w:lineRule="exact"/>
        <w:ind w:firstLine="640"/>
        <w:jc w:val="both"/>
        <w:outlineLvl w:val="2"/>
      </w:pPr>
      <w:r>
        <w:rPr>
          <w:rFonts w:ascii="黑体" w:hAnsi="黑体" w:eastAsia="黑体"/>
          <w:sz w:val="32"/>
        </w:rPr>
        <w:t>二、收入决算情况说明</w:t>
      </w:r>
    </w:p>
    <w:p w14:paraId="637313AE">
      <w:pPr>
        <w:spacing w:line="580" w:lineRule="exact"/>
        <w:ind w:firstLine="640"/>
        <w:jc w:val="both"/>
      </w:pPr>
      <w:r>
        <w:rPr>
          <w:rFonts w:ascii="仿宋_GB2312" w:hAnsi="仿宋_GB2312" w:eastAsia="仿宋_GB2312"/>
          <w:b/>
          <w:sz w:val="32"/>
        </w:rPr>
        <w:t>本年收入2,469.95万元，</w:t>
      </w:r>
      <w:r>
        <w:rPr>
          <w:rFonts w:ascii="仿宋_GB2312" w:hAnsi="仿宋_GB2312" w:eastAsia="仿宋_GB2312"/>
          <w:b w:val="0"/>
          <w:sz w:val="32"/>
        </w:rPr>
        <w:t>其中：财政拨款收入2,216.78万元，占89.75%；上级补助收入0.00万元，占0.00%；事业收入68.34万元，占2.77%；经营收入0.00万元，占0.00%；附属单位上缴收入0.00万元，占0.00%；其他收入184.83万元，占7.48%。</w:t>
      </w:r>
    </w:p>
    <w:p w14:paraId="51031806">
      <w:pPr>
        <w:spacing w:line="640" w:lineRule="exact"/>
        <w:ind w:firstLine="640"/>
        <w:jc w:val="both"/>
        <w:outlineLvl w:val="2"/>
      </w:pPr>
      <w:r>
        <w:rPr>
          <w:rFonts w:ascii="黑体" w:hAnsi="黑体" w:eastAsia="黑体"/>
          <w:sz w:val="32"/>
        </w:rPr>
        <w:t>三、支出决算情况说明</w:t>
      </w:r>
    </w:p>
    <w:p w14:paraId="65ADBA84">
      <w:pPr>
        <w:spacing w:line="580" w:lineRule="exact"/>
        <w:ind w:firstLine="640"/>
        <w:jc w:val="both"/>
      </w:pPr>
      <w:r>
        <w:rPr>
          <w:rFonts w:ascii="仿宋_GB2312" w:hAnsi="仿宋_GB2312" w:eastAsia="仿宋_GB2312"/>
          <w:b/>
          <w:sz w:val="32"/>
        </w:rPr>
        <w:t>本年支出2,469.95万元，</w:t>
      </w:r>
      <w:r>
        <w:rPr>
          <w:rFonts w:ascii="仿宋_GB2312" w:hAnsi="仿宋_GB2312" w:eastAsia="仿宋_GB2312"/>
          <w:b w:val="0"/>
          <w:sz w:val="32"/>
        </w:rPr>
        <w:t>其中：基本支出2,038.78万元，占82.54%；项目支出431.17万元，占17.46%；上缴上级支出0.00万元，占0.00%；经营支出0.00万元，占0.00%；对附属单位补助支出0.00万元，占0.00%。</w:t>
      </w:r>
    </w:p>
    <w:p w14:paraId="57F013FE">
      <w:pPr>
        <w:spacing w:line="640" w:lineRule="exact"/>
        <w:ind w:firstLine="640"/>
        <w:jc w:val="both"/>
        <w:outlineLvl w:val="2"/>
      </w:pPr>
      <w:r>
        <w:rPr>
          <w:rFonts w:ascii="黑体" w:hAnsi="黑体" w:eastAsia="黑体"/>
          <w:sz w:val="32"/>
        </w:rPr>
        <w:t>四、财政拨款收入支出决算总体情况说明</w:t>
      </w:r>
    </w:p>
    <w:p w14:paraId="4C99E7A1">
      <w:pPr>
        <w:spacing w:line="580" w:lineRule="exact"/>
        <w:ind w:firstLine="640"/>
        <w:jc w:val="both"/>
      </w:pPr>
      <w:r>
        <w:rPr>
          <w:rFonts w:ascii="仿宋_GB2312" w:hAnsi="仿宋_GB2312" w:eastAsia="仿宋_GB2312"/>
          <w:b/>
          <w:sz w:val="32"/>
        </w:rPr>
        <w:t>2024年度财政拨款收入总计2,216.78万元，</w:t>
      </w:r>
      <w:r>
        <w:rPr>
          <w:rFonts w:ascii="仿宋_GB2312" w:hAnsi="仿宋_GB2312" w:eastAsia="仿宋_GB2312"/>
          <w:b w:val="0"/>
          <w:sz w:val="32"/>
        </w:rPr>
        <w:t>其中：年初财政拨款结转和结余0.00万元，本年财政拨款收入2,216.78万元。</w:t>
      </w:r>
      <w:r>
        <w:rPr>
          <w:rFonts w:ascii="仿宋_GB2312" w:hAnsi="仿宋_GB2312" w:eastAsia="仿宋_GB2312"/>
          <w:b/>
          <w:sz w:val="32"/>
        </w:rPr>
        <w:t>财政拨款支出总计2,216.78万元，</w:t>
      </w:r>
      <w:r>
        <w:rPr>
          <w:rFonts w:ascii="仿宋_GB2312" w:hAnsi="仿宋_GB2312" w:eastAsia="仿宋_GB2312"/>
          <w:b w:val="0"/>
          <w:sz w:val="32"/>
        </w:rPr>
        <w:t>其中：年末财政拨款结转和结余0.00万元，本年财政拨款支出2,216.78万元。</w:t>
      </w:r>
    </w:p>
    <w:p w14:paraId="5398960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增加273.18万元，增长14.06%，主要原因是：2024年学生人数增加，经费增加；2024年教师工资调整，工资发放总额增加；拨付苏港中学历年欠款资金。</w:t>
      </w:r>
      <w:r>
        <w:rPr>
          <w:rFonts w:ascii="仿宋_GB2312" w:hAnsi="仿宋_GB2312" w:eastAsia="仿宋_GB2312"/>
          <w:b/>
          <w:sz w:val="32"/>
        </w:rPr>
        <w:t>与年初预算相比，</w:t>
      </w:r>
      <w:r>
        <w:rPr>
          <w:rFonts w:ascii="仿宋_GB2312" w:hAnsi="仿宋_GB2312" w:eastAsia="仿宋_GB2312"/>
          <w:b w:val="0"/>
          <w:sz w:val="32"/>
        </w:rPr>
        <w:t>年初预算数1,715.61万元，决算数2,216.78万元，预决算差异率29.21%，主要原因是：1.年中追加30%增量绩效项目；2.</w:t>
      </w:r>
      <w:r>
        <w:rPr>
          <w:rFonts w:hint="eastAsia" w:ascii="仿宋_GB2312" w:hAnsi="仿宋_GB2312" w:eastAsia="仿宋_GB2312"/>
          <w:b w:val="0"/>
          <w:sz w:val="32"/>
          <w:lang w:val="en-US" w:eastAsia="zh-CN"/>
        </w:rPr>
        <w:t>年中追加</w:t>
      </w:r>
      <w:r>
        <w:rPr>
          <w:rFonts w:ascii="仿宋_GB2312" w:hAnsi="仿宋_GB2312" w:eastAsia="仿宋_GB2312"/>
          <w:b w:val="0"/>
          <w:sz w:val="32"/>
        </w:rPr>
        <w:t>教师工资，社保公积金调增部分经费；3.年中追加拨付苏港中学历年欠款资金，导致预决算存在差异。</w:t>
      </w:r>
    </w:p>
    <w:p w14:paraId="04B0098A">
      <w:pPr>
        <w:spacing w:line="640" w:lineRule="exact"/>
        <w:ind w:firstLine="640"/>
        <w:jc w:val="both"/>
        <w:outlineLvl w:val="2"/>
      </w:pPr>
      <w:r>
        <w:rPr>
          <w:rFonts w:ascii="黑体" w:hAnsi="黑体" w:eastAsia="黑体"/>
          <w:sz w:val="32"/>
        </w:rPr>
        <w:t>五、一般公共预算财政拨款支出决算情况说明</w:t>
      </w:r>
    </w:p>
    <w:p w14:paraId="1573D367">
      <w:pPr>
        <w:spacing w:line="640" w:lineRule="exact"/>
        <w:ind w:firstLine="640"/>
        <w:jc w:val="both"/>
        <w:outlineLvl w:val="3"/>
      </w:pPr>
      <w:r>
        <w:rPr>
          <w:rFonts w:ascii="楷体_GB2312" w:hAnsi="楷体_GB2312" w:eastAsia="楷体_GB2312"/>
          <w:b/>
          <w:sz w:val="32"/>
        </w:rPr>
        <w:t>（一）一般公共预算财政拨款支出决算总体情况</w:t>
      </w:r>
    </w:p>
    <w:p w14:paraId="1D862799">
      <w:pPr>
        <w:spacing w:line="580" w:lineRule="exact"/>
        <w:ind w:firstLine="640"/>
        <w:jc w:val="both"/>
      </w:pPr>
      <w:r>
        <w:rPr>
          <w:rFonts w:ascii="仿宋_GB2312" w:hAnsi="仿宋_GB2312" w:eastAsia="仿宋_GB2312"/>
          <w:b/>
          <w:sz w:val="32"/>
        </w:rPr>
        <w:t>2024年度一般公共预算财政拨款支出2,216.78万元，</w:t>
      </w:r>
      <w:r>
        <w:rPr>
          <w:rFonts w:ascii="仿宋_GB2312" w:hAnsi="仿宋_GB2312" w:eastAsia="仿宋_GB2312"/>
          <w:b w:val="0"/>
          <w:sz w:val="32"/>
        </w:rPr>
        <w:t>占本年支出合计的89.75%。</w:t>
      </w:r>
      <w:r>
        <w:rPr>
          <w:rFonts w:ascii="仿宋_GB2312" w:hAnsi="仿宋_GB2312" w:eastAsia="仿宋_GB2312"/>
          <w:b/>
          <w:sz w:val="32"/>
        </w:rPr>
        <w:t>与上年相比，</w:t>
      </w:r>
      <w:r>
        <w:rPr>
          <w:rFonts w:ascii="仿宋_GB2312" w:hAnsi="仿宋_GB2312" w:eastAsia="仿宋_GB2312"/>
          <w:b w:val="0"/>
          <w:sz w:val="32"/>
        </w:rPr>
        <w:t>增加273.18万元，增长14.06%，主要原因是：2024年学生人数增加，经费增加；2024年教师工资调整，工资发放总额增加；拨付苏港中学历年欠款资金。</w:t>
      </w:r>
      <w:r>
        <w:rPr>
          <w:rFonts w:ascii="仿宋_GB2312" w:hAnsi="仿宋_GB2312" w:eastAsia="仿宋_GB2312"/>
          <w:b/>
          <w:sz w:val="32"/>
        </w:rPr>
        <w:t>与年初预算相比,</w:t>
      </w:r>
      <w:r>
        <w:rPr>
          <w:rFonts w:ascii="仿宋_GB2312" w:hAnsi="仿宋_GB2312" w:eastAsia="仿宋_GB2312"/>
          <w:b w:val="0"/>
          <w:sz w:val="32"/>
        </w:rPr>
        <w:t>年初预算数1,715.61万元，决算数2,216.78万元，预决算差异率29.21%，主要原因是：1.年中追加30%增量绩效项目；2.</w:t>
      </w:r>
      <w:r>
        <w:rPr>
          <w:rFonts w:hint="eastAsia" w:ascii="仿宋_GB2312" w:hAnsi="仿宋_GB2312" w:eastAsia="仿宋_GB2312"/>
          <w:b w:val="0"/>
          <w:sz w:val="32"/>
          <w:lang w:val="en-US" w:eastAsia="zh-CN"/>
        </w:rPr>
        <w:t>年中追加</w:t>
      </w:r>
      <w:r>
        <w:rPr>
          <w:rFonts w:ascii="仿宋_GB2312" w:hAnsi="仿宋_GB2312" w:eastAsia="仿宋_GB2312"/>
          <w:b w:val="0"/>
          <w:sz w:val="32"/>
        </w:rPr>
        <w:t>教师工资，社保公积金调增部分经费；3.年中追加</w:t>
      </w:r>
      <w:bookmarkStart w:id="0" w:name="_GoBack"/>
      <w:bookmarkEnd w:id="0"/>
      <w:r>
        <w:rPr>
          <w:rFonts w:ascii="仿宋_GB2312" w:hAnsi="仿宋_GB2312" w:eastAsia="仿宋_GB2312"/>
          <w:b w:val="0"/>
          <w:sz w:val="32"/>
        </w:rPr>
        <w:t>拨付苏港中学历年欠款资金，导致预决算存在差异。</w:t>
      </w:r>
    </w:p>
    <w:p w14:paraId="5A5B5CD1">
      <w:pPr>
        <w:spacing w:line="640" w:lineRule="exact"/>
        <w:ind w:firstLine="640"/>
        <w:jc w:val="both"/>
        <w:outlineLvl w:val="3"/>
      </w:pPr>
      <w:r>
        <w:rPr>
          <w:rFonts w:ascii="楷体_GB2312" w:hAnsi="楷体_GB2312" w:eastAsia="楷体_GB2312"/>
          <w:b/>
          <w:sz w:val="32"/>
        </w:rPr>
        <w:t>（二）一般公共预算财政拨款支出决算结构情况</w:t>
      </w:r>
    </w:p>
    <w:p w14:paraId="4E05B66D">
      <w:pPr>
        <w:spacing w:line="580" w:lineRule="exact"/>
        <w:ind w:firstLine="640"/>
        <w:jc w:val="both"/>
      </w:pPr>
      <w:r>
        <w:rPr>
          <w:rFonts w:ascii="仿宋_GB2312" w:hAnsi="仿宋_GB2312" w:eastAsia="仿宋_GB2312"/>
          <w:b w:val="0"/>
          <w:sz w:val="32"/>
        </w:rPr>
        <w:t>1.教育支出(类)2,056.30万元,占92.76%。</w:t>
      </w:r>
    </w:p>
    <w:p w14:paraId="0C340C6F">
      <w:pPr>
        <w:spacing w:line="580" w:lineRule="exact"/>
        <w:ind w:firstLine="640"/>
        <w:jc w:val="both"/>
      </w:pPr>
      <w:r>
        <w:rPr>
          <w:rFonts w:ascii="仿宋_GB2312" w:hAnsi="仿宋_GB2312" w:eastAsia="仿宋_GB2312"/>
          <w:b w:val="0"/>
          <w:sz w:val="32"/>
        </w:rPr>
        <w:t>2.社会保障和就业支出(类)160.49万元,占7.24%。</w:t>
      </w:r>
    </w:p>
    <w:p w14:paraId="77788623">
      <w:pPr>
        <w:spacing w:line="640" w:lineRule="exact"/>
        <w:ind w:firstLine="640"/>
        <w:jc w:val="both"/>
        <w:outlineLvl w:val="3"/>
      </w:pPr>
      <w:r>
        <w:rPr>
          <w:rFonts w:ascii="楷体_GB2312" w:hAnsi="楷体_GB2312" w:eastAsia="楷体_GB2312"/>
          <w:b/>
          <w:sz w:val="32"/>
        </w:rPr>
        <w:t>（三）一般公共预算财政拨款支出决算具体情况</w:t>
      </w:r>
    </w:p>
    <w:p w14:paraId="247630B7">
      <w:pPr>
        <w:spacing w:line="580" w:lineRule="exact"/>
        <w:ind w:firstLine="640"/>
        <w:jc w:val="both"/>
      </w:pPr>
      <w:r>
        <w:rPr>
          <w:rFonts w:ascii="仿宋_GB2312" w:hAnsi="仿宋_GB2312" w:eastAsia="仿宋_GB2312"/>
          <w:b w:val="0"/>
          <w:sz w:val="32"/>
        </w:rPr>
        <w:t>1.教育支出(类)普通教育(款)高中教育(项):支出决算数为1,931.11万元，比上年决算增加127.25万元，增长7.05%,主要原因是：2024年学生人数增加及教师工资调增。</w:t>
      </w:r>
    </w:p>
    <w:p w14:paraId="63CC2E1D">
      <w:pPr>
        <w:spacing w:line="580" w:lineRule="exact"/>
        <w:ind w:firstLine="640"/>
        <w:jc w:val="both"/>
      </w:pPr>
      <w:r>
        <w:rPr>
          <w:rFonts w:ascii="仿宋_GB2312" w:hAnsi="仿宋_GB2312" w:eastAsia="仿宋_GB2312"/>
          <w:b w:val="0"/>
          <w:sz w:val="32"/>
        </w:rPr>
        <w:t>2.教育支出(类)教育费附加安排的支出(款)城市中小学校舍建设(项):支出决算数为16.95万元，比上年决算增加16.95万元，增长100.00%,主要原因是：2024年新增专用设备购置项目。</w:t>
      </w:r>
    </w:p>
    <w:p w14:paraId="67F1A62E">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3.教育支出(类)教育费附加安排的支出(款)其他教育费附加安排的支出(项):支出决算数为108.24万元，比上年决算增加108.24万元，增长100.00%,主要原因是：2024年新增专用设备购置项目。</w:t>
      </w:r>
    </w:p>
    <w:p w14:paraId="4458BF25">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4.社会保障和就业支出(类)行政事业单位养老支出(款)事业单位离退休(项):支出决算数为1.04万元，比上年决算增加0.14万元，增长15.56%,主要原因是：本年增加退休人员基础绩效奖，退休费支出增加。</w:t>
      </w:r>
    </w:p>
    <w:p w14:paraId="48C00D7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148.27万元，比上年决算增加16.68万元，增长12.68%,主要原因是：1.本年在职人员工资基数调增，养老缴费基数上涨，相应支出增加；2.本年在职人员增加，养老保险缴费较上年增加。</w:t>
      </w:r>
    </w:p>
    <w:p w14:paraId="62FECCA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6.社会保障和就业支出(类)行政事业单位养老支出(款)机关事业单位职业年金缴费支出(项):支出决算数为11.17万元，比上年决算增加3.92万元，增长54.07%,主要原因是：本年新增辞职人员，职业年金缴费支出增加。</w:t>
      </w:r>
    </w:p>
    <w:p w14:paraId="2DEAC15B">
      <w:pPr>
        <w:spacing w:line="640" w:lineRule="exact"/>
        <w:ind w:firstLine="640"/>
        <w:jc w:val="both"/>
        <w:outlineLvl w:val="2"/>
      </w:pPr>
      <w:r>
        <w:rPr>
          <w:rFonts w:ascii="黑体" w:hAnsi="黑体" w:eastAsia="黑体"/>
          <w:sz w:val="32"/>
        </w:rPr>
        <w:t>六、一般公共预算财政拨款基本支出决算情况说明</w:t>
      </w:r>
    </w:p>
    <w:p w14:paraId="4D1EE091">
      <w:pPr>
        <w:spacing w:line="580" w:lineRule="exact"/>
        <w:ind w:firstLine="640"/>
        <w:jc w:val="both"/>
      </w:pPr>
      <w:r>
        <w:rPr>
          <w:rFonts w:ascii="仿宋_GB2312" w:hAnsi="仿宋_GB2312" w:eastAsia="仿宋_GB2312"/>
          <w:b w:val="0"/>
          <w:sz w:val="32"/>
        </w:rPr>
        <w:t>2024年度一般公共预算财政拨款基本支出2,038.78万元，其中：</w:t>
      </w:r>
      <w:r>
        <w:rPr>
          <w:rFonts w:ascii="仿宋_GB2312" w:hAnsi="仿宋_GB2312" w:eastAsia="仿宋_GB2312"/>
          <w:b/>
          <w:sz w:val="32"/>
        </w:rPr>
        <w:t>人员经费1,662.42万元，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助学金、其他对个人和家庭的补助。</w:t>
      </w:r>
    </w:p>
    <w:p w14:paraId="6ADA9F7C">
      <w:pPr>
        <w:spacing w:line="580" w:lineRule="exact"/>
        <w:ind w:firstLine="640"/>
        <w:jc w:val="both"/>
      </w:pPr>
      <w:r>
        <w:rPr>
          <w:rFonts w:ascii="仿宋_GB2312" w:hAnsi="仿宋_GB2312" w:eastAsia="仿宋_GB2312"/>
          <w:b/>
          <w:sz w:val="32"/>
        </w:rPr>
        <w:t>公用经费376.36万元，</w:t>
      </w:r>
      <w:r>
        <w:rPr>
          <w:rFonts w:ascii="仿宋_GB2312" w:hAnsi="仿宋_GB2312" w:eastAsia="仿宋_GB2312"/>
          <w:b w:val="0"/>
          <w:sz w:val="32"/>
        </w:rPr>
        <w:t>包括：办公费、水费、电费、取暖费、差旅费、维修（护）费、培训费、专用燃料费、工会经费、福利费、税金及附加费用、其他商品和服务支出、办公设备购置、专用设备购置。</w:t>
      </w:r>
    </w:p>
    <w:p w14:paraId="36BC1A06">
      <w:pPr>
        <w:spacing w:line="640" w:lineRule="exact"/>
        <w:ind w:firstLine="640"/>
        <w:jc w:val="both"/>
        <w:outlineLvl w:val="2"/>
      </w:pPr>
      <w:r>
        <w:rPr>
          <w:rFonts w:ascii="黑体" w:hAnsi="黑体" w:eastAsia="黑体"/>
          <w:sz w:val="32"/>
        </w:rPr>
        <w:t>七、政府性基金预算财政拨款收入支出决算情况说明</w:t>
      </w:r>
    </w:p>
    <w:p w14:paraId="61399B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D8AE07D">
      <w:pPr>
        <w:spacing w:line="640" w:lineRule="exact"/>
        <w:ind w:firstLine="640"/>
        <w:jc w:val="both"/>
        <w:outlineLvl w:val="2"/>
      </w:pPr>
      <w:r>
        <w:rPr>
          <w:rFonts w:ascii="黑体" w:hAnsi="黑体" w:eastAsia="黑体"/>
          <w:sz w:val="32"/>
        </w:rPr>
        <w:t>八、国有资本经营预算财政拨款收入支出决算情况说明</w:t>
      </w:r>
    </w:p>
    <w:p w14:paraId="66989F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556FD5">
      <w:pPr>
        <w:spacing w:line="640" w:lineRule="exact"/>
        <w:ind w:firstLine="640"/>
        <w:jc w:val="both"/>
        <w:outlineLvl w:val="2"/>
      </w:pPr>
      <w:r>
        <w:rPr>
          <w:rFonts w:ascii="黑体" w:hAnsi="黑体" w:eastAsia="黑体"/>
          <w:sz w:val="32"/>
        </w:rPr>
        <w:t>九、财政拨款“三公”经费支出决算情况说明</w:t>
      </w:r>
    </w:p>
    <w:p w14:paraId="4093078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E0FE84E">
      <w:pPr>
        <w:spacing w:line="580" w:lineRule="exact"/>
        <w:ind w:firstLine="640"/>
        <w:jc w:val="both"/>
      </w:pPr>
      <w:r>
        <w:rPr>
          <w:rFonts w:ascii="仿宋_GB2312" w:hAnsi="仿宋_GB2312" w:eastAsia="仿宋_GB2312"/>
          <w:b/>
          <w:sz w:val="32"/>
        </w:rPr>
        <w:t>具体情况如下：</w:t>
      </w:r>
    </w:p>
    <w:p w14:paraId="1EFE94A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6F1AF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4B9611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1E194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9FF22D7">
      <w:pPr>
        <w:spacing w:line="640" w:lineRule="exact"/>
        <w:ind w:firstLine="640"/>
        <w:jc w:val="both"/>
        <w:outlineLvl w:val="2"/>
      </w:pPr>
      <w:r>
        <w:rPr>
          <w:rFonts w:ascii="黑体" w:hAnsi="黑体" w:eastAsia="黑体"/>
          <w:sz w:val="32"/>
        </w:rPr>
        <w:t>十、其他重要事项的情况说明</w:t>
      </w:r>
    </w:p>
    <w:p w14:paraId="55F377FC">
      <w:pPr>
        <w:spacing w:line="640" w:lineRule="exact"/>
        <w:ind w:firstLine="640"/>
        <w:jc w:val="both"/>
        <w:outlineLvl w:val="3"/>
      </w:pPr>
      <w:r>
        <w:rPr>
          <w:rFonts w:ascii="楷体_GB2312" w:hAnsi="楷体_GB2312" w:eastAsia="楷体_GB2312"/>
          <w:b/>
          <w:sz w:val="32"/>
        </w:rPr>
        <w:t>（一）机关运行经费及公用经费支出情况</w:t>
      </w:r>
    </w:p>
    <w:p w14:paraId="4AB740CB">
      <w:pPr>
        <w:spacing w:line="580" w:lineRule="exact"/>
        <w:ind w:firstLine="640"/>
        <w:jc w:val="both"/>
      </w:pPr>
      <w:r>
        <w:rPr>
          <w:rFonts w:ascii="仿宋_GB2312" w:hAnsi="仿宋_GB2312" w:eastAsia="仿宋_GB2312"/>
          <w:b w:val="0"/>
          <w:sz w:val="32"/>
        </w:rPr>
        <w:t>2024年度霍尔果斯市苏港中学（事业单位）公用经费支出376.36万元，比上年增加9.47万元，增长2.58%，主要原因是：本年度学生人数增加，生均办公经费较上年增加。</w:t>
      </w:r>
    </w:p>
    <w:p w14:paraId="08F48395">
      <w:pPr>
        <w:spacing w:line="640" w:lineRule="exact"/>
        <w:ind w:firstLine="640"/>
        <w:jc w:val="both"/>
        <w:outlineLvl w:val="3"/>
      </w:pPr>
      <w:r>
        <w:rPr>
          <w:rFonts w:ascii="楷体_GB2312" w:hAnsi="楷体_GB2312" w:eastAsia="楷体_GB2312"/>
          <w:b/>
          <w:sz w:val="32"/>
        </w:rPr>
        <w:t>（二）政府采购情况</w:t>
      </w:r>
    </w:p>
    <w:p w14:paraId="48A73030">
      <w:pPr>
        <w:spacing w:line="580" w:lineRule="exact"/>
        <w:ind w:firstLine="640"/>
        <w:jc w:val="both"/>
      </w:pPr>
      <w:r>
        <w:rPr>
          <w:rFonts w:ascii="仿宋_GB2312" w:hAnsi="仿宋_GB2312" w:eastAsia="仿宋_GB2312"/>
          <w:b w:val="0"/>
          <w:sz w:val="32"/>
        </w:rPr>
        <w:t>2024年度政府采购支出总额233.39万元，其中：政府采购货物支出173.54万元、政府采购工程支出9.62万元、政府采购服务支出50.23万元。</w:t>
      </w:r>
    </w:p>
    <w:p w14:paraId="34532993">
      <w:pPr>
        <w:spacing w:line="580" w:lineRule="exact"/>
        <w:ind w:firstLine="640"/>
        <w:jc w:val="both"/>
      </w:pPr>
      <w:r>
        <w:rPr>
          <w:rFonts w:ascii="仿宋_GB2312" w:hAnsi="仿宋_GB2312" w:eastAsia="仿宋_GB2312"/>
          <w:b w:val="0"/>
          <w:sz w:val="32"/>
        </w:rPr>
        <w:t>授予中小企业合同金额217.45万元，占政府采购支出总额的93.17%，其中：授予小微企业合同金额214.52万元，占政府采购支出总额的91.91%。</w:t>
      </w:r>
    </w:p>
    <w:p w14:paraId="1619A72D">
      <w:pPr>
        <w:spacing w:line="640" w:lineRule="exact"/>
        <w:ind w:firstLine="640"/>
        <w:jc w:val="both"/>
        <w:outlineLvl w:val="3"/>
      </w:pPr>
      <w:r>
        <w:rPr>
          <w:rFonts w:ascii="楷体_GB2312" w:hAnsi="楷体_GB2312" w:eastAsia="楷体_GB2312"/>
          <w:b/>
          <w:sz w:val="32"/>
        </w:rPr>
        <w:t>（三）国有资产占用情况说明</w:t>
      </w:r>
    </w:p>
    <w:p w14:paraId="7C83057C">
      <w:pPr>
        <w:spacing w:line="580" w:lineRule="exact"/>
        <w:ind w:firstLine="640"/>
        <w:jc w:val="both"/>
      </w:pPr>
      <w:r>
        <w:rPr>
          <w:rFonts w:ascii="仿宋_GB2312" w:hAnsi="仿宋_GB2312" w:eastAsia="仿宋_GB2312"/>
          <w:b w:val="0"/>
          <w:sz w:val="32"/>
        </w:rPr>
        <w:t>截至2024年12月31日，房屋13,299.01平方米，价值3,882.24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E29E1B7">
      <w:pPr>
        <w:spacing w:line="640" w:lineRule="exact"/>
        <w:ind w:firstLine="640"/>
        <w:jc w:val="both"/>
        <w:outlineLvl w:val="2"/>
      </w:pPr>
      <w:r>
        <w:rPr>
          <w:rFonts w:ascii="黑体" w:hAnsi="黑体" w:eastAsia="黑体"/>
          <w:sz w:val="32"/>
        </w:rPr>
        <w:t>十一、预算绩效的情况说明</w:t>
      </w:r>
    </w:p>
    <w:p w14:paraId="1735141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2,469.95万元，实际执行总额2,469.95万元；预算绩效评价项目1个，全年预算数150.00万元，全年执行数150.00万元。预算绩效管理取得的成效：</w:t>
      </w:r>
      <w:r>
        <w:rPr>
          <w:rFonts w:hint="eastAsia" w:ascii="仿宋_GB2312" w:hAnsi="宋体" w:eastAsia="仿宋_GB2312" w:cs="宋体"/>
          <w:color w:val="auto"/>
          <w:kern w:val="0"/>
          <w:sz w:val="32"/>
          <w:szCs w:val="32"/>
          <w:lang w:val="en-US" w:eastAsia="zh-CN"/>
        </w:rPr>
        <w:t>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地理解和认识。通过实施预算绩效管理，树立了绩效优先的管理理念，也很好地避免了在经费使用上出现违规行为的概率，提升了部门管理水平和资金使用效益，为全面实施绩效管理打下了坚实的基础</w:t>
      </w:r>
      <w:r>
        <w:rPr>
          <w:rFonts w:ascii="仿宋_GB2312" w:hAnsi="仿宋_GB2312" w:eastAsia="仿宋_GB2312"/>
          <w:b w:val="0"/>
          <w:sz w:val="32"/>
        </w:rPr>
        <w:t>。发现的问题及原因：</w:t>
      </w:r>
      <w:r>
        <w:rPr>
          <w:rFonts w:hint="eastAsia" w:ascii="仿宋_GB2312" w:hAnsi="仿宋_GB2312" w:eastAsia="仿宋_GB2312" w:cs="Times New Roman"/>
          <w:b w:val="0"/>
          <w:kern w:val="2"/>
          <w:sz w:val="32"/>
          <w:szCs w:val="24"/>
          <w:lang w:val="en-US" w:eastAsia="zh-CN" w:bidi="ar-SA"/>
        </w:rPr>
        <w:t>一是对绩效目标偏差问题缺乏有效分析，从而导致填报的内容相对简单。二是在部门整体支出的资金安排和使用上仍有不可预见性，在经费支出科学化精细化管理上还有待加强。</w:t>
      </w:r>
      <w:r>
        <w:rPr>
          <w:rFonts w:ascii="仿宋_GB2312" w:hAnsi="仿宋_GB2312" w:eastAsia="仿宋_GB2312"/>
          <w:b w:val="0"/>
          <w:sz w:val="32"/>
        </w:rPr>
        <w:t>下一步改进措施：</w:t>
      </w:r>
      <w:r>
        <w:rPr>
          <w:rFonts w:hint="eastAsia" w:ascii="仿宋_GB2312" w:hAnsi="仿宋_GB2312" w:eastAsia="仿宋_GB2312" w:cs="Times New Roman"/>
          <w:b w:val="0"/>
          <w:kern w:val="2"/>
          <w:sz w:val="32"/>
          <w:szCs w:val="24"/>
          <w:lang w:val="en-US" w:eastAsia="zh-CN" w:bidi="ar-SA"/>
        </w:rPr>
        <w:t>强化运行监管，突出结果导向。预算项目和预算资金一经批复，相关单位应当迅速组织执行并加强管理，财政及有关监督部门应当动态掌握情况并监督实施。一是确定监控重点。按照“有申报就有监控、有执行就要跟进”的要求，重点对社会关注度高的民生工程、影响地方经济社会发展的基础设施建设工程的推进运行情况进行全过程监督。二是明确监管内容。要把项目的绩效目标实现程度、资金使用、项目实施、项目管理等情况全部纳入监督范围。三是强化整改措施。绩效运行中发现的问题，要即知即改；绩效评价时指出的问题，要问责问效；管理机制上存在的问题，要标本兼治</w:t>
      </w:r>
      <w:r>
        <w:rPr>
          <w:rFonts w:ascii="仿宋_GB2312" w:hAnsi="仿宋_GB2312" w:eastAsia="仿宋_GB2312"/>
          <w:b w:val="0"/>
          <w:sz w:val="32"/>
        </w:rPr>
        <w:t>。具体附整体支出绩效自评表，项目支出绩效自评表和评价报告。</w:t>
      </w:r>
    </w:p>
    <w:p w14:paraId="3CC0427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855"/>
        <w:gridCol w:w="456"/>
        <w:gridCol w:w="899"/>
        <w:gridCol w:w="1105"/>
        <w:gridCol w:w="1105"/>
      </w:tblGrid>
      <w:tr w14:paraId="0950E241">
        <w:tblPrEx>
          <w:tblCellMar>
            <w:top w:w="0" w:type="dxa"/>
            <w:left w:w="108" w:type="dxa"/>
            <w:bottom w:w="0" w:type="dxa"/>
            <w:right w:w="108" w:type="dxa"/>
          </w:tblCellMar>
        </w:tblPrEx>
        <w:tc>
          <w:tcPr>
            <w:tcW w:w="8840" w:type="dxa"/>
            <w:gridSpan w:val="9"/>
            <w:vAlign w:val="center"/>
          </w:tcPr>
          <w:p w14:paraId="002E8750">
            <w:pPr>
              <w:jc w:val="center"/>
            </w:pPr>
            <w:r>
              <w:rPr>
                <w:rFonts w:ascii="宋体" w:hAnsi="宋体" w:eastAsia="宋体"/>
                <w:sz w:val="24"/>
              </w:rPr>
              <w:t>单位整体支出绩效自评表</w:t>
            </w:r>
          </w:p>
        </w:tc>
      </w:tr>
      <w:tr w14:paraId="4D12DF0B">
        <w:tblPrEx>
          <w:tblCellMar>
            <w:top w:w="0" w:type="dxa"/>
            <w:left w:w="108" w:type="dxa"/>
            <w:bottom w:w="0" w:type="dxa"/>
            <w:right w:w="108" w:type="dxa"/>
          </w:tblCellMar>
        </w:tblPrEx>
        <w:tc>
          <w:tcPr>
            <w:tcW w:w="8840" w:type="dxa"/>
            <w:gridSpan w:val="9"/>
            <w:vAlign w:val="center"/>
          </w:tcPr>
          <w:p w14:paraId="0C30F8E4">
            <w:pPr>
              <w:jc w:val="center"/>
            </w:pPr>
            <w:r>
              <w:rPr>
                <w:rFonts w:ascii="宋体" w:hAnsi="宋体" w:eastAsia="宋体"/>
                <w:sz w:val="24"/>
              </w:rPr>
              <w:t>（2024年度）</w:t>
            </w:r>
          </w:p>
        </w:tc>
      </w:tr>
      <w:tr w14:paraId="3B93E91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D3AB7">
            <w:pPr>
              <w:jc w:val="center"/>
            </w:pPr>
            <w:r>
              <w:rPr>
                <w:rFonts w:ascii="宋体" w:hAnsi="宋体" w:eastAsia="宋体"/>
                <w:sz w:val="16"/>
              </w:rPr>
              <w:t>单位名称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1C3D0D">
            <w:pPr>
              <w:jc w:val="center"/>
            </w:pPr>
            <w:r>
              <w:rPr>
                <w:rFonts w:ascii="宋体" w:hAnsi="宋体" w:eastAsia="宋体"/>
                <w:sz w:val="16"/>
              </w:rPr>
              <w:t>霍尔果斯市苏港中学</w:t>
            </w:r>
          </w:p>
        </w:tc>
      </w:tr>
      <w:tr w14:paraId="5971786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BA4D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69AA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8023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ADE8D">
            <w:pPr>
              <w:jc w:val="center"/>
            </w:pPr>
            <w:r>
              <w:rPr>
                <w:rFonts w:ascii="宋体" w:hAnsi="宋体" w:eastAsia="宋体"/>
                <w:sz w:val="16"/>
              </w:rPr>
              <w:t>全年预算数</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89AC5">
            <w:pPr>
              <w:jc w:val="center"/>
            </w:pPr>
            <w:r>
              <w:rPr>
                <w:rFonts w:ascii="宋体" w:hAnsi="宋体" w:eastAsia="宋体"/>
                <w:sz w:val="16"/>
              </w:rPr>
              <w:t>全年执行数</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36DE9B8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DF85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D2C26">
            <w:pPr>
              <w:jc w:val="center"/>
            </w:pPr>
            <w:r>
              <w:rPr>
                <w:rFonts w:ascii="宋体" w:hAnsi="宋体" w:eastAsia="宋体"/>
                <w:sz w:val="16"/>
              </w:rPr>
              <w:t>得分</w:t>
            </w:r>
          </w:p>
        </w:tc>
      </w:tr>
      <w:tr w14:paraId="53CC2F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87F65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5C0C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F4BAA">
            <w:pPr>
              <w:jc w:val="center"/>
            </w:pPr>
            <w:r>
              <w:rPr>
                <w:rFonts w:ascii="宋体" w:hAnsi="宋体" w:eastAsia="宋体"/>
                <w:sz w:val="16"/>
              </w:rPr>
              <w:t>1,839.34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A1896">
            <w:pPr>
              <w:jc w:val="center"/>
            </w:pPr>
            <w:r>
              <w:rPr>
                <w:rFonts w:ascii="宋体" w:hAnsi="宋体" w:eastAsia="宋体"/>
                <w:sz w:val="16"/>
              </w:rPr>
              <w:t>2,469.95</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FD33E">
            <w:pPr>
              <w:jc w:val="center"/>
            </w:pPr>
            <w:r>
              <w:rPr>
                <w:rFonts w:ascii="宋体" w:hAnsi="宋体" w:eastAsia="宋体"/>
                <w:sz w:val="16"/>
              </w:rPr>
              <w:t>2,469.95</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606578D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39DC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85B88">
            <w:pPr>
              <w:jc w:val="center"/>
            </w:pPr>
            <w:r>
              <w:rPr>
                <w:rFonts w:ascii="宋体" w:hAnsi="宋体" w:eastAsia="宋体"/>
                <w:sz w:val="16"/>
              </w:rPr>
              <w:t>10</w:t>
            </w:r>
          </w:p>
        </w:tc>
      </w:tr>
      <w:tr w14:paraId="5B1E56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651B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AFE3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2EF1A">
            <w:pPr>
              <w:jc w:val="center"/>
            </w:pPr>
            <w:r>
              <w:rPr>
                <w:rFonts w:ascii="宋体" w:hAnsi="宋体" w:eastAsia="宋体"/>
                <w:sz w:val="16"/>
              </w:rPr>
              <w:t>63.72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C7471">
            <w:pPr>
              <w:jc w:val="center"/>
            </w:pPr>
            <w:r>
              <w:rPr>
                <w:rFonts w:ascii="宋体" w:hAnsi="宋体" w:eastAsia="宋体"/>
                <w:sz w:val="16"/>
              </w:rPr>
              <w:t>93.72</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5252B">
            <w:pPr>
              <w:jc w:val="center"/>
            </w:pPr>
            <w:r>
              <w:rPr>
                <w:rFonts w:ascii="宋体" w:hAnsi="宋体" w:eastAsia="宋体"/>
                <w:sz w:val="16"/>
              </w:rPr>
              <w:t>93.72</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1FF325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D34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A9238">
            <w:pPr>
              <w:jc w:val="center"/>
            </w:pPr>
            <w:r>
              <w:rPr>
                <w:rFonts w:ascii="宋体" w:hAnsi="宋体" w:eastAsia="宋体"/>
                <w:sz w:val="16"/>
              </w:rPr>
              <w:t>-</w:t>
            </w:r>
          </w:p>
        </w:tc>
      </w:tr>
      <w:tr w14:paraId="122A10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AE75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3754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E2DB6">
            <w:pPr>
              <w:jc w:val="center"/>
            </w:pPr>
            <w:r>
              <w:rPr>
                <w:rFonts w:ascii="宋体" w:hAnsi="宋体" w:eastAsia="宋体"/>
                <w:sz w:val="16"/>
              </w:rPr>
              <w:t>1,715.62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9E8BB">
            <w:pPr>
              <w:jc w:val="center"/>
            </w:pPr>
            <w:r>
              <w:rPr>
                <w:rFonts w:ascii="宋体" w:hAnsi="宋体" w:eastAsia="宋体"/>
                <w:sz w:val="16"/>
              </w:rPr>
              <w:t>2,123.06</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8B51A">
            <w:pPr>
              <w:jc w:val="center"/>
            </w:pPr>
            <w:r>
              <w:rPr>
                <w:rFonts w:ascii="宋体" w:hAnsi="宋体" w:eastAsia="宋体"/>
                <w:sz w:val="16"/>
              </w:rPr>
              <w:t>2,123.06</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1B7B2E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26B2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8F305">
            <w:pPr>
              <w:jc w:val="center"/>
            </w:pPr>
            <w:r>
              <w:rPr>
                <w:rFonts w:ascii="宋体" w:hAnsi="宋体" w:eastAsia="宋体"/>
                <w:sz w:val="16"/>
              </w:rPr>
              <w:t>-</w:t>
            </w:r>
          </w:p>
        </w:tc>
      </w:tr>
      <w:tr w14:paraId="7D380A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F84C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36F2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F22C4">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EB1E4">
            <w:pPr>
              <w:jc w:val="center"/>
            </w:pPr>
            <w:r>
              <w:rPr>
                <w:rFonts w:ascii="宋体" w:hAnsi="宋体" w:eastAsia="宋体"/>
                <w:sz w:val="16"/>
              </w:rPr>
              <w:t>253.17</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BE5B1">
            <w:pPr>
              <w:jc w:val="center"/>
            </w:pPr>
            <w:r>
              <w:rPr>
                <w:rFonts w:ascii="宋体" w:hAnsi="宋体" w:eastAsia="宋体"/>
                <w:sz w:val="16"/>
              </w:rPr>
              <w:t>253.17</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78EBC3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19A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3180E">
            <w:pPr>
              <w:jc w:val="center"/>
            </w:pPr>
            <w:r>
              <w:rPr>
                <w:rFonts w:ascii="宋体" w:hAnsi="宋体" w:eastAsia="宋体"/>
                <w:sz w:val="16"/>
              </w:rPr>
              <w:t>-</w:t>
            </w:r>
          </w:p>
        </w:tc>
      </w:tr>
      <w:tr w14:paraId="4E00129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C7D06">
            <w:pPr>
              <w:jc w:val="center"/>
            </w:pPr>
            <w:r>
              <w:rPr>
                <w:rFonts w:ascii="宋体" w:hAnsi="宋体" w:eastAsia="宋体"/>
                <w:sz w:val="16"/>
              </w:rPr>
              <w:t>年度总体目标</w:t>
            </w:r>
          </w:p>
        </w:tc>
        <w:tc>
          <w:tcPr>
            <w:tcW w:w="41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FD5CFF">
            <w:pPr>
              <w:jc w:val="center"/>
            </w:pPr>
            <w:r>
              <w:rPr>
                <w:rFonts w:ascii="宋体" w:hAnsi="宋体" w:eastAsia="宋体"/>
                <w:sz w:val="16"/>
              </w:rPr>
              <w:t>预期目标</w:t>
            </w:r>
          </w:p>
        </w:tc>
        <w:tc>
          <w:tcPr>
            <w:tcW w:w="35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9E87B4">
            <w:pPr>
              <w:jc w:val="center"/>
            </w:pPr>
            <w:r>
              <w:rPr>
                <w:rFonts w:ascii="宋体" w:hAnsi="宋体" w:eastAsia="宋体"/>
                <w:sz w:val="16"/>
              </w:rPr>
              <w:t>实际完成情况</w:t>
            </w:r>
          </w:p>
        </w:tc>
      </w:tr>
      <w:tr w14:paraId="363FC7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B7FAE2"/>
        </w:tc>
        <w:tc>
          <w:tcPr>
            <w:tcW w:w="41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642B8E">
            <w:pPr>
              <w:jc w:val="both"/>
            </w:pPr>
            <w:r>
              <w:rPr>
                <w:rFonts w:ascii="宋体" w:hAnsi="宋体" w:eastAsia="宋体"/>
                <w:sz w:val="16"/>
              </w:rPr>
              <w:t>以习近平新时代中国特色社会主义思想为指导,全面贯彻总书记全国教育大会讲话精神和各级教育工作会议要求,强化党建工作，增强组织凝聚力</w:t>
            </w:r>
            <w:r>
              <w:rPr>
                <w:rFonts w:hint="eastAsia" w:ascii="宋体" w:hAnsi="宋体"/>
                <w:sz w:val="16"/>
                <w:lang w:eastAsia="zh-CN"/>
              </w:rPr>
              <w:t>；</w:t>
            </w:r>
            <w:r>
              <w:rPr>
                <w:rFonts w:ascii="宋体" w:hAnsi="宋体" w:eastAsia="宋体"/>
                <w:sz w:val="16"/>
              </w:rPr>
              <w:t>坚持立德树人，培养良好习惯,提升学生核心素养。以立德树人为根本，以实施素质教育为主题，全面提高教学质量，凝心聚力，实干奉献，努力实现学校新的跨越。强化监管，花好每一份钱，提高高中教育公用经费使用效益，保障学校正常运转。</w:t>
            </w:r>
          </w:p>
        </w:tc>
        <w:tc>
          <w:tcPr>
            <w:tcW w:w="35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0C9CE7">
            <w:pPr>
              <w:jc w:val="both"/>
            </w:pPr>
            <w:r>
              <w:rPr>
                <w:rFonts w:ascii="宋体" w:hAnsi="宋体" w:eastAsia="宋体"/>
                <w:sz w:val="16"/>
              </w:rPr>
              <w:t>2024年学生总人数1008人，高中阶段</w:t>
            </w:r>
            <w:r>
              <w:rPr>
                <w:rFonts w:hint="eastAsia" w:ascii="宋体" w:hAnsi="宋体"/>
                <w:sz w:val="16"/>
                <w:lang w:eastAsia="zh-CN"/>
              </w:rPr>
              <w:t>教育</w:t>
            </w:r>
            <w:r>
              <w:rPr>
                <w:rFonts w:ascii="宋体" w:hAnsi="宋体" w:eastAsia="宋体"/>
                <w:sz w:val="16"/>
              </w:rPr>
              <w:t>教学质量及毛入学率100%。高三学生报考总人数321人，毕业生一本人数103人，二本人数160人，专科人数58人，上线率100%。2024年享受国家助学金学生人数303人。法治宣传教育次数4次，每学期两次，由法制副校长进校园开展法制教育。学校教师共有82人，均有教师资格证和普通话证书，教师普通话达标率100%。</w:t>
            </w:r>
          </w:p>
        </w:tc>
      </w:tr>
      <w:tr w14:paraId="02A9E7F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49E9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A590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8242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434B4">
            <w:pPr>
              <w:jc w:val="center"/>
            </w:pPr>
            <w:r>
              <w:rPr>
                <w:rFonts w:ascii="宋体" w:hAnsi="宋体" w:eastAsia="宋体"/>
                <w:sz w:val="16"/>
              </w:rPr>
              <w:t>预期指标值</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91D9">
            <w:pPr>
              <w:jc w:val="center"/>
            </w:pPr>
            <w:r>
              <w:rPr>
                <w:rFonts w:ascii="宋体" w:hAnsi="宋体" w:eastAsia="宋体"/>
                <w:sz w:val="16"/>
              </w:rPr>
              <w:t>指标值设定依据</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173C592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7E638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9F656">
            <w:pPr>
              <w:jc w:val="center"/>
            </w:pPr>
            <w:r>
              <w:rPr>
                <w:rFonts w:ascii="宋体" w:hAnsi="宋体" w:eastAsia="宋体"/>
                <w:sz w:val="16"/>
              </w:rPr>
              <w:t>得分</w:t>
            </w:r>
          </w:p>
        </w:tc>
      </w:tr>
      <w:tr w14:paraId="40ED5FA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2FE9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1A1B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F0AEA">
            <w:pPr>
              <w:jc w:val="center"/>
            </w:pPr>
            <w:r>
              <w:rPr>
                <w:rFonts w:ascii="宋体" w:hAnsi="宋体" w:eastAsia="宋体"/>
                <w:sz w:val="16"/>
              </w:rPr>
              <w:t>高中阶段教育教学质量及毛入学率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12DA4">
            <w:pPr>
              <w:jc w:val="center"/>
            </w:pPr>
            <w:r>
              <w:rPr>
                <w:rFonts w:ascii="宋体" w:hAnsi="宋体" w:eastAsia="宋体"/>
                <w:sz w:val="16"/>
              </w:rPr>
              <w:t>&gt;=98%</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2E1A8">
            <w:pPr>
              <w:jc w:val="center"/>
            </w:pPr>
            <w:r>
              <w:rPr>
                <w:rFonts w:ascii="宋体" w:hAnsi="宋体" w:eastAsia="宋体"/>
                <w:sz w:val="16"/>
              </w:rPr>
              <w:t>霍尔果斯市苏港中学2024年工作计划</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795963E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8999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67B982">
            <w:pPr>
              <w:jc w:val="center"/>
            </w:pPr>
            <w:r>
              <w:rPr>
                <w:rFonts w:ascii="宋体" w:hAnsi="宋体" w:eastAsia="宋体"/>
                <w:sz w:val="16"/>
              </w:rPr>
              <w:t>15</w:t>
            </w:r>
          </w:p>
        </w:tc>
      </w:tr>
      <w:tr w14:paraId="578CC9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0089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547A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C2B65">
            <w:pPr>
              <w:jc w:val="center"/>
            </w:pPr>
            <w:r>
              <w:rPr>
                <w:rFonts w:ascii="宋体" w:hAnsi="宋体" w:eastAsia="宋体"/>
                <w:sz w:val="16"/>
              </w:rPr>
              <w:t>高三毕业生上线率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17E66">
            <w:pPr>
              <w:jc w:val="center"/>
            </w:pPr>
            <w:r>
              <w:rPr>
                <w:rFonts w:ascii="宋体" w:hAnsi="宋体" w:eastAsia="宋体"/>
                <w:sz w:val="16"/>
              </w:rPr>
              <w:t>&gt;=90%</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12D3">
            <w:pPr>
              <w:jc w:val="center"/>
            </w:pPr>
            <w:r>
              <w:rPr>
                <w:rFonts w:ascii="宋体" w:hAnsi="宋体" w:eastAsia="宋体"/>
                <w:sz w:val="16"/>
              </w:rPr>
              <w:t>霍尔果斯市苏港中学2024年工作计划</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32A2125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F55D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C07D7">
            <w:pPr>
              <w:jc w:val="center"/>
            </w:pPr>
            <w:r>
              <w:rPr>
                <w:rFonts w:ascii="宋体" w:hAnsi="宋体" w:eastAsia="宋体"/>
                <w:sz w:val="16"/>
              </w:rPr>
              <w:t>15</w:t>
            </w:r>
          </w:p>
        </w:tc>
      </w:tr>
      <w:tr w14:paraId="37A770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00BDB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806A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E1E21">
            <w:pPr>
              <w:jc w:val="center"/>
            </w:pPr>
            <w:r>
              <w:rPr>
                <w:rFonts w:ascii="宋体" w:hAnsi="宋体" w:eastAsia="宋体"/>
                <w:sz w:val="16"/>
              </w:rPr>
              <w:t>享受国家助学金学生人数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8F077">
            <w:pPr>
              <w:jc w:val="center"/>
            </w:pPr>
            <w:r>
              <w:rPr>
                <w:rFonts w:ascii="宋体" w:hAnsi="宋体" w:eastAsia="宋体"/>
                <w:sz w:val="16"/>
              </w:rPr>
              <w:t>=303人</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BDCB8">
            <w:pPr>
              <w:jc w:val="center"/>
            </w:pPr>
            <w:r>
              <w:rPr>
                <w:rFonts w:ascii="宋体" w:hAnsi="宋体" w:eastAsia="宋体"/>
                <w:sz w:val="16"/>
              </w:rPr>
              <w:t>霍尔果斯市苏港中学2024年工作计划</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5786348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28E1B">
            <w:pPr>
              <w:jc w:val="center"/>
            </w:pPr>
            <w:r>
              <w:rPr>
                <w:rFonts w:ascii="宋体" w:hAnsi="宋体" w:eastAsia="宋体"/>
                <w:sz w:val="16"/>
              </w:rPr>
              <w:t>303人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E6405">
            <w:pPr>
              <w:jc w:val="center"/>
            </w:pPr>
            <w:r>
              <w:rPr>
                <w:rFonts w:ascii="宋体" w:hAnsi="宋体" w:eastAsia="宋体"/>
                <w:sz w:val="16"/>
              </w:rPr>
              <w:t>20</w:t>
            </w:r>
          </w:p>
        </w:tc>
      </w:tr>
      <w:tr w14:paraId="0D73E3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AFB5B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4281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A2EB8">
            <w:pPr>
              <w:jc w:val="center"/>
            </w:pPr>
            <w:r>
              <w:rPr>
                <w:rFonts w:hint="eastAsia" w:ascii="宋体" w:hAnsi="宋体"/>
                <w:sz w:val="16"/>
                <w:lang w:eastAsia="zh-CN"/>
              </w:rPr>
              <w:t>法治宣传教育</w:t>
            </w:r>
            <w:r>
              <w:rPr>
                <w:rFonts w:ascii="宋体" w:hAnsi="宋体" w:eastAsia="宋体"/>
                <w:sz w:val="16"/>
              </w:rPr>
              <w:t>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DA917">
            <w:pPr>
              <w:jc w:val="center"/>
            </w:pPr>
            <w:r>
              <w:rPr>
                <w:rFonts w:ascii="宋体" w:hAnsi="宋体" w:eastAsia="宋体"/>
                <w:sz w:val="16"/>
              </w:rPr>
              <w:t>=4次</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735C">
            <w:pPr>
              <w:jc w:val="center"/>
            </w:pPr>
            <w:r>
              <w:rPr>
                <w:rFonts w:ascii="宋体" w:hAnsi="宋体" w:eastAsia="宋体"/>
                <w:sz w:val="16"/>
              </w:rPr>
              <w:t>霍尔果斯市苏港中学2024年工作计划</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5D1A50A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6E581">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7F4DB">
            <w:pPr>
              <w:jc w:val="center"/>
            </w:pPr>
            <w:r>
              <w:rPr>
                <w:rFonts w:ascii="宋体" w:hAnsi="宋体" w:eastAsia="宋体"/>
                <w:sz w:val="16"/>
              </w:rPr>
              <w:t>20</w:t>
            </w:r>
          </w:p>
        </w:tc>
      </w:tr>
      <w:tr w14:paraId="66642D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67401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5EDB1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148B3">
            <w:pPr>
              <w:jc w:val="center"/>
            </w:pPr>
            <w:r>
              <w:rPr>
                <w:rFonts w:ascii="宋体" w:hAnsi="宋体" w:eastAsia="宋体"/>
                <w:sz w:val="16"/>
              </w:rPr>
              <w:t>教师普通话达标率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B1B3C">
            <w:pPr>
              <w:jc w:val="center"/>
            </w:pPr>
            <w:r>
              <w:rPr>
                <w:rFonts w:ascii="宋体" w:hAnsi="宋体" w:eastAsia="宋体"/>
                <w:sz w:val="16"/>
              </w:rPr>
              <w:t>=100%</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B321">
            <w:pPr>
              <w:jc w:val="center"/>
            </w:pPr>
            <w:r>
              <w:rPr>
                <w:rFonts w:ascii="宋体" w:hAnsi="宋体" w:eastAsia="宋体"/>
                <w:sz w:val="16"/>
              </w:rPr>
              <w:t>霍尔果斯市苏港中学2024年工作计划</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5526D59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941A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3DA9B">
            <w:pPr>
              <w:jc w:val="center"/>
            </w:pPr>
            <w:r>
              <w:rPr>
                <w:rFonts w:ascii="宋体" w:hAnsi="宋体" w:eastAsia="宋体"/>
                <w:sz w:val="16"/>
              </w:rPr>
              <w:t>10</w:t>
            </w:r>
          </w:p>
        </w:tc>
      </w:tr>
      <w:tr w14:paraId="316A54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BA3A9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7693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7748B">
            <w:pPr>
              <w:jc w:val="center"/>
            </w:pPr>
            <w:r>
              <w:rPr>
                <w:rFonts w:ascii="宋体" w:hAnsi="宋体" w:eastAsia="宋体"/>
                <w:sz w:val="16"/>
              </w:rPr>
              <w:t>骨干教师交流轮岗占比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9E2AB">
            <w:pPr>
              <w:jc w:val="center"/>
            </w:pPr>
            <w:r>
              <w:rPr>
                <w:rFonts w:ascii="宋体" w:hAnsi="宋体" w:eastAsia="宋体"/>
                <w:sz w:val="16"/>
              </w:rPr>
              <w:t>&gt;=20%</w:t>
            </w:r>
          </w:p>
        </w:tc>
        <w:tc>
          <w:tcPr>
            <w:tcW w:w="13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AB0F3">
            <w:pPr>
              <w:jc w:val="center"/>
            </w:pPr>
            <w:r>
              <w:rPr>
                <w:rFonts w:ascii="宋体" w:hAnsi="宋体" w:eastAsia="宋体"/>
                <w:sz w:val="16"/>
              </w:rPr>
              <w:t>霍尔果斯市苏港中学2024年工作计划</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241F4C5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66D0A">
            <w:pPr>
              <w:jc w:val="center"/>
            </w:pPr>
            <w:r>
              <w:rPr>
                <w:rFonts w:ascii="宋体" w:hAnsi="宋体" w:eastAsia="宋体"/>
                <w:sz w:val="16"/>
              </w:rPr>
              <w:t>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FCA09">
            <w:pPr>
              <w:jc w:val="center"/>
            </w:pPr>
            <w:r>
              <w:rPr>
                <w:rFonts w:ascii="宋体" w:hAnsi="宋体" w:eastAsia="宋体"/>
                <w:sz w:val="16"/>
              </w:rPr>
              <w:t>10</w:t>
            </w:r>
          </w:p>
        </w:tc>
      </w:tr>
    </w:tbl>
    <w:p w14:paraId="312F44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7F804721">
        <w:tblPrEx>
          <w:tblCellMar>
            <w:top w:w="0" w:type="dxa"/>
            <w:left w:w="108" w:type="dxa"/>
            <w:bottom w:w="0" w:type="dxa"/>
            <w:right w:w="108" w:type="dxa"/>
          </w:tblCellMar>
        </w:tblPrEx>
        <w:tc>
          <w:tcPr>
            <w:tcW w:w="8848" w:type="dxa"/>
            <w:gridSpan w:val="14"/>
            <w:vAlign w:val="center"/>
          </w:tcPr>
          <w:p w14:paraId="298E3D34">
            <w:pPr>
              <w:jc w:val="center"/>
            </w:pPr>
            <w:r>
              <w:rPr>
                <w:rFonts w:ascii="宋体" w:hAnsi="宋体" w:eastAsia="宋体"/>
                <w:sz w:val="24"/>
              </w:rPr>
              <w:t>项目支出绩效自评表</w:t>
            </w:r>
          </w:p>
        </w:tc>
      </w:tr>
      <w:tr w14:paraId="2DF8659F">
        <w:tblPrEx>
          <w:tblCellMar>
            <w:top w:w="0" w:type="dxa"/>
            <w:left w:w="108" w:type="dxa"/>
            <w:bottom w:w="0" w:type="dxa"/>
            <w:right w:w="108" w:type="dxa"/>
          </w:tblCellMar>
        </w:tblPrEx>
        <w:tc>
          <w:tcPr>
            <w:tcW w:w="8848" w:type="dxa"/>
            <w:gridSpan w:val="14"/>
            <w:vAlign w:val="center"/>
          </w:tcPr>
          <w:p w14:paraId="2A147FAE">
            <w:pPr>
              <w:jc w:val="center"/>
            </w:pPr>
            <w:r>
              <w:rPr>
                <w:rFonts w:ascii="宋体" w:hAnsi="宋体" w:eastAsia="宋体"/>
                <w:sz w:val="24"/>
              </w:rPr>
              <w:t>(2024年度)</w:t>
            </w:r>
          </w:p>
        </w:tc>
      </w:tr>
      <w:tr w14:paraId="396FB0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63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CB222E">
            <w:pPr>
              <w:jc w:val="center"/>
            </w:pPr>
            <w:r>
              <w:rPr>
                <w:rFonts w:ascii="宋体" w:hAnsi="宋体" w:eastAsia="宋体"/>
                <w:sz w:val="16"/>
              </w:rPr>
              <w:t>八一中学领办帮扶</w:t>
            </w:r>
          </w:p>
        </w:tc>
      </w:tr>
      <w:tr w14:paraId="1594C5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63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57EAE">
            <w:pPr>
              <w:jc w:val="center"/>
            </w:pPr>
            <w:r>
              <w:rPr>
                <w:rFonts w:ascii="宋体" w:hAnsi="宋体" w:eastAsia="宋体"/>
                <w:sz w:val="16"/>
              </w:rPr>
              <w:t>霍尔果斯市苏港中学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FE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59F24">
            <w:pPr>
              <w:jc w:val="center"/>
            </w:pPr>
            <w:r>
              <w:rPr>
                <w:rFonts w:ascii="宋体" w:hAnsi="宋体" w:eastAsia="宋体"/>
                <w:sz w:val="16"/>
              </w:rPr>
              <w:t>霍尔果斯市苏港中学</w:t>
            </w:r>
          </w:p>
        </w:tc>
      </w:tr>
      <w:tr w14:paraId="25F438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41B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AD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A2F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6A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B6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6B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930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D371">
            <w:pPr>
              <w:jc w:val="center"/>
            </w:pPr>
            <w:r>
              <w:rPr>
                <w:rFonts w:ascii="宋体" w:hAnsi="宋体" w:eastAsia="宋体"/>
                <w:sz w:val="16"/>
              </w:rPr>
              <w:t>得分</w:t>
            </w:r>
          </w:p>
        </w:tc>
      </w:tr>
      <w:tr w14:paraId="5ABFA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80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653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5BA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462A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69E4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7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859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8B41">
            <w:pPr>
              <w:jc w:val="center"/>
            </w:pPr>
            <w:r>
              <w:rPr>
                <w:rFonts w:ascii="宋体" w:hAnsi="宋体" w:eastAsia="宋体"/>
                <w:sz w:val="16"/>
              </w:rPr>
              <w:t>10.00</w:t>
            </w:r>
          </w:p>
        </w:tc>
      </w:tr>
      <w:tr w14:paraId="05F00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4F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BBE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00B7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DF27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CF756">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64A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B6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5FD5">
            <w:pPr>
              <w:jc w:val="center"/>
            </w:pPr>
            <w:r>
              <w:rPr>
                <w:rFonts w:ascii="宋体" w:hAnsi="宋体" w:eastAsia="宋体"/>
                <w:sz w:val="16"/>
              </w:rPr>
              <w:t>—</w:t>
            </w:r>
          </w:p>
        </w:tc>
      </w:tr>
      <w:tr w14:paraId="12C41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88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060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4B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F4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0C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53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FF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5A59">
            <w:pPr>
              <w:jc w:val="center"/>
            </w:pPr>
            <w:r>
              <w:rPr>
                <w:rFonts w:ascii="宋体" w:hAnsi="宋体" w:eastAsia="宋体"/>
                <w:sz w:val="16"/>
              </w:rPr>
              <w:t>—</w:t>
            </w:r>
          </w:p>
        </w:tc>
      </w:tr>
      <w:tr w14:paraId="62DE52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8FC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A1DD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BA6789">
            <w:pPr>
              <w:jc w:val="center"/>
            </w:pPr>
            <w:r>
              <w:rPr>
                <w:rFonts w:ascii="宋体" w:hAnsi="宋体" w:eastAsia="宋体"/>
                <w:sz w:val="16"/>
              </w:rPr>
              <w:t>实际完成情况</w:t>
            </w:r>
          </w:p>
        </w:tc>
      </w:tr>
      <w:tr w14:paraId="1DD7C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6EB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DEEBF">
            <w:pPr>
              <w:jc w:val="both"/>
            </w:pPr>
            <w:r>
              <w:rPr>
                <w:rFonts w:ascii="宋体" w:hAnsi="宋体" w:eastAsia="宋体"/>
                <w:sz w:val="16"/>
              </w:rPr>
              <w:t>根据《霍尔果斯教育质量提升行动方案（2024</w:t>
            </w:r>
            <w:r>
              <w:rPr>
                <w:rFonts w:hint="eastAsia" w:ascii="宋体" w:hAnsi="宋体"/>
                <w:sz w:val="16"/>
                <w:lang w:eastAsia="zh-CN"/>
              </w:rPr>
              <w:t>—</w:t>
            </w:r>
            <w:r>
              <w:rPr>
                <w:rFonts w:ascii="宋体" w:hAnsi="宋体" w:eastAsia="宋体"/>
                <w:sz w:val="16"/>
              </w:rPr>
              <w:t>2027年）》霍特管办发〔2024〕15号）要求，通过领办帮扶2所学校，向乌鲁木齐八一中学支付联合办学经费150万元，在领办帮扶期间，促进霍尔果斯教育改革，积极探索建立现代学校制度，促进霍尔果斯教育高质量发展。培养一支优秀的学校管理队伍和高素质的教师队伍，建立健全科学高效的管理体系和管理流程，促进中学阶段一体化发展，教育教学质量走在全州前列，使苏港中学和国门初级中学成为伊犁河谷区域名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034A9C">
            <w:pPr>
              <w:jc w:val="both"/>
            </w:pPr>
            <w:r>
              <w:rPr>
                <w:rFonts w:ascii="宋体" w:hAnsi="宋体" w:eastAsia="宋体"/>
                <w:sz w:val="16"/>
              </w:rPr>
              <w:t>2024年八一中学领办帮扶项目成功将先进的教学管理理念、教学模式和丰富的课程体系在霍尔果斯苏港中学和国门初级中学复制推广。在教学管理上更加</w:t>
            </w:r>
            <w:r>
              <w:rPr>
                <w:rFonts w:hint="eastAsia" w:ascii="宋体" w:hAnsi="宋体"/>
                <w:sz w:val="16"/>
                <w:lang w:eastAsia="zh-CN"/>
              </w:rPr>
              <w:t>规范</w:t>
            </w:r>
            <w:r>
              <w:rPr>
                <w:rFonts w:ascii="宋体" w:hAnsi="宋体" w:eastAsia="宋体"/>
                <w:sz w:val="16"/>
              </w:rPr>
              <w:t>、科学化。</w:t>
            </w:r>
          </w:p>
        </w:tc>
      </w:tr>
      <w:tr w14:paraId="1EF4C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A70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0A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74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FF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3E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B1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9A6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79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FE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F2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C0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25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16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830C">
            <w:pPr>
              <w:jc w:val="center"/>
            </w:pPr>
            <w:r>
              <w:rPr>
                <w:rFonts w:ascii="宋体" w:hAnsi="宋体" w:eastAsia="宋体"/>
                <w:sz w:val="16"/>
              </w:rPr>
              <w:t>偏差原因分析及改进措施</w:t>
            </w:r>
          </w:p>
        </w:tc>
      </w:tr>
      <w:tr w14:paraId="15A3C6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77B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423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7C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4E8E">
            <w:pPr>
              <w:jc w:val="center"/>
            </w:pPr>
            <w:r>
              <w:rPr>
                <w:rFonts w:ascii="宋体" w:hAnsi="宋体" w:eastAsia="宋体"/>
                <w:sz w:val="16"/>
              </w:rPr>
              <w:t>领办帮扶学校数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A0D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9995">
            <w:pPr>
              <w:jc w:val="center"/>
            </w:pPr>
            <w:r>
              <w:rPr>
                <w:rFonts w:ascii="宋体" w:hAnsi="宋体" w:eastAsia="宋体"/>
                <w:sz w:val="16"/>
              </w:rPr>
              <w:t>=2所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EF14">
            <w:pPr>
              <w:jc w:val="center"/>
            </w:pPr>
            <w:r>
              <w:rPr>
                <w:rFonts w:ascii="宋体" w:hAnsi="宋体" w:eastAsia="宋体"/>
                <w:sz w:val="16"/>
              </w:rPr>
              <w:t>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E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CF3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3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7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0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72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A45F">
            <w:pPr>
              <w:jc w:val="center"/>
            </w:pPr>
          </w:p>
        </w:tc>
      </w:tr>
      <w:tr w14:paraId="6BB16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B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8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F0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7794">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A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1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4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9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3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9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3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F3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AD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5171">
            <w:pPr>
              <w:jc w:val="center"/>
            </w:pPr>
          </w:p>
        </w:tc>
      </w:tr>
      <w:tr w14:paraId="4D8C8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6C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2D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65D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30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E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E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A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4B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1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B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7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67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CBD">
            <w:pPr>
              <w:jc w:val="center"/>
            </w:pPr>
          </w:p>
        </w:tc>
      </w:tr>
      <w:tr w14:paraId="2DA4D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A8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B1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50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69A4">
            <w:pPr>
              <w:jc w:val="center"/>
            </w:pPr>
            <w:r>
              <w:rPr>
                <w:rFonts w:hint="eastAsia" w:ascii="宋体" w:hAnsi="宋体"/>
                <w:sz w:val="16"/>
                <w:lang w:eastAsia="zh-CN"/>
              </w:rPr>
              <w:t>领办</w:t>
            </w:r>
            <w:r>
              <w:rPr>
                <w:rFonts w:ascii="宋体" w:hAnsi="宋体" w:eastAsia="宋体"/>
                <w:sz w:val="16"/>
              </w:rPr>
              <w:t>帮扶平均成本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24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69AE">
            <w:pPr>
              <w:jc w:val="center"/>
            </w:pPr>
            <w:r>
              <w:rPr>
                <w:rFonts w:ascii="宋体" w:hAnsi="宋体" w:eastAsia="宋体"/>
                <w:sz w:val="16"/>
              </w:rPr>
              <w:t>&lt;=75万元/所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62B5">
            <w:pPr>
              <w:jc w:val="center"/>
            </w:pPr>
            <w:r>
              <w:rPr>
                <w:rFonts w:ascii="宋体" w:hAnsi="宋体" w:eastAsia="宋体"/>
                <w:sz w:val="16"/>
              </w:rPr>
              <w:t>75万元/所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7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42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A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8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9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97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2B61">
            <w:pPr>
              <w:jc w:val="center"/>
            </w:pPr>
          </w:p>
        </w:tc>
      </w:tr>
      <w:tr w14:paraId="3E914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F4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0DE1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BC3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C81A">
            <w:pPr>
              <w:jc w:val="center"/>
            </w:pPr>
            <w:r>
              <w:rPr>
                <w:rFonts w:ascii="宋体" w:hAnsi="宋体" w:eastAsia="宋体"/>
                <w:sz w:val="16"/>
              </w:rPr>
              <w:t>提升教学质量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0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77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5B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4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FC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53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3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73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3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4AF2">
            <w:pPr>
              <w:jc w:val="center"/>
            </w:pPr>
          </w:p>
        </w:tc>
      </w:tr>
      <w:tr w14:paraId="7C8CE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7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5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96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8F1B">
            <w:pPr>
              <w:jc w:val="center"/>
            </w:pPr>
            <w:r>
              <w:rPr>
                <w:rFonts w:ascii="宋体" w:hAnsi="宋体" w:eastAsia="宋体"/>
                <w:sz w:val="16"/>
              </w:rPr>
              <w:t>提升教师专业能力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D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55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E82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D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7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2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2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FF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F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CA22">
            <w:pPr>
              <w:jc w:val="center"/>
            </w:pPr>
          </w:p>
        </w:tc>
      </w:tr>
      <w:tr w14:paraId="41755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F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A3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6B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E2E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4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B0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BD19">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FA62">
            <w:pPr>
              <w:jc w:val="center"/>
            </w:pPr>
            <w:r>
              <w:rPr>
                <w:rFonts w:ascii="宋体" w:hAnsi="宋体" w:eastAsia="宋体"/>
                <w:sz w:val="16"/>
              </w:rPr>
              <w:t>102.1%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4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0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D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D9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D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AC71">
            <w:pPr>
              <w:jc w:val="center"/>
            </w:pPr>
            <w:r>
              <w:rPr>
                <w:rFonts w:ascii="宋体" w:hAnsi="宋体" w:eastAsia="宋体"/>
                <w:sz w:val="16"/>
              </w:rPr>
              <w:t>教师满意度较高。</w:t>
            </w:r>
          </w:p>
        </w:tc>
      </w:tr>
      <w:tr w14:paraId="423ECB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32E6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E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300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DAE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0B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77B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4C2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A6A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506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16E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4C00F"/>
        </w:tc>
      </w:tr>
    </w:tbl>
    <w:p w14:paraId="7A77C451">
      <w:r>
        <w:br w:type="page"/>
      </w:r>
    </w:p>
    <w:p w14:paraId="41FE8898">
      <w:pPr>
        <w:spacing w:line="640" w:lineRule="exact"/>
        <w:ind w:firstLine="640"/>
        <w:jc w:val="both"/>
        <w:outlineLvl w:val="2"/>
      </w:pPr>
      <w:r>
        <w:rPr>
          <w:rFonts w:ascii="黑体" w:hAnsi="黑体" w:eastAsia="黑体"/>
          <w:sz w:val="32"/>
        </w:rPr>
        <w:t>十二、其他需说明的事项</w:t>
      </w:r>
    </w:p>
    <w:p w14:paraId="72F20AA9">
      <w:pPr>
        <w:spacing w:line="580" w:lineRule="exact"/>
        <w:ind w:firstLine="640"/>
        <w:jc w:val="both"/>
      </w:pPr>
      <w:r>
        <w:rPr>
          <w:rFonts w:ascii="仿宋_GB2312" w:hAnsi="仿宋_GB2312" w:eastAsia="仿宋_GB2312"/>
          <w:b w:val="0"/>
          <w:sz w:val="32"/>
        </w:rPr>
        <w:t>本单位无其他需说明的事项。</w:t>
      </w:r>
    </w:p>
    <w:p w14:paraId="7F83FC4C">
      <w:r>
        <w:br w:type="page"/>
      </w:r>
    </w:p>
    <w:p w14:paraId="581292A6">
      <w:pPr>
        <w:spacing w:line="240" w:lineRule="auto"/>
        <w:jc w:val="center"/>
        <w:outlineLvl w:val="1"/>
      </w:pPr>
      <w:r>
        <w:rPr>
          <w:rFonts w:ascii="黑体" w:hAnsi="黑体" w:eastAsia="黑体"/>
          <w:sz w:val="32"/>
        </w:rPr>
        <w:t>第三部分 专业名词解释</w:t>
      </w:r>
    </w:p>
    <w:p w14:paraId="7371FE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8C04F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81FF1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6A76F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0C748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E131CF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AF924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0773A1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B486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26BF7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31850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ED942D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659C7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5FCF5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359811">
      <w:r>
        <w:br w:type="page"/>
      </w:r>
    </w:p>
    <w:p w14:paraId="4D5C1315">
      <w:pPr>
        <w:spacing w:line="240" w:lineRule="auto"/>
        <w:jc w:val="center"/>
        <w:outlineLvl w:val="1"/>
      </w:pPr>
      <w:r>
        <w:rPr>
          <w:rFonts w:ascii="黑体" w:hAnsi="黑体" w:eastAsia="黑体"/>
          <w:sz w:val="32"/>
        </w:rPr>
        <w:t>第四部分 部门决算报表（见附表）</w:t>
      </w:r>
    </w:p>
    <w:p w14:paraId="4CFC8A33">
      <w:pPr>
        <w:spacing w:line="240" w:lineRule="auto"/>
        <w:ind w:firstLine="640"/>
        <w:jc w:val="both"/>
      </w:pPr>
      <w:r>
        <w:rPr>
          <w:rFonts w:ascii="仿宋_GB2312" w:hAnsi="仿宋_GB2312" w:eastAsia="仿宋_GB2312"/>
          <w:b w:val="0"/>
          <w:sz w:val="32"/>
        </w:rPr>
        <w:t>一、《收入支出决算总表》</w:t>
      </w:r>
    </w:p>
    <w:p w14:paraId="2FBA8383">
      <w:pPr>
        <w:spacing w:line="240" w:lineRule="auto"/>
        <w:ind w:firstLine="640"/>
        <w:jc w:val="both"/>
      </w:pPr>
      <w:r>
        <w:rPr>
          <w:rFonts w:ascii="仿宋_GB2312" w:hAnsi="仿宋_GB2312" w:eastAsia="仿宋_GB2312"/>
          <w:b w:val="0"/>
          <w:sz w:val="32"/>
        </w:rPr>
        <w:t>二、《收入决算表》</w:t>
      </w:r>
    </w:p>
    <w:p w14:paraId="18BF375E">
      <w:pPr>
        <w:spacing w:line="240" w:lineRule="auto"/>
        <w:ind w:firstLine="640"/>
        <w:jc w:val="both"/>
      </w:pPr>
      <w:r>
        <w:rPr>
          <w:rFonts w:ascii="仿宋_GB2312" w:hAnsi="仿宋_GB2312" w:eastAsia="仿宋_GB2312"/>
          <w:b w:val="0"/>
          <w:sz w:val="32"/>
        </w:rPr>
        <w:t>三、《支出决算表》</w:t>
      </w:r>
    </w:p>
    <w:p w14:paraId="2F49EDDD">
      <w:pPr>
        <w:spacing w:line="240" w:lineRule="auto"/>
        <w:ind w:firstLine="640"/>
        <w:jc w:val="both"/>
      </w:pPr>
      <w:r>
        <w:rPr>
          <w:rFonts w:ascii="仿宋_GB2312" w:hAnsi="仿宋_GB2312" w:eastAsia="仿宋_GB2312"/>
          <w:b w:val="0"/>
          <w:sz w:val="32"/>
        </w:rPr>
        <w:t>四、《财政拨款收入支出决算总表》</w:t>
      </w:r>
    </w:p>
    <w:p w14:paraId="76A03463">
      <w:pPr>
        <w:spacing w:line="240" w:lineRule="auto"/>
        <w:ind w:firstLine="640"/>
        <w:jc w:val="both"/>
      </w:pPr>
      <w:r>
        <w:rPr>
          <w:rFonts w:ascii="仿宋_GB2312" w:hAnsi="仿宋_GB2312" w:eastAsia="仿宋_GB2312"/>
          <w:b w:val="0"/>
          <w:sz w:val="32"/>
        </w:rPr>
        <w:t>五、《一般公共预算财政拨款支出决算表》</w:t>
      </w:r>
    </w:p>
    <w:p w14:paraId="15102804">
      <w:pPr>
        <w:spacing w:line="240" w:lineRule="auto"/>
        <w:ind w:firstLine="640"/>
        <w:jc w:val="both"/>
      </w:pPr>
      <w:r>
        <w:rPr>
          <w:rFonts w:ascii="仿宋_GB2312" w:hAnsi="仿宋_GB2312" w:eastAsia="仿宋_GB2312"/>
          <w:b w:val="0"/>
          <w:sz w:val="32"/>
        </w:rPr>
        <w:t>六、《一般公共预算财政拨款基本支出决算表》</w:t>
      </w:r>
    </w:p>
    <w:p w14:paraId="09B065C9">
      <w:pPr>
        <w:spacing w:line="240" w:lineRule="auto"/>
        <w:ind w:firstLine="640"/>
        <w:jc w:val="both"/>
      </w:pPr>
      <w:r>
        <w:rPr>
          <w:rFonts w:ascii="仿宋_GB2312" w:hAnsi="仿宋_GB2312" w:eastAsia="仿宋_GB2312"/>
          <w:b w:val="0"/>
          <w:sz w:val="32"/>
        </w:rPr>
        <w:t>七、《政府性基金预算财政拨款收入支出决算表》</w:t>
      </w:r>
    </w:p>
    <w:p w14:paraId="62E21A9C">
      <w:pPr>
        <w:spacing w:line="240" w:lineRule="auto"/>
        <w:ind w:firstLine="640"/>
        <w:jc w:val="both"/>
      </w:pPr>
      <w:r>
        <w:rPr>
          <w:rFonts w:ascii="仿宋_GB2312" w:hAnsi="仿宋_GB2312" w:eastAsia="仿宋_GB2312"/>
          <w:b w:val="0"/>
          <w:sz w:val="32"/>
        </w:rPr>
        <w:t>八、《国有资本经营预算财政拨款收入支出决算表》</w:t>
      </w:r>
    </w:p>
    <w:p w14:paraId="2A93713B">
      <w:pPr>
        <w:spacing w:line="240" w:lineRule="auto"/>
        <w:ind w:firstLine="640"/>
        <w:jc w:val="both"/>
      </w:pPr>
      <w:r>
        <w:rPr>
          <w:rFonts w:ascii="仿宋_GB2312" w:hAnsi="仿宋_GB2312" w:eastAsia="仿宋_GB2312"/>
          <w:b w:val="0"/>
          <w:sz w:val="32"/>
        </w:rPr>
        <w:t>九、《财政拨款“三公”经费支出决算表》</w:t>
      </w:r>
    </w:p>
    <w:p w14:paraId="367BEDF1">
      <w:pPr>
        <w:spacing w:line="240" w:lineRule="auto"/>
        <w:ind w:firstLine="640"/>
        <w:jc w:val="both"/>
      </w:pPr>
    </w:p>
    <w:p w14:paraId="35987943">
      <w:pPr>
        <w:spacing w:line="240" w:lineRule="auto"/>
        <w:ind w:firstLine="640"/>
        <w:jc w:val="both"/>
      </w:pPr>
    </w:p>
    <w:p w14:paraId="3B03B958">
      <w:pPr>
        <w:spacing w:line="240" w:lineRule="auto"/>
        <w:ind w:firstLine="640"/>
        <w:jc w:val="both"/>
      </w:pPr>
    </w:p>
    <w:p w14:paraId="7173011D">
      <w:pPr>
        <w:spacing w:line="240" w:lineRule="auto"/>
        <w:ind w:firstLine="640"/>
        <w:jc w:val="both"/>
      </w:pPr>
    </w:p>
    <w:p w14:paraId="156428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C96197"/>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C65E98"/>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691780"/>
    <w:rsid w:val="583059FA"/>
    <w:rsid w:val="587E6212"/>
    <w:rsid w:val="5AFC6609"/>
    <w:rsid w:val="5FA17648"/>
    <w:rsid w:val="5FD320BD"/>
    <w:rsid w:val="60DE4D57"/>
    <w:rsid w:val="613409CB"/>
    <w:rsid w:val="61A46A97"/>
    <w:rsid w:val="62DD7D21"/>
    <w:rsid w:val="65D97752"/>
    <w:rsid w:val="664C500C"/>
    <w:rsid w:val="67D111AB"/>
    <w:rsid w:val="68D85452"/>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4843</Words>
  <Characters>5583</Characters>
  <Lines>0</Lines>
  <Paragraphs>0</Paragraphs>
  <TotalTime>0</TotalTime>
  <ScaleCrop>false</ScaleCrop>
  <LinksUpToDate>false</LinksUpToDate>
  <CharactersWithSpaces>5591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2025-12-05T07:36:29Z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