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霍尔果斯市第三幼儿园2024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5538E5">
      <w:r>
        <w:br w:type="page"/>
      </w:r>
    </w:p>
    <w:p w14:paraId="0E976AAA">
      <w:pPr>
        <w:spacing w:line="640" w:lineRule="exact"/>
        <w:jc w:val="center"/>
        <w:outlineLvl w:val="1"/>
      </w:pPr>
      <w:r>
        <w:rPr>
          <w:rFonts w:ascii="黑体" w:hAnsi="黑体" w:eastAsia="黑体"/>
          <w:sz w:val="32"/>
        </w:rPr>
        <w:t>第一部分 单位概况</w:t>
      </w:r>
    </w:p>
    <w:p w14:paraId="15C0901C">
      <w:pPr>
        <w:spacing w:line="640" w:lineRule="exact"/>
        <w:ind w:firstLine="640"/>
        <w:jc w:val="both"/>
        <w:outlineLvl w:val="2"/>
      </w:pPr>
      <w:r>
        <w:rPr>
          <w:rFonts w:ascii="黑体" w:hAnsi="黑体" w:eastAsia="黑体"/>
          <w:sz w:val="32"/>
        </w:rPr>
        <w:t>一、主要职能</w:t>
      </w:r>
    </w:p>
    <w:p w14:paraId="282727C5">
      <w:pPr>
        <w:spacing w:line="580" w:lineRule="exact"/>
        <w:ind w:firstLine="640"/>
        <w:jc w:val="both"/>
      </w:pPr>
      <w:r>
        <w:rPr>
          <w:rFonts w:ascii="仿宋_GB2312" w:hAnsi="仿宋_GB2312" w:eastAsia="仿宋_GB2312"/>
          <w:sz w:val="32"/>
        </w:rPr>
        <w:t>(1)贯彻执行党和国家的教育方针、政策和法规，配合市人民政府制定学校发展规划和年度计划，并抓好组织实施和落实工作。</w:t>
      </w:r>
    </w:p>
    <w:p w14:paraId="209413E0">
      <w:pPr>
        <w:spacing w:line="580" w:lineRule="exact"/>
        <w:ind w:firstLine="640"/>
        <w:jc w:val="both"/>
      </w:pPr>
      <w:r>
        <w:rPr>
          <w:rFonts w:ascii="仿宋_GB2312" w:hAnsi="仿宋_GB2312" w:eastAsia="仿宋_GB2312"/>
          <w:sz w:val="32"/>
        </w:rPr>
        <w:t>(2)贯彻、执行教育法律法规和政策规定，坚持依法治教、依法治学。巩固提高“两基”工作成果和整体水平，配合人民政府依法动员、组织适龄儿童入园，推进普及学前教育。</w:t>
      </w:r>
    </w:p>
    <w:p w14:paraId="7EE73FC6">
      <w:pPr>
        <w:spacing w:line="580" w:lineRule="exact"/>
        <w:ind w:firstLine="640"/>
        <w:jc w:val="both"/>
      </w:pPr>
      <w:r>
        <w:rPr>
          <w:rFonts w:ascii="仿宋_GB2312" w:hAnsi="仿宋_GB2312" w:eastAsia="仿宋_GB2312"/>
          <w:sz w:val="32"/>
        </w:rPr>
        <w:t>(3)指导、管理、检查、评价学前教育教学工作，提高办学质量和办学效益。</w:t>
      </w:r>
    </w:p>
    <w:p w14:paraId="687C14BD">
      <w:pPr>
        <w:spacing w:line="580" w:lineRule="exact"/>
        <w:ind w:firstLine="640"/>
        <w:jc w:val="both"/>
      </w:pPr>
      <w:r>
        <w:rPr>
          <w:rFonts w:ascii="仿宋_GB2312" w:hAnsi="仿宋_GB2312" w:eastAsia="仿宋_GB2312"/>
          <w:sz w:val="32"/>
        </w:rPr>
        <w:t>(4)负责教育教学管理及教研教改工作，全力推进素质教育实施。</w:t>
      </w:r>
    </w:p>
    <w:p w14:paraId="6381DBDA">
      <w:pPr>
        <w:spacing w:line="580" w:lineRule="exact"/>
        <w:ind w:firstLine="640"/>
        <w:jc w:val="both"/>
      </w:pPr>
      <w:r>
        <w:rPr>
          <w:rFonts w:ascii="仿宋_GB2312" w:hAnsi="仿宋_GB2312" w:eastAsia="仿宋_GB2312"/>
          <w:sz w:val="32"/>
        </w:rPr>
        <w:t>(5)负责抓好学前教育工作，逐步普及幼儿学前一年入园率，逐年提高幼儿学前三年入园率。</w:t>
      </w:r>
    </w:p>
    <w:p w14:paraId="596AE880">
      <w:pPr>
        <w:spacing w:line="580" w:lineRule="exact"/>
        <w:ind w:firstLine="640"/>
        <w:jc w:val="both"/>
      </w:pPr>
      <w:r>
        <w:rPr>
          <w:rFonts w:ascii="仿宋_GB2312" w:hAnsi="仿宋_GB2312" w:eastAsia="仿宋_GB2312"/>
          <w:sz w:val="32"/>
        </w:rPr>
        <w:t>(6)协助上级教育主管单位做好园长的考核任免工作，负责教师人事管理、继续教育、考核考评等工作。</w:t>
      </w:r>
    </w:p>
    <w:p w14:paraId="6188E4A0">
      <w:pPr>
        <w:spacing w:line="580" w:lineRule="exact"/>
        <w:ind w:firstLine="640"/>
        <w:jc w:val="both"/>
      </w:pPr>
      <w:r>
        <w:rPr>
          <w:rFonts w:ascii="仿宋_GB2312" w:hAnsi="仿宋_GB2312" w:eastAsia="仿宋_GB2312"/>
          <w:sz w:val="32"/>
        </w:rPr>
        <w:t>(7)负责财务管理，筹措资金，改善办学条件等工作。负责幼儿园后勤财务工作。</w:t>
      </w:r>
    </w:p>
    <w:p w14:paraId="20889823">
      <w:pPr>
        <w:spacing w:line="640" w:lineRule="exact"/>
        <w:ind w:firstLine="640"/>
        <w:jc w:val="both"/>
        <w:outlineLvl w:val="2"/>
      </w:pPr>
      <w:r>
        <w:rPr>
          <w:rFonts w:ascii="黑体" w:hAnsi="黑体" w:eastAsia="黑体"/>
          <w:sz w:val="32"/>
        </w:rPr>
        <w:t>二、机构设置及人员情况</w:t>
      </w:r>
    </w:p>
    <w:p w14:paraId="780A0312">
      <w:pPr>
        <w:spacing w:line="580" w:lineRule="exact"/>
        <w:ind w:firstLine="640"/>
        <w:jc w:val="both"/>
      </w:pPr>
      <w:r>
        <w:rPr>
          <w:rFonts w:ascii="仿宋_GB2312" w:hAnsi="仿宋_GB2312" w:eastAsia="仿宋_GB2312"/>
          <w:sz w:val="32"/>
        </w:rPr>
        <w:t>霍尔果斯市第三幼儿园2024年度，实有人数10人，其中：在职人员10人，增加0人；离休人员0人，增加0人；退休人员0人,增加0人。</w:t>
      </w:r>
    </w:p>
    <w:p w14:paraId="53D8A8DA">
      <w:pPr>
        <w:spacing w:line="580" w:lineRule="exact"/>
        <w:ind w:firstLine="640"/>
        <w:jc w:val="both"/>
      </w:pPr>
      <w:r>
        <w:rPr>
          <w:rFonts w:ascii="仿宋_GB2312" w:hAnsi="仿宋_GB2312" w:eastAsia="仿宋_GB2312"/>
          <w:sz w:val="32"/>
        </w:rPr>
        <w:t>霍尔果斯市第三幼儿园无下属预算单位，下设11个科室，分别是：教务办公室、教研办公室、德育办公室、团委办公室、平安建设办公室、工会办公室、党建办公室、资助办公室、民族团结办公室、总务办公室、财务办公室。</w:t>
      </w:r>
    </w:p>
    <w:p w14:paraId="15BF38F2">
      <w:r>
        <w:br w:type="page"/>
      </w:r>
    </w:p>
    <w:p w14:paraId="47CFE600">
      <w:pPr>
        <w:spacing w:line="240" w:lineRule="auto"/>
        <w:jc w:val="center"/>
        <w:outlineLvl w:val="1"/>
      </w:pPr>
      <w:r>
        <w:rPr>
          <w:rFonts w:ascii="黑体" w:hAnsi="黑体" w:eastAsia="黑体"/>
          <w:sz w:val="32"/>
        </w:rPr>
        <w:t>第二部分 部门决算情况说明</w:t>
      </w:r>
    </w:p>
    <w:p w14:paraId="47175627">
      <w:pPr>
        <w:spacing w:line="640" w:lineRule="exact"/>
        <w:ind w:firstLine="640"/>
        <w:jc w:val="both"/>
        <w:outlineLvl w:val="2"/>
      </w:pPr>
      <w:r>
        <w:rPr>
          <w:rFonts w:ascii="黑体" w:hAnsi="黑体" w:eastAsia="黑体"/>
          <w:sz w:val="32"/>
        </w:rPr>
        <w:t>一、收入支出决算总体情况说明</w:t>
      </w:r>
    </w:p>
    <w:p w14:paraId="1D2E0D0C">
      <w:pPr>
        <w:spacing w:line="580" w:lineRule="exact"/>
        <w:ind w:firstLine="640"/>
        <w:jc w:val="both"/>
      </w:pPr>
      <w:r>
        <w:rPr>
          <w:rFonts w:ascii="仿宋_GB2312" w:hAnsi="仿宋_GB2312" w:eastAsia="仿宋_GB2312"/>
          <w:b/>
          <w:sz w:val="32"/>
        </w:rPr>
        <w:t>2024年度收入总计456.74万元，</w:t>
      </w:r>
      <w:r>
        <w:rPr>
          <w:rFonts w:ascii="仿宋_GB2312" w:hAnsi="仿宋_GB2312" w:eastAsia="仿宋_GB2312"/>
          <w:b w:val="0"/>
          <w:sz w:val="32"/>
        </w:rPr>
        <w:t>其中：本年收入合计456.74万元，使用非财政拨款结余（含专用结余）0.00万元，年初结转和结余0.00万元。</w:t>
      </w:r>
    </w:p>
    <w:p w14:paraId="237834F3">
      <w:pPr>
        <w:spacing w:line="580" w:lineRule="exact"/>
        <w:ind w:firstLine="640"/>
        <w:jc w:val="both"/>
      </w:pPr>
      <w:r>
        <w:rPr>
          <w:rFonts w:ascii="仿宋_GB2312" w:hAnsi="仿宋_GB2312" w:eastAsia="仿宋_GB2312"/>
          <w:b/>
          <w:sz w:val="32"/>
        </w:rPr>
        <w:t>2024年度支出总计456.74万元，</w:t>
      </w:r>
      <w:r>
        <w:rPr>
          <w:rFonts w:ascii="仿宋_GB2312" w:hAnsi="仿宋_GB2312" w:eastAsia="仿宋_GB2312"/>
          <w:b w:val="0"/>
          <w:sz w:val="32"/>
        </w:rPr>
        <w:t>其中：本年支出合计456.74万元，结余分配0.00万元，年末结转和结余0.00万元。</w:t>
      </w:r>
    </w:p>
    <w:p w14:paraId="305D47BE">
      <w:pPr>
        <w:spacing w:line="580" w:lineRule="exact"/>
        <w:ind w:firstLine="640"/>
        <w:jc w:val="both"/>
      </w:pPr>
      <w:r>
        <w:rPr>
          <w:rFonts w:ascii="仿宋_GB2312" w:hAnsi="仿宋_GB2312" w:eastAsia="仿宋_GB2312"/>
          <w:b w:val="0"/>
          <w:sz w:val="32"/>
        </w:rPr>
        <w:t>收入支出总体与上年相比，增加8.88万元，增长1.98%，主要原因是：本年在职人员工资调增，社保、公积金基数调增，人员经费增加。</w:t>
      </w:r>
    </w:p>
    <w:p w14:paraId="2EB5A725">
      <w:pPr>
        <w:spacing w:line="640" w:lineRule="exact"/>
        <w:ind w:firstLine="640"/>
        <w:jc w:val="both"/>
        <w:outlineLvl w:val="2"/>
      </w:pPr>
      <w:r>
        <w:rPr>
          <w:rFonts w:ascii="黑体" w:hAnsi="黑体" w:eastAsia="黑体"/>
          <w:sz w:val="32"/>
        </w:rPr>
        <w:t>二、收入决算情况说明</w:t>
      </w:r>
    </w:p>
    <w:p w14:paraId="2C58C308">
      <w:pPr>
        <w:spacing w:line="580" w:lineRule="exact"/>
        <w:ind w:firstLine="640"/>
        <w:jc w:val="both"/>
      </w:pPr>
      <w:r>
        <w:rPr>
          <w:rFonts w:ascii="仿宋_GB2312" w:hAnsi="仿宋_GB2312" w:eastAsia="仿宋_GB2312"/>
          <w:b/>
          <w:sz w:val="32"/>
        </w:rPr>
        <w:t>本年收入456.74万元，</w:t>
      </w:r>
      <w:r>
        <w:rPr>
          <w:rFonts w:ascii="仿宋_GB2312" w:hAnsi="仿宋_GB2312" w:eastAsia="仿宋_GB2312"/>
          <w:b w:val="0"/>
          <w:sz w:val="32"/>
        </w:rPr>
        <w:t>其中：财政拨款收入456.74万元，占100.00%；上级补助收入0.00万元，占0.00%；事业收入0.00万元，占0.00%；经营收入0.00万元，占0.00%；附属单位上缴收入0.00万元，占0.00%；其他收入0.00万元，占0.00%。</w:t>
      </w:r>
    </w:p>
    <w:p w14:paraId="0474AF69">
      <w:pPr>
        <w:spacing w:line="640" w:lineRule="exact"/>
        <w:ind w:firstLine="640"/>
        <w:jc w:val="both"/>
        <w:outlineLvl w:val="2"/>
      </w:pPr>
      <w:r>
        <w:rPr>
          <w:rFonts w:ascii="黑体" w:hAnsi="黑体" w:eastAsia="黑体"/>
          <w:sz w:val="32"/>
        </w:rPr>
        <w:t>三、支出决算情况说明</w:t>
      </w:r>
    </w:p>
    <w:p w14:paraId="584C31AF">
      <w:pPr>
        <w:spacing w:line="580" w:lineRule="exact"/>
        <w:ind w:firstLine="640"/>
        <w:jc w:val="both"/>
      </w:pPr>
      <w:r>
        <w:rPr>
          <w:rFonts w:ascii="仿宋_GB2312" w:hAnsi="仿宋_GB2312" w:eastAsia="仿宋_GB2312"/>
          <w:b/>
          <w:sz w:val="32"/>
        </w:rPr>
        <w:t>本年支出456.74万元，</w:t>
      </w:r>
      <w:r>
        <w:rPr>
          <w:rFonts w:ascii="仿宋_GB2312" w:hAnsi="仿宋_GB2312" w:eastAsia="仿宋_GB2312"/>
          <w:b w:val="0"/>
          <w:sz w:val="32"/>
        </w:rPr>
        <w:t>其中：基本支出456.74万元，占100.00%；项目支出0.00万元，占0.00%；上缴上级支出0.00万元，占0.00%；经营支出0.00万元，占0.00%；对附属单位补助支出0.00万元，占0.00%。</w:t>
      </w:r>
    </w:p>
    <w:p w14:paraId="7276A037">
      <w:pPr>
        <w:spacing w:line="640" w:lineRule="exact"/>
        <w:ind w:firstLine="640"/>
        <w:jc w:val="both"/>
        <w:outlineLvl w:val="2"/>
      </w:pPr>
      <w:r>
        <w:rPr>
          <w:rFonts w:ascii="黑体" w:hAnsi="黑体" w:eastAsia="黑体"/>
          <w:sz w:val="32"/>
        </w:rPr>
        <w:t>四、财政拨款收入支出决算总体情况说明</w:t>
      </w:r>
    </w:p>
    <w:p w14:paraId="3C8204A6">
      <w:pPr>
        <w:spacing w:line="580" w:lineRule="exact"/>
        <w:ind w:firstLine="640"/>
        <w:jc w:val="both"/>
      </w:pPr>
      <w:r>
        <w:rPr>
          <w:rFonts w:ascii="仿宋_GB2312" w:hAnsi="仿宋_GB2312" w:eastAsia="仿宋_GB2312"/>
          <w:b/>
          <w:sz w:val="32"/>
        </w:rPr>
        <w:t>2024年度财政拨款收入总计456.74万元，</w:t>
      </w:r>
      <w:r>
        <w:rPr>
          <w:rFonts w:ascii="仿宋_GB2312" w:hAnsi="仿宋_GB2312" w:eastAsia="仿宋_GB2312"/>
          <w:b w:val="0"/>
          <w:sz w:val="32"/>
        </w:rPr>
        <w:t>其中：年初财政拨款结转和结余0.00万元，本年财政拨款收入456.74万元。</w:t>
      </w:r>
      <w:r>
        <w:rPr>
          <w:rFonts w:ascii="仿宋_GB2312" w:hAnsi="仿宋_GB2312" w:eastAsia="仿宋_GB2312"/>
          <w:b/>
          <w:sz w:val="32"/>
        </w:rPr>
        <w:t>财政拨款支出总计456.74万元，</w:t>
      </w:r>
      <w:r>
        <w:rPr>
          <w:rFonts w:ascii="仿宋_GB2312" w:hAnsi="仿宋_GB2312" w:eastAsia="仿宋_GB2312"/>
          <w:b w:val="0"/>
          <w:sz w:val="32"/>
        </w:rPr>
        <w:t>其中：年末财政拨款结转和结余0.00万元，本年财政拨款支出456.74万元。</w:t>
      </w:r>
    </w:p>
    <w:p w14:paraId="1EF8759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增加8.88万元，增长1.98%，主要原因是：本年在职人员工资调增，社保、公积金基数调增，人员经费增加。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年初预算数418.75万元，决算数456.74万元，预决算差异率9.07%，主要原因是：年中追加人员工资、社保、公积金基数调增部分资金，导致预决算存在差异。</w:t>
      </w:r>
    </w:p>
    <w:p w14:paraId="70C459D7">
      <w:pPr>
        <w:spacing w:line="640" w:lineRule="exact"/>
        <w:ind w:firstLine="640"/>
        <w:jc w:val="both"/>
        <w:outlineLvl w:val="2"/>
      </w:pPr>
      <w:r>
        <w:rPr>
          <w:rFonts w:ascii="黑体" w:hAnsi="黑体" w:eastAsia="黑体"/>
          <w:sz w:val="32"/>
        </w:rPr>
        <w:t>五、一般公共预算财政拨款支出决算情况说明</w:t>
      </w:r>
    </w:p>
    <w:p w14:paraId="241F0C45">
      <w:pPr>
        <w:spacing w:line="640" w:lineRule="exact"/>
        <w:ind w:firstLine="640"/>
        <w:jc w:val="both"/>
        <w:outlineLvl w:val="3"/>
      </w:pPr>
      <w:r>
        <w:rPr>
          <w:rFonts w:ascii="楷体_GB2312" w:hAnsi="楷体_GB2312" w:eastAsia="楷体_GB2312"/>
          <w:b/>
          <w:sz w:val="32"/>
        </w:rPr>
        <w:t>（一）一般公共预算财政拨款支出决算总体情况</w:t>
      </w:r>
    </w:p>
    <w:p w14:paraId="4A01FBAD">
      <w:pPr>
        <w:spacing w:line="580" w:lineRule="exact"/>
        <w:ind w:firstLine="640"/>
        <w:jc w:val="both"/>
      </w:pPr>
      <w:r>
        <w:rPr>
          <w:rFonts w:ascii="仿宋_GB2312" w:hAnsi="仿宋_GB2312" w:eastAsia="仿宋_GB2312"/>
          <w:b/>
          <w:sz w:val="32"/>
        </w:rPr>
        <w:t>2024年度一般公共预算财政拨款支出456.74万元，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增加8.88万元，增长1.98%，主要原因是：本年在职人员工资调增，社保、公积金基数调增，人员经费增加。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年初预算数418.75万元，决算数456.74万元，预决算差异率9.07%，主要原因是：年中追加人员工资、社保、公积金基数调增部分资金，导致预决算存在差异。</w:t>
      </w:r>
    </w:p>
    <w:p w14:paraId="5DBBF937">
      <w:pPr>
        <w:spacing w:line="640" w:lineRule="exact"/>
        <w:ind w:firstLine="640"/>
        <w:jc w:val="both"/>
        <w:outlineLvl w:val="3"/>
      </w:pPr>
      <w:r>
        <w:rPr>
          <w:rFonts w:ascii="楷体_GB2312" w:hAnsi="楷体_GB2312" w:eastAsia="楷体_GB2312"/>
          <w:b/>
          <w:sz w:val="32"/>
        </w:rPr>
        <w:t>（二）一般公共预算财政拨款支出决算结构情况</w:t>
      </w:r>
    </w:p>
    <w:p w14:paraId="4F5DF263">
      <w:pPr>
        <w:spacing w:line="580" w:lineRule="exact"/>
        <w:ind w:firstLine="640"/>
        <w:jc w:val="both"/>
      </w:pPr>
      <w:r>
        <w:rPr>
          <w:rFonts w:ascii="仿宋_GB2312" w:hAnsi="仿宋_GB2312" w:eastAsia="仿宋_GB2312"/>
          <w:b w:val="0"/>
          <w:sz w:val="32"/>
        </w:rPr>
        <w:t>1.教育支出(类)430.80万元,占94.32%。</w:t>
      </w:r>
    </w:p>
    <w:p w14:paraId="29CEB2EB">
      <w:pPr>
        <w:spacing w:line="580" w:lineRule="exact"/>
        <w:ind w:firstLine="640"/>
        <w:jc w:val="both"/>
      </w:pPr>
      <w:r>
        <w:rPr>
          <w:rFonts w:ascii="仿宋_GB2312" w:hAnsi="仿宋_GB2312" w:eastAsia="仿宋_GB2312"/>
          <w:b w:val="0"/>
          <w:sz w:val="32"/>
        </w:rPr>
        <w:t>2.社会保障和就业支出(类)25.95万元,占5.68%。</w:t>
      </w:r>
    </w:p>
    <w:p w14:paraId="33BAFBF0">
      <w:pPr>
        <w:spacing w:line="640" w:lineRule="exact"/>
        <w:ind w:firstLine="640"/>
        <w:jc w:val="both"/>
        <w:outlineLvl w:val="3"/>
      </w:pPr>
      <w:r>
        <w:rPr>
          <w:rFonts w:ascii="楷体_GB2312" w:hAnsi="楷体_GB2312" w:eastAsia="楷体_GB2312"/>
          <w:b/>
          <w:sz w:val="32"/>
        </w:rPr>
        <w:t>（三）一般公共预算财政拨款支出决算具体情况</w:t>
      </w:r>
    </w:p>
    <w:p w14:paraId="76DA4C2C">
      <w:pPr>
        <w:spacing w:line="580" w:lineRule="exact"/>
        <w:ind w:firstLine="640"/>
        <w:jc w:val="both"/>
      </w:pPr>
      <w:r>
        <w:rPr>
          <w:rFonts w:ascii="仿宋_GB2312" w:hAnsi="仿宋_GB2312" w:eastAsia="仿宋_GB2312"/>
          <w:b w:val="0"/>
          <w:sz w:val="32"/>
        </w:rPr>
        <w:t>1.教育支出(类)普通教育(款)学前教育(项):支出决算数为430.80万元，比上年决算增加7.36万元，增长1.74%,主要原因是：本年在职人员工资调增，公积金基数调增，人员经费增加。</w:t>
      </w:r>
    </w:p>
    <w:p w14:paraId="1CF6C93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25.95万元，比上年决算增加1.53万元，增长6.27%,主要原因是：本年在职人员工资基数调增，养老缴费基数上涨，相应支出增加。</w:t>
      </w:r>
    </w:p>
    <w:p w14:paraId="3658386D">
      <w:pPr>
        <w:spacing w:line="640" w:lineRule="exact"/>
        <w:ind w:firstLine="640"/>
        <w:jc w:val="both"/>
        <w:outlineLvl w:val="2"/>
      </w:pPr>
      <w:r>
        <w:rPr>
          <w:rFonts w:ascii="黑体" w:hAnsi="黑体" w:eastAsia="黑体"/>
          <w:sz w:val="32"/>
        </w:rPr>
        <w:t>六、一般公共预算财政拨款基本支出决算情况说明</w:t>
      </w:r>
    </w:p>
    <w:p w14:paraId="2CD2205C">
      <w:pPr>
        <w:spacing w:line="580" w:lineRule="exact"/>
        <w:ind w:firstLine="640"/>
        <w:jc w:val="both"/>
      </w:pPr>
      <w:r>
        <w:rPr>
          <w:rFonts w:ascii="仿宋_GB2312" w:hAnsi="仿宋_GB2312" w:eastAsia="仿宋_GB2312"/>
          <w:b w:val="0"/>
          <w:sz w:val="32"/>
        </w:rPr>
        <w:t>2024年度一般公共预算财政拨款基本支出456.74万元，其中：</w:t>
      </w:r>
      <w:r>
        <w:rPr>
          <w:rFonts w:ascii="仿宋_GB2312" w:hAnsi="仿宋_GB2312" w:eastAsia="仿宋_GB2312"/>
          <w:b/>
          <w:sz w:val="32"/>
        </w:rPr>
        <w:t>人员经费393.36万元，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包括：基本工资、津贴补贴、奖金、绩效工资、机关事业单位基本养老保险缴费、职工基本医疗保险缴费、其他社会保障缴费、住房公积金、其他工资福利支出、助学金。</w:t>
      </w:r>
    </w:p>
    <w:p w14:paraId="12D808CF">
      <w:pPr>
        <w:spacing w:line="580" w:lineRule="exact"/>
        <w:ind w:firstLine="640"/>
        <w:jc w:val="both"/>
      </w:pPr>
      <w:r>
        <w:rPr>
          <w:rFonts w:ascii="仿宋_GB2312" w:hAnsi="仿宋_GB2312" w:eastAsia="仿宋_GB2312"/>
          <w:b/>
          <w:sz w:val="32"/>
        </w:rPr>
        <w:t>公用经费63.38万元，</w:t>
      </w:r>
      <w:r>
        <w:rPr>
          <w:rFonts w:ascii="仿宋_GB2312" w:hAnsi="仿宋_GB2312" w:eastAsia="仿宋_GB2312"/>
          <w:b w:val="0"/>
          <w:sz w:val="32"/>
        </w:rPr>
        <w:t>包括：办公费、水费、电费、邮电费、取暖费、差旅费、维修（护）费、培训费、工会经费、福利费、税金及附加费用、其他商品和服务支出。</w:t>
      </w:r>
    </w:p>
    <w:p w14:paraId="62CA3132">
      <w:pPr>
        <w:spacing w:line="640" w:lineRule="exact"/>
        <w:ind w:firstLine="640"/>
        <w:jc w:val="both"/>
        <w:outlineLvl w:val="2"/>
      </w:pPr>
      <w:r>
        <w:rPr>
          <w:rFonts w:ascii="黑体" w:hAnsi="黑体" w:eastAsia="黑体"/>
          <w:sz w:val="32"/>
        </w:rPr>
        <w:t>七、政府性基金预算财政拨款收入支出决算情况说明</w:t>
      </w:r>
    </w:p>
    <w:p w14:paraId="4CA604B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9A87A1">
      <w:pPr>
        <w:spacing w:line="640" w:lineRule="exact"/>
        <w:ind w:firstLine="640"/>
        <w:jc w:val="both"/>
        <w:outlineLvl w:val="2"/>
      </w:pPr>
      <w:r>
        <w:rPr>
          <w:rFonts w:ascii="黑体" w:hAnsi="黑体" w:eastAsia="黑体"/>
          <w:sz w:val="32"/>
        </w:rPr>
        <w:t>八、国有资本经营预算财政拨款收入支出决算情况说明</w:t>
      </w:r>
    </w:p>
    <w:p w14:paraId="66C029B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815928">
      <w:pPr>
        <w:spacing w:line="640" w:lineRule="exact"/>
        <w:ind w:firstLine="640"/>
        <w:jc w:val="both"/>
        <w:outlineLvl w:val="2"/>
      </w:pPr>
      <w:r>
        <w:rPr>
          <w:rFonts w:ascii="黑体" w:hAnsi="黑体" w:eastAsia="黑体"/>
          <w:sz w:val="32"/>
        </w:rPr>
        <w:t>九、财政拨款“三公”经费支出决算情况说明</w:t>
      </w:r>
    </w:p>
    <w:p w14:paraId="34842C2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AED0EC1">
      <w:pPr>
        <w:spacing w:line="580" w:lineRule="exact"/>
        <w:ind w:firstLine="640"/>
        <w:jc w:val="both"/>
      </w:pPr>
      <w:r>
        <w:rPr>
          <w:rFonts w:ascii="仿宋_GB2312" w:hAnsi="仿宋_GB2312" w:eastAsia="仿宋_GB2312"/>
          <w:b/>
          <w:sz w:val="32"/>
        </w:rPr>
        <w:t>具体情况如下：</w:t>
      </w:r>
    </w:p>
    <w:p w14:paraId="74721B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425DC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24C9F4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A6B0EA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E98D87C">
      <w:pPr>
        <w:spacing w:line="640" w:lineRule="exact"/>
        <w:ind w:firstLine="640"/>
        <w:jc w:val="both"/>
        <w:outlineLvl w:val="2"/>
      </w:pPr>
      <w:r>
        <w:rPr>
          <w:rFonts w:ascii="黑体" w:hAnsi="黑体" w:eastAsia="黑体"/>
          <w:sz w:val="32"/>
        </w:rPr>
        <w:t>十、其他重要事项的情况说明</w:t>
      </w:r>
    </w:p>
    <w:p w14:paraId="13F9B72F">
      <w:pPr>
        <w:spacing w:line="640" w:lineRule="exact"/>
        <w:ind w:firstLine="640"/>
        <w:jc w:val="both"/>
        <w:outlineLvl w:val="3"/>
      </w:pPr>
      <w:r>
        <w:rPr>
          <w:rFonts w:ascii="楷体_GB2312" w:hAnsi="楷体_GB2312" w:eastAsia="楷体_GB2312"/>
          <w:b/>
          <w:sz w:val="32"/>
        </w:rPr>
        <w:t>（一）机关运行经费及公用经费支出情况</w:t>
      </w:r>
    </w:p>
    <w:p w14:paraId="377371C1">
      <w:pPr>
        <w:spacing w:line="580" w:lineRule="exact"/>
        <w:ind w:firstLine="640"/>
        <w:jc w:val="both"/>
      </w:pPr>
      <w:r>
        <w:rPr>
          <w:rFonts w:ascii="仿宋_GB2312" w:hAnsi="仿宋_GB2312" w:eastAsia="仿宋_GB2312"/>
          <w:b w:val="0"/>
          <w:sz w:val="32"/>
        </w:rPr>
        <w:t>2024年度霍尔果斯市第三幼儿园（事业单位）公用经费支出63.38万元，比上年减少11.42万元，下降15.27%，主要原因是：1.严控经费支出，厉行节约，减少经费支出；2.本年校园维修（护）费较上年减少。</w:t>
      </w:r>
    </w:p>
    <w:p w14:paraId="6D9873AB">
      <w:pPr>
        <w:spacing w:line="640" w:lineRule="exact"/>
        <w:ind w:firstLine="640"/>
        <w:jc w:val="both"/>
        <w:outlineLvl w:val="3"/>
      </w:pPr>
      <w:r>
        <w:rPr>
          <w:rFonts w:ascii="楷体_GB2312" w:hAnsi="楷体_GB2312" w:eastAsia="楷体_GB2312"/>
          <w:b/>
          <w:sz w:val="32"/>
        </w:rPr>
        <w:t>（二）政府采购情况</w:t>
      </w:r>
    </w:p>
    <w:p w14:paraId="79133034">
      <w:pPr>
        <w:spacing w:line="580" w:lineRule="exact"/>
        <w:ind w:firstLine="640"/>
        <w:jc w:val="both"/>
      </w:pPr>
      <w:r>
        <w:rPr>
          <w:rFonts w:ascii="仿宋_GB2312" w:hAnsi="仿宋_GB2312" w:eastAsia="仿宋_GB2312"/>
          <w:b w:val="0"/>
          <w:sz w:val="32"/>
        </w:rPr>
        <w:t>2024年度政府采购支出总额36.25万元，其中：政府采购货物支出15.79万元、政府采购工程支出10.95万元、政府采购服务支出9.51万元。</w:t>
      </w:r>
    </w:p>
    <w:p w14:paraId="00BD5433">
      <w:pPr>
        <w:spacing w:line="580" w:lineRule="exact"/>
        <w:ind w:firstLine="640"/>
        <w:jc w:val="both"/>
      </w:pPr>
      <w:r>
        <w:rPr>
          <w:rFonts w:ascii="仿宋_GB2312" w:hAnsi="仿宋_GB2312" w:eastAsia="仿宋_GB2312"/>
          <w:b w:val="0"/>
          <w:sz w:val="32"/>
        </w:rPr>
        <w:t>授予中小企业合同金额36.25万元，占政府采购支出总额的100.00%，其中：授予小微企业合同金额36.02万元，占政府采购支出总额的99.37%。</w:t>
      </w:r>
    </w:p>
    <w:p w14:paraId="4CC8CE31">
      <w:pPr>
        <w:spacing w:line="640" w:lineRule="exact"/>
        <w:ind w:firstLine="640"/>
        <w:jc w:val="both"/>
        <w:outlineLvl w:val="3"/>
      </w:pPr>
      <w:r>
        <w:rPr>
          <w:rFonts w:ascii="楷体_GB2312" w:hAnsi="楷体_GB2312" w:eastAsia="楷体_GB2312"/>
          <w:b/>
          <w:sz w:val="32"/>
        </w:rPr>
        <w:t>（三）国有资产占用情况说明</w:t>
      </w:r>
    </w:p>
    <w:p w14:paraId="5051C101">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BCCD150">
      <w:pPr>
        <w:spacing w:line="640" w:lineRule="exact"/>
        <w:ind w:firstLine="640"/>
        <w:jc w:val="both"/>
        <w:outlineLvl w:val="2"/>
      </w:pPr>
      <w:r>
        <w:rPr>
          <w:rFonts w:ascii="黑体" w:hAnsi="黑体" w:eastAsia="黑体"/>
          <w:sz w:val="32"/>
        </w:rPr>
        <w:t>十一、预算绩效的情况说明</w:t>
      </w:r>
    </w:p>
    <w:p w14:paraId="3BE34BC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456.74万元，实际执行总额456.74万元；预算绩效评价项目1个，全年预算数63.80万元，全年执行数63.80万元。预算绩效管理取得的成效：1.管理制度健全性：本部门为加强预算管理，规范财务行为，已制定《霍尔果斯市第三幼儿园部门单位预算绩效管理工作实施办法》《霍尔果斯市第三幼儿园单位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促进事业发展。2.资金使</w:t>
      </w:r>
      <w:r>
        <w:rPr>
          <w:rFonts w:hint="eastAsia" w:ascii="仿宋_GB2312" w:hAnsi="仿宋_GB2312" w:eastAsia="仿宋_GB2312"/>
          <w:b w:val="0"/>
          <w:sz w:val="32"/>
          <w:lang w:eastAsia="zh-CN"/>
        </w:rPr>
        <w:t>用的</w:t>
      </w:r>
      <w:r>
        <w:rPr>
          <w:rFonts w:ascii="仿宋_GB2312" w:hAnsi="仿宋_GB2312" w:eastAsia="仿宋_GB2312"/>
          <w:b w:val="0"/>
          <w:sz w:val="32"/>
        </w:rPr>
        <w:t>合规性和安全性：部门预算资金使用符合国家法规和财务管理制度；预算资金拨付有完整的审批程序和手续，符合项目预算批复或合同规定的用途；不存在截留、挤占、挪用、虚列支出等情况，确保我部门预算资金规范运行。3.预决算信息公开性：我部门严格按照财政部门预算编制与预算调整的工作要求，在预算编制、分配依据充分的条件下，切实做好“先定目标再编预算”，确保预算分配结果合理。同时按照霍尔果斯市财政预决算信息公开工作要求，部门预算及绩效目标在霍尔果斯市政府网站公开，广泛接受社会监督。发现的问题及原因：相关绩效管理方面专业知识的系统性学习有待加强。各项指标的设置要进一步优化、完善，主要在细化、量化上改进。在绩效自评过程中，由</w:t>
      </w:r>
      <w:bookmarkStart w:id="0" w:name="_GoBack"/>
      <w:r>
        <w:rPr>
          <w:rFonts w:ascii="仿宋_GB2312" w:hAnsi="仿宋_GB2312" w:eastAsia="仿宋_GB2312"/>
          <w:b w:val="0"/>
          <w:sz w:val="32"/>
        </w:rPr>
        <w:t>于部</w:t>
      </w:r>
      <w:bookmarkEnd w:id="0"/>
      <w:r>
        <w:rPr>
          <w:rFonts w:ascii="仿宋_GB2312" w:hAnsi="仿宋_GB2312" w:eastAsia="仿宋_GB2312"/>
          <w:b w:val="0"/>
          <w:sz w:val="32"/>
        </w:rPr>
        <w:t>分人员缺乏相关绩效管理专业知识，自评价工作还存在自我审定的局限性，影响评价质量。下一步改进措施：1.项目前期做好可行性研究报告，更加细化实施方案，严格执行资金管理办法和财政资金管理制度，严格按照项目实施方案、招投标管理办法等稳步推进工作，根据自己项目的特点进行总结。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绩效人员水平。2.专门设定对绩效工作人员定职、定岗、定责等相关制度措施，进一步提升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3.进一步完善项目评价过程中有关数据和资料的收集、整理、审核及分析。项目启动时同步做好档案的归纳与整理，及时整理、收集、汇总，健全档案资料。项目后续管理有待进一步加强和跟踪。具体附整体支出绩效自评表，项目支出绩效自评表和评价报告。</w:t>
      </w:r>
    </w:p>
    <w:p w14:paraId="5669562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9E7AC30">
        <w:tc>
          <w:tcPr>
            <w:tcW w:w="8840" w:type="dxa"/>
            <w:gridSpan w:val="8"/>
            <w:vAlign w:val="center"/>
          </w:tcPr>
          <w:p w14:paraId="3E24AB53">
            <w:pPr>
              <w:jc w:val="center"/>
            </w:pPr>
            <w:r>
              <w:rPr>
                <w:rFonts w:ascii="宋体" w:hAnsi="宋体" w:eastAsia="宋体"/>
                <w:sz w:val="24"/>
              </w:rPr>
              <w:t>单位整体支出绩效自评表</w:t>
            </w:r>
          </w:p>
        </w:tc>
      </w:tr>
      <w:tr w14:paraId="278B4EF8">
        <w:tblPrEx>
          <w:tblCellMar>
            <w:top w:w="0" w:type="dxa"/>
            <w:left w:w="108" w:type="dxa"/>
            <w:bottom w:w="0" w:type="dxa"/>
            <w:right w:w="108" w:type="dxa"/>
          </w:tblCellMar>
        </w:tblPrEx>
        <w:tc>
          <w:tcPr>
            <w:tcW w:w="8840" w:type="dxa"/>
            <w:gridSpan w:val="8"/>
            <w:vAlign w:val="center"/>
          </w:tcPr>
          <w:p w14:paraId="4E622A93">
            <w:pPr>
              <w:jc w:val="center"/>
            </w:pPr>
            <w:r>
              <w:rPr>
                <w:rFonts w:ascii="宋体" w:hAnsi="宋体" w:eastAsia="宋体"/>
                <w:sz w:val="24"/>
              </w:rPr>
              <w:t>（2024年度）</w:t>
            </w:r>
          </w:p>
        </w:tc>
      </w:tr>
      <w:tr w14:paraId="3A93D09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D0DA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E6590">
            <w:pPr>
              <w:jc w:val="center"/>
            </w:pPr>
            <w:r>
              <w:rPr>
                <w:rFonts w:ascii="宋体" w:hAnsi="宋体" w:eastAsia="宋体"/>
                <w:sz w:val="16"/>
              </w:rPr>
              <w:t>霍尔果斯市第三幼儿园</w:t>
            </w:r>
          </w:p>
        </w:tc>
      </w:tr>
      <w:tr w14:paraId="715D0B4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3C4D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57F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7DC2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415D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C00A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0C2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D3B8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5EA8B">
            <w:pPr>
              <w:jc w:val="center"/>
            </w:pPr>
            <w:r>
              <w:rPr>
                <w:rFonts w:ascii="宋体" w:hAnsi="宋体" w:eastAsia="宋体"/>
                <w:sz w:val="16"/>
              </w:rPr>
              <w:t>得分</w:t>
            </w:r>
          </w:p>
        </w:tc>
      </w:tr>
      <w:tr w14:paraId="3B0F4C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6634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8BA9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416EB">
            <w:pPr>
              <w:jc w:val="center"/>
            </w:pPr>
            <w:r>
              <w:rPr>
                <w:rFonts w:ascii="宋体" w:hAnsi="宋体" w:eastAsia="宋体"/>
                <w:sz w:val="16"/>
              </w:rPr>
              <w:t>429.05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2504E">
            <w:pPr>
              <w:jc w:val="center"/>
            </w:pPr>
            <w:r>
              <w:rPr>
                <w:rFonts w:ascii="宋体" w:hAnsi="宋体" w:eastAsia="宋体"/>
                <w:sz w:val="16"/>
              </w:rPr>
              <w:t>456.74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4E7A2">
            <w:pPr>
              <w:jc w:val="center"/>
            </w:pPr>
            <w:r>
              <w:rPr>
                <w:rFonts w:ascii="宋体" w:hAnsi="宋体" w:eastAsia="宋体"/>
                <w:sz w:val="16"/>
              </w:rPr>
              <w:t>456.74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9E12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1706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2ECEE">
            <w:pPr>
              <w:jc w:val="center"/>
            </w:pPr>
            <w:r>
              <w:rPr>
                <w:rFonts w:ascii="宋体" w:hAnsi="宋体" w:eastAsia="宋体"/>
                <w:sz w:val="16"/>
              </w:rPr>
              <w:t>10</w:t>
            </w:r>
          </w:p>
        </w:tc>
      </w:tr>
      <w:tr w14:paraId="736A7D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0595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14D5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1CA0C">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89D2B">
            <w:pPr>
              <w:jc w:val="center"/>
            </w:pPr>
            <w:r>
              <w:rPr>
                <w:rFonts w:ascii="宋体" w:hAnsi="宋体" w:eastAsia="宋体"/>
                <w:sz w:val="16"/>
              </w:rPr>
              <w:t>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02754">
            <w:pPr>
              <w:jc w:val="center"/>
            </w:pPr>
            <w:r>
              <w:rPr>
                <w:rFonts w:ascii="宋体" w:hAnsi="宋体" w:eastAsia="宋体"/>
                <w:sz w:val="16"/>
              </w:rPr>
              <w:t>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66E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501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3A564">
            <w:pPr>
              <w:jc w:val="center"/>
            </w:pPr>
            <w:r>
              <w:rPr>
                <w:rFonts w:ascii="宋体" w:hAnsi="宋体" w:eastAsia="宋体"/>
                <w:sz w:val="16"/>
              </w:rPr>
              <w:t>-</w:t>
            </w:r>
          </w:p>
        </w:tc>
      </w:tr>
      <w:tr w14:paraId="59333A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6CA18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DCB6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BEB53">
            <w:pPr>
              <w:jc w:val="center"/>
            </w:pPr>
            <w:r>
              <w:rPr>
                <w:rFonts w:ascii="宋体" w:hAnsi="宋体" w:eastAsia="宋体"/>
                <w:sz w:val="16"/>
              </w:rPr>
              <w:t>418.75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374B9">
            <w:pPr>
              <w:jc w:val="center"/>
            </w:pPr>
            <w:r>
              <w:rPr>
                <w:rFonts w:ascii="宋体" w:hAnsi="宋体" w:eastAsia="宋体"/>
                <w:sz w:val="16"/>
              </w:rPr>
              <w:t>446.67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82416">
            <w:pPr>
              <w:jc w:val="center"/>
            </w:pPr>
            <w:r>
              <w:rPr>
                <w:rFonts w:ascii="宋体" w:hAnsi="宋体" w:eastAsia="宋体"/>
                <w:sz w:val="16"/>
              </w:rPr>
              <w:t>446.67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1BD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058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01EA9">
            <w:pPr>
              <w:jc w:val="center"/>
            </w:pPr>
            <w:r>
              <w:rPr>
                <w:rFonts w:ascii="宋体" w:hAnsi="宋体" w:eastAsia="宋体"/>
                <w:sz w:val="16"/>
              </w:rPr>
              <w:t>-</w:t>
            </w:r>
          </w:p>
        </w:tc>
      </w:tr>
      <w:tr w14:paraId="1C501C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1402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77E8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6DFD4">
            <w:pPr>
              <w:jc w:val="center"/>
            </w:pPr>
            <w:r>
              <w:rPr>
                <w:rFonts w:ascii="宋体" w:hAnsi="宋体" w:eastAsia="宋体"/>
                <w:sz w:val="16"/>
              </w:rPr>
              <w:t>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4252C">
            <w:pPr>
              <w:jc w:val="center"/>
            </w:pPr>
            <w:r>
              <w:rPr>
                <w:rFonts w:ascii="宋体" w:hAnsi="宋体" w:eastAsia="宋体"/>
                <w:sz w:val="16"/>
              </w:rPr>
              <w:t>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870F0">
            <w:pPr>
              <w:jc w:val="center"/>
            </w:pPr>
            <w:r>
              <w:rPr>
                <w:rFonts w:ascii="宋体" w:hAnsi="宋体" w:eastAsia="宋体"/>
                <w:sz w:val="16"/>
              </w:rPr>
              <w:t>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47F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B4F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8CC76">
            <w:pPr>
              <w:jc w:val="center"/>
            </w:pPr>
            <w:r>
              <w:rPr>
                <w:rFonts w:ascii="宋体" w:hAnsi="宋体" w:eastAsia="宋体"/>
                <w:sz w:val="16"/>
              </w:rPr>
              <w:t>-</w:t>
            </w:r>
          </w:p>
        </w:tc>
      </w:tr>
      <w:tr w14:paraId="348F01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5745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190E1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968381">
            <w:pPr>
              <w:jc w:val="center"/>
            </w:pPr>
            <w:r>
              <w:rPr>
                <w:rFonts w:ascii="宋体" w:hAnsi="宋体" w:eastAsia="宋体"/>
                <w:sz w:val="16"/>
              </w:rPr>
              <w:t>实际完成情况</w:t>
            </w:r>
          </w:p>
        </w:tc>
      </w:tr>
      <w:tr w14:paraId="4D406A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84FD6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F8869">
            <w:pPr>
              <w:jc w:val="both"/>
            </w:pPr>
            <w:r>
              <w:rPr>
                <w:rFonts w:ascii="宋体" w:hAnsi="宋体" w:eastAsia="宋体"/>
                <w:sz w:val="16"/>
              </w:rPr>
              <w:t>坚持以习近平新时代中国特色社会主义思想为指导，坚持以党的二十大精神为引领，深刻领悟党中央关于教育的新定位、</w:t>
            </w:r>
            <w:r>
              <w:rPr>
                <w:rFonts w:hint="eastAsia" w:ascii="宋体" w:hAnsi="宋体"/>
                <w:sz w:val="16"/>
                <w:lang w:eastAsia="zh-CN"/>
              </w:rPr>
              <w:t>新部署新要求</w:t>
            </w:r>
            <w:r>
              <w:rPr>
                <w:rFonts w:ascii="宋体" w:hAnsi="宋体" w:eastAsia="宋体"/>
                <w:sz w:val="16"/>
              </w:rPr>
              <w:t>。聚焦重点任务，抓住关键环节，推动学前教育高质量发展取得新进步新成效。深入贯彻党的二十大精神，贯彻落实中央、自治区党委决策部署的各项重大工作决定和安排，扩大学前教育资源，保障学前教育发展、</w:t>
            </w:r>
            <w:r>
              <w:rPr>
                <w:rFonts w:hint="eastAsia" w:ascii="宋体" w:hAnsi="宋体"/>
                <w:sz w:val="16"/>
                <w:lang w:eastAsia="zh-CN"/>
              </w:rPr>
              <w:t>保障</w:t>
            </w:r>
            <w:r>
              <w:rPr>
                <w:rFonts w:ascii="宋体" w:hAnsi="宋体" w:eastAsia="宋体"/>
                <w:sz w:val="16"/>
              </w:rPr>
              <w:t>教师培训覆盖率，提升幼小衔接巩固率，强化监管，花好每一份钱，把教育经费用到最关键处，切实提高教育经费使用效益。</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B5C739">
            <w:pPr>
              <w:jc w:val="both"/>
            </w:pPr>
            <w:r>
              <w:rPr>
                <w:rFonts w:ascii="宋体" w:hAnsi="宋体" w:eastAsia="宋体"/>
                <w:sz w:val="16"/>
              </w:rPr>
              <w:t>完成了法治宣传教育次数4次，教研活动开展次数4次，教师普通话达标率95%，联盟捆绑开展次数2次，幼小</w:t>
            </w:r>
            <w:r>
              <w:rPr>
                <w:rFonts w:hint="eastAsia" w:ascii="宋体" w:hAnsi="宋体"/>
                <w:sz w:val="16"/>
                <w:lang w:eastAsia="zh-CN"/>
              </w:rPr>
              <w:t>衔接</w:t>
            </w:r>
            <w:r>
              <w:rPr>
                <w:rFonts w:ascii="宋体" w:hAnsi="宋体" w:eastAsia="宋体"/>
                <w:sz w:val="16"/>
              </w:rPr>
              <w:t>巩固率95%，教师培训覆盖率95%，完成此项活动后提高幼儿园保教质量，加强教育教学技能，提高老师的业务素质。</w:t>
            </w:r>
          </w:p>
        </w:tc>
      </w:tr>
      <w:tr w14:paraId="6C10911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1A8C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C0B9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4B0E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808D8">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81F6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6B5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F2B8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193F1">
            <w:pPr>
              <w:jc w:val="center"/>
            </w:pPr>
            <w:r>
              <w:rPr>
                <w:rFonts w:ascii="宋体" w:hAnsi="宋体" w:eastAsia="宋体"/>
                <w:sz w:val="16"/>
              </w:rPr>
              <w:t>得分</w:t>
            </w:r>
          </w:p>
        </w:tc>
      </w:tr>
      <w:tr w14:paraId="1F70A3B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4D2D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4EA9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5761E">
            <w:pPr>
              <w:jc w:val="center"/>
            </w:pPr>
            <w:r>
              <w:rPr>
                <w:rFonts w:hint="eastAsia" w:ascii="宋体" w:hAnsi="宋体"/>
                <w:sz w:val="16"/>
                <w:lang w:eastAsia="zh-CN"/>
              </w:rPr>
              <w:t>法治宣传教育</w:t>
            </w:r>
            <w:r>
              <w:rPr>
                <w:rFonts w:ascii="宋体" w:hAnsi="宋体" w:eastAsia="宋体"/>
                <w:sz w:val="16"/>
              </w:rPr>
              <w:t>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23189">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95B75">
            <w:pPr>
              <w:jc w:val="center"/>
            </w:pPr>
            <w:r>
              <w:rPr>
                <w:rFonts w:ascii="宋体" w:hAnsi="宋体" w:eastAsia="宋体"/>
                <w:sz w:val="16"/>
              </w:rPr>
              <w:t>霍尔果斯市第三幼儿园2024年园务工作计划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A77E7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73DD5">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35127">
            <w:pPr>
              <w:jc w:val="center"/>
            </w:pPr>
            <w:r>
              <w:rPr>
                <w:rFonts w:ascii="宋体" w:hAnsi="宋体" w:eastAsia="宋体"/>
                <w:sz w:val="16"/>
              </w:rPr>
              <w:t>15</w:t>
            </w:r>
          </w:p>
        </w:tc>
      </w:tr>
      <w:tr w14:paraId="44E080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90800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D641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E86EF">
            <w:pPr>
              <w:jc w:val="center"/>
            </w:pPr>
            <w:r>
              <w:rPr>
                <w:rFonts w:ascii="宋体" w:hAnsi="宋体" w:eastAsia="宋体"/>
                <w:sz w:val="16"/>
              </w:rPr>
              <w:t>教研活动开展次数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C28F9">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BAADC">
            <w:pPr>
              <w:jc w:val="center"/>
            </w:pPr>
            <w:r>
              <w:rPr>
                <w:rFonts w:ascii="宋体" w:hAnsi="宋体" w:eastAsia="宋体"/>
                <w:sz w:val="16"/>
              </w:rPr>
              <w:t>霍尔果斯市第三幼儿园2024年园务工作计划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DFCF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8BDD5">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6A322">
            <w:pPr>
              <w:jc w:val="center"/>
            </w:pPr>
            <w:r>
              <w:rPr>
                <w:rFonts w:ascii="宋体" w:hAnsi="宋体" w:eastAsia="宋体"/>
                <w:sz w:val="16"/>
              </w:rPr>
              <w:t>15</w:t>
            </w:r>
          </w:p>
        </w:tc>
      </w:tr>
      <w:tr w14:paraId="502A8B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8370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F4D0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2958B">
            <w:pPr>
              <w:jc w:val="center"/>
            </w:pPr>
            <w:r>
              <w:rPr>
                <w:rFonts w:ascii="宋体" w:hAnsi="宋体" w:eastAsia="宋体"/>
                <w:sz w:val="16"/>
              </w:rPr>
              <w:t>教师普通话达标率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4652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CDB62">
            <w:pPr>
              <w:jc w:val="center"/>
            </w:pPr>
            <w:r>
              <w:rPr>
                <w:rFonts w:ascii="宋体" w:hAnsi="宋体" w:eastAsia="宋体"/>
                <w:sz w:val="16"/>
              </w:rPr>
              <w:t>霍尔果斯市第三幼儿园2024年园务工作计划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7095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2CFD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E7894">
            <w:pPr>
              <w:jc w:val="center"/>
            </w:pPr>
            <w:r>
              <w:rPr>
                <w:rFonts w:ascii="宋体" w:hAnsi="宋体" w:eastAsia="宋体"/>
                <w:sz w:val="16"/>
              </w:rPr>
              <w:t>15</w:t>
            </w:r>
          </w:p>
        </w:tc>
      </w:tr>
      <w:tr w14:paraId="71C706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AD27D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0EBD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08EF9">
            <w:pPr>
              <w:jc w:val="center"/>
            </w:pPr>
            <w:r>
              <w:rPr>
                <w:rFonts w:ascii="宋体" w:hAnsi="宋体" w:eastAsia="宋体"/>
                <w:sz w:val="16"/>
              </w:rPr>
              <w:t>联盟捆绑开展次数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C7B6A">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96813">
            <w:pPr>
              <w:jc w:val="center"/>
            </w:pPr>
            <w:r>
              <w:rPr>
                <w:rFonts w:ascii="宋体" w:hAnsi="宋体" w:eastAsia="宋体"/>
                <w:sz w:val="16"/>
              </w:rPr>
              <w:t>霍尔果斯市第三幼儿园2024园务工作计划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22B6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7B8E1">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94995">
            <w:pPr>
              <w:jc w:val="center"/>
            </w:pPr>
            <w:r>
              <w:rPr>
                <w:rFonts w:ascii="宋体" w:hAnsi="宋体" w:eastAsia="宋体"/>
                <w:sz w:val="16"/>
              </w:rPr>
              <w:t>15</w:t>
            </w:r>
          </w:p>
        </w:tc>
      </w:tr>
      <w:tr w14:paraId="28E71F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78E70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E25F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62849">
            <w:pPr>
              <w:jc w:val="center"/>
            </w:pPr>
            <w:r>
              <w:rPr>
                <w:rFonts w:ascii="宋体" w:hAnsi="宋体" w:eastAsia="宋体"/>
                <w:sz w:val="16"/>
              </w:rPr>
              <w:t>幼小</w:t>
            </w:r>
            <w:r>
              <w:rPr>
                <w:rFonts w:hint="eastAsia" w:ascii="宋体" w:hAnsi="宋体"/>
                <w:sz w:val="16"/>
                <w:lang w:eastAsia="zh-CN"/>
              </w:rPr>
              <w:t>衔接</w:t>
            </w:r>
            <w:r>
              <w:rPr>
                <w:rFonts w:ascii="宋体" w:hAnsi="宋体" w:eastAsia="宋体"/>
                <w:sz w:val="16"/>
              </w:rPr>
              <w:t>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BF65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5F8D5">
            <w:pPr>
              <w:jc w:val="center"/>
            </w:pPr>
            <w:r>
              <w:rPr>
                <w:rFonts w:ascii="宋体" w:hAnsi="宋体" w:eastAsia="宋体"/>
                <w:sz w:val="16"/>
              </w:rPr>
              <w:t>霍尔果斯市第三幼儿园2024年园务工作计划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6B4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1F13F">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1B07B">
            <w:pPr>
              <w:jc w:val="center"/>
            </w:pPr>
            <w:r>
              <w:rPr>
                <w:rFonts w:ascii="宋体" w:hAnsi="宋体" w:eastAsia="宋体"/>
                <w:sz w:val="16"/>
              </w:rPr>
              <w:t>15</w:t>
            </w:r>
          </w:p>
        </w:tc>
      </w:tr>
      <w:tr w14:paraId="55FF1A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10448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CE05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A8735">
            <w:pPr>
              <w:jc w:val="center"/>
            </w:pPr>
            <w:r>
              <w:rPr>
                <w:rFonts w:ascii="宋体" w:hAnsi="宋体" w:eastAsia="宋体"/>
                <w:sz w:val="16"/>
              </w:rPr>
              <w:t>教师培训覆盖率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9EC2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E5558">
            <w:pPr>
              <w:jc w:val="center"/>
            </w:pPr>
            <w:r>
              <w:rPr>
                <w:rFonts w:ascii="宋体" w:hAnsi="宋体" w:eastAsia="宋体"/>
                <w:sz w:val="16"/>
              </w:rPr>
              <w:t>霍尔果斯市第三幼儿园2024年园务工作计划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4E3C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500F5">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282EA">
            <w:pPr>
              <w:jc w:val="center"/>
            </w:pPr>
            <w:r>
              <w:rPr>
                <w:rFonts w:ascii="宋体" w:hAnsi="宋体" w:eastAsia="宋体"/>
                <w:sz w:val="16"/>
              </w:rPr>
              <w:t>15</w:t>
            </w:r>
          </w:p>
        </w:tc>
      </w:tr>
    </w:tbl>
    <w:p w14:paraId="1EFD5C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93"/>
        <w:gridCol w:w="471"/>
        <w:gridCol w:w="632"/>
        <w:gridCol w:w="632"/>
        <w:gridCol w:w="776"/>
        <w:gridCol w:w="632"/>
        <w:gridCol w:w="632"/>
        <w:gridCol w:w="632"/>
        <w:gridCol w:w="632"/>
        <w:gridCol w:w="632"/>
        <w:gridCol w:w="632"/>
      </w:tblGrid>
      <w:tr w14:paraId="5BCB5F09">
        <w:tblPrEx>
          <w:tblCellMar>
            <w:top w:w="0" w:type="dxa"/>
            <w:left w:w="108" w:type="dxa"/>
            <w:bottom w:w="0" w:type="dxa"/>
            <w:right w:w="108" w:type="dxa"/>
          </w:tblCellMar>
        </w:tblPrEx>
        <w:tc>
          <w:tcPr>
            <w:tcW w:w="8992" w:type="dxa"/>
            <w:gridSpan w:val="14"/>
            <w:vAlign w:val="center"/>
          </w:tcPr>
          <w:p w14:paraId="46E42D6B">
            <w:pPr>
              <w:jc w:val="center"/>
            </w:pPr>
            <w:r>
              <w:rPr>
                <w:rFonts w:ascii="宋体" w:hAnsi="宋体" w:eastAsia="宋体"/>
                <w:sz w:val="24"/>
              </w:rPr>
              <w:t>项目支出绩效自评表</w:t>
            </w:r>
          </w:p>
        </w:tc>
      </w:tr>
      <w:tr w14:paraId="3D38E833">
        <w:tblPrEx>
          <w:tblCellMar>
            <w:top w:w="0" w:type="dxa"/>
            <w:left w:w="108" w:type="dxa"/>
            <w:bottom w:w="0" w:type="dxa"/>
            <w:right w:w="108" w:type="dxa"/>
          </w:tblCellMar>
        </w:tblPrEx>
        <w:tc>
          <w:tcPr>
            <w:tcW w:w="8992" w:type="dxa"/>
            <w:gridSpan w:val="14"/>
            <w:vAlign w:val="center"/>
          </w:tcPr>
          <w:p w14:paraId="229849CA">
            <w:pPr>
              <w:jc w:val="center"/>
            </w:pPr>
            <w:r>
              <w:rPr>
                <w:rFonts w:ascii="宋体" w:hAnsi="宋体" w:eastAsia="宋体"/>
                <w:sz w:val="24"/>
              </w:rPr>
              <w:t>(2024年度)</w:t>
            </w:r>
          </w:p>
        </w:tc>
      </w:tr>
      <w:tr w14:paraId="4C7258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4225">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43B3DF">
            <w:pPr>
              <w:jc w:val="center"/>
            </w:pPr>
            <w:r>
              <w:rPr>
                <w:rFonts w:ascii="宋体" w:hAnsi="宋体" w:eastAsia="宋体"/>
                <w:sz w:val="16"/>
              </w:rPr>
              <w:t>城市学前教育幼儿资助伙食、取暖费、幼儿资助公用经费</w:t>
            </w:r>
          </w:p>
        </w:tc>
      </w:tr>
      <w:tr w14:paraId="77FCBE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642C">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3AD11">
            <w:pPr>
              <w:jc w:val="center"/>
            </w:pPr>
            <w:r>
              <w:rPr>
                <w:rFonts w:ascii="宋体" w:hAnsi="宋体" w:eastAsia="宋体"/>
                <w:sz w:val="16"/>
              </w:rPr>
              <w:t>霍尔果斯市第三幼儿园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BD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215D3A">
            <w:pPr>
              <w:jc w:val="center"/>
            </w:pPr>
            <w:r>
              <w:rPr>
                <w:rFonts w:ascii="宋体" w:hAnsi="宋体" w:eastAsia="宋体"/>
                <w:sz w:val="16"/>
              </w:rPr>
              <w:t>霍尔果斯市第三幼儿园</w:t>
            </w:r>
          </w:p>
        </w:tc>
      </w:tr>
      <w:tr w14:paraId="4BA29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B2A7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6F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6F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87B8">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B7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4EB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61B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CE16">
            <w:pPr>
              <w:jc w:val="center"/>
            </w:pPr>
            <w:r>
              <w:rPr>
                <w:rFonts w:ascii="宋体" w:hAnsi="宋体" w:eastAsia="宋体"/>
                <w:sz w:val="16"/>
              </w:rPr>
              <w:t>得分</w:t>
            </w:r>
          </w:p>
        </w:tc>
      </w:tr>
      <w:tr w14:paraId="5A0BE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57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FEB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EF52">
            <w:pPr>
              <w:jc w:val="center"/>
            </w:pPr>
            <w:r>
              <w:rPr>
                <w:rFonts w:ascii="宋体" w:hAnsi="宋体" w:eastAsia="宋体"/>
                <w:sz w:val="16"/>
              </w:rPr>
              <w:t>63.80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419BB">
            <w:pPr>
              <w:jc w:val="center"/>
            </w:pPr>
            <w:r>
              <w:rPr>
                <w:rFonts w:ascii="宋体" w:hAnsi="宋体" w:eastAsia="宋体"/>
                <w:sz w:val="16"/>
              </w:rPr>
              <w:t>63.80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574F">
            <w:pPr>
              <w:jc w:val="center"/>
            </w:pPr>
            <w:r>
              <w:rPr>
                <w:rFonts w:ascii="宋体" w:hAnsi="宋体" w:eastAsia="宋体"/>
                <w:sz w:val="16"/>
              </w:rPr>
              <w:t>63.80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0B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57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E387">
            <w:pPr>
              <w:jc w:val="center"/>
            </w:pPr>
            <w:r>
              <w:rPr>
                <w:rFonts w:ascii="宋体" w:hAnsi="宋体" w:eastAsia="宋体"/>
                <w:sz w:val="16"/>
              </w:rPr>
              <w:t>10.00</w:t>
            </w:r>
          </w:p>
        </w:tc>
      </w:tr>
      <w:tr w14:paraId="2A017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E9C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D8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3DA2">
            <w:pPr>
              <w:jc w:val="center"/>
            </w:pPr>
            <w:r>
              <w:rPr>
                <w:rFonts w:ascii="宋体" w:hAnsi="宋体" w:eastAsia="宋体"/>
                <w:sz w:val="16"/>
              </w:rPr>
              <w:t>63.80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6E32C">
            <w:pPr>
              <w:jc w:val="center"/>
            </w:pPr>
            <w:r>
              <w:rPr>
                <w:rFonts w:ascii="宋体" w:hAnsi="宋体" w:eastAsia="宋体"/>
                <w:sz w:val="16"/>
              </w:rPr>
              <w:t>63.80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F8D3">
            <w:pPr>
              <w:jc w:val="center"/>
            </w:pPr>
            <w:r>
              <w:rPr>
                <w:rFonts w:ascii="宋体" w:hAnsi="宋体" w:eastAsia="宋体"/>
                <w:sz w:val="16"/>
              </w:rPr>
              <w:t>63.80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7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1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A060">
            <w:pPr>
              <w:jc w:val="center"/>
            </w:pPr>
            <w:r>
              <w:rPr>
                <w:rFonts w:ascii="宋体" w:hAnsi="宋体" w:eastAsia="宋体"/>
                <w:sz w:val="16"/>
              </w:rPr>
              <w:t>—</w:t>
            </w:r>
          </w:p>
        </w:tc>
      </w:tr>
      <w:tr w14:paraId="0788E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D7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BEC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70B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CC55">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B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2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B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2A6F">
            <w:pPr>
              <w:jc w:val="center"/>
            </w:pPr>
            <w:r>
              <w:rPr>
                <w:rFonts w:ascii="宋体" w:hAnsi="宋体" w:eastAsia="宋体"/>
                <w:sz w:val="16"/>
              </w:rPr>
              <w:t>—</w:t>
            </w:r>
          </w:p>
        </w:tc>
      </w:tr>
      <w:tr w14:paraId="54B8A1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9CA9C">
            <w:pPr>
              <w:jc w:val="center"/>
            </w:pPr>
            <w:r>
              <w:rPr>
                <w:rFonts w:ascii="宋体" w:hAnsi="宋体" w:eastAsia="宋体"/>
                <w:sz w:val="16"/>
              </w:rPr>
              <w:t>年度总体目标</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8D4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2516E">
            <w:pPr>
              <w:jc w:val="center"/>
            </w:pPr>
            <w:r>
              <w:rPr>
                <w:rFonts w:ascii="宋体" w:hAnsi="宋体" w:eastAsia="宋体"/>
                <w:sz w:val="16"/>
              </w:rPr>
              <w:t>实际完成情况</w:t>
            </w:r>
          </w:p>
        </w:tc>
      </w:tr>
      <w:tr w14:paraId="0AF79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2132C"/>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853AD">
            <w:pPr>
              <w:jc w:val="both"/>
            </w:pPr>
            <w:r>
              <w:rPr>
                <w:rFonts w:ascii="宋体" w:hAnsi="宋体" w:eastAsia="宋体"/>
                <w:sz w:val="16"/>
              </w:rPr>
              <w:t>《关于建立自治区公办普通高中和城市学前生均公用经费财政拨款制度的通知》(新财教</w:t>
            </w:r>
            <w:r>
              <w:rPr>
                <w:rFonts w:hint="eastAsia" w:ascii="宋体" w:hAnsi="宋体"/>
                <w:sz w:val="16"/>
                <w:lang w:eastAsia="zh-CN"/>
              </w:rPr>
              <w:t>〔2020〕69号</w:t>
            </w:r>
            <w:r>
              <w:rPr>
                <w:rFonts w:ascii="宋体" w:hAnsi="宋体" w:eastAsia="宋体"/>
                <w:sz w:val="16"/>
              </w:rPr>
              <w:t>)和有关法律制度规定，制定本办法。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F5BA5">
            <w:pPr>
              <w:jc w:val="both"/>
            </w:pPr>
            <w:r>
              <w:rPr>
                <w:rFonts w:ascii="宋体" w:hAnsi="宋体" w:eastAsia="宋体"/>
                <w:sz w:val="16"/>
              </w:rPr>
              <w:br w:type="textWrapping"/>
            </w:r>
            <w:r>
              <w:rPr>
                <w:rFonts w:ascii="宋体" w:hAnsi="宋体" w:eastAsia="宋体"/>
                <w:sz w:val="16"/>
              </w:rPr>
              <w:t>霍尔果斯市第三幼儿园已保障294名农村学前三年适龄幼儿，幼儿伙食费、取暖费、公用经费63.8万元，幼儿园保障性经费投入后，效果显著。他改善了办园条件，师资水平得以提升，能开展专业培训，让教师教学更科学。还丰富了课程资源，为幼儿打造优质成长环境，助力其全面发展。</w:t>
            </w:r>
          </w:p>
        </w:tc>
      </w:tr>
      <w:tr w14:paraId="3FE55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88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72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5A41">
            <w:pPr>
              <w:jc w:val="center"/>
            </w:pPr>
            <w:r>
              <w:rPr>
                <w:rFonts w:ascii="宋体" w:hAnsi="宋体" w:eastAsia="宋体"/>
                <w:sz w:val="16"/>
              </w:rPr>
              <w:t>二级指标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604E3B42">
            <w:pPr>
              <w:jc w:val="center"/>
            </w:pPr>
            <w:r>
              <w:rPr>
                <w:rFonts w:ascii="宋体" w:hAnsi="宋体" w:eastAsia="宋体"/>
                <w:sz w:val="16"/>
              </w:rPr>
              <w:t>三级指标</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4ACDA3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83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02CA">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968D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7BC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62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26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63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BE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46C7">
            <w:pPr>
              <w:jc w:val="center"/>
            </w:pPr>
            <w:r>
              <w:rPr>
                <w:rFonts w:ascii="宋体" w:hAnsi="宋体" w:eastAsia="宋体"/>
                <w:sz w:val="16"/>
              </w:rPr>
              <w:t>偏差原因分析及改进措施</w:t>
            </w:r>
          </w:p>
        </w:tc>
      </w:tr>
      <w:tr w14:paraId="280113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DEE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51A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382B">
            <w:pPr>
              <w:jc w:val="center"/>
            </w:pPr>
            <w:r>
              <w:rPr>
                <w:rFonts w:ascii="宋体" w:hAnsi="宋体" w:eastAsia="宋体"/>
                <w:sz w:val="16"/>
              </w:rPr>
              <w:t>数量指标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5A634DD0">
            <w:pPr>
              <w:jc w:val="center"/>
            </w:pPr>
            <w:r>
              <w:rPr>
                <w:rFonts w:ascii="宋体" w:hAnsi="宋体" w:eastAsia="宋体"/>
                <w:sz w:val="16"/>
              </w:rPr>
              <w:t>保障农村学前三年适龄幼儿人数</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2BDEF6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7E93">
            <w:pPr>
              <w:jc w:val="center"/>
            </w:pPr>
            <w:r>
              <w:rPr>
                <w:rFonts w:ascii="宋体" w:hAnsi="宋体" w:eastAsia="宋体"/>
                <w:sz w:val="16"/>
              </w:rPr>
              <w:t>&gt;=294人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2598">
            <w:pPr>
              <w:jc w:val="center"/>
            </w:pPr>
            <w:r>
              <w:rPr>
                <w:rFonts w:ascii="宋体" w:hAnsi="宋体" w:eastAsia="宋体"/>
                <w:sz w:val="16"/>
              </w:rPr>
              <w:t>294人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1D9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39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85A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2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7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7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D64E">
            <w:pPr>
              <w:jc w:val="center"/>
            </w:pPr>
          </w:p>
        </w:tc>
      </w:tr>
      <w:tr w14:paraId="43443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09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D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473A">
            <w:pPr>
              <w:jc w:val="center"/>
            </w:pPr>
            <w:r>
              <w:rPr>
                <w:rFonts w:ascii="宋体" w:hAnsi="宋体" w:eastAsia="宋体"/>
                <w:sz w:val="16"/>
              </w:rPr>
              <w:t>质量指标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307BB0C6">
            <w:pPr>
              <w:jc w:val="center"/>
            </w:pPr>
            <w:r>
              <w:rPr>
                <w:rFonts w:ascii="宋体" w:hAnsi="宋体" w:eastAsia="宋体"/>
                <w:sz w:val="16"/>
              </w:rPr>
              <w:t>学前国语教育覆盖率</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414AC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8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271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499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F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F57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9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4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A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CD1">
            <w:pPr>
              <w:jc w:val="center"/>
            </w:pPr>
          </w:p>
        </w:tc>
      </w:tr>
      <w:tr w14:paraId="65DABEE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6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BA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842A">
            <w:pPr>
              <w:jc w:val="center"/>
            </w:pPr>
            <w:r>
              <w:rPr>
                <w:rFonts w:ascii="宋体" w:hAnsi="宋体" w:eastAsia="宋体"/>
                <w:sz w:val="16"/>
              </w:rPr>
              <w:t>时效指标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63CCE4A7">
            <w:pPr>
              <w:jc w:val="center"/>
            </w:pPr>
            <w:r>
              <w:rPr>
                <w:rFonts w:ascii="宋体" w:hAnsi="宋体" w:eastAsia="宋体"/>
                <w:sz w:val="16"/>
              </w:rPr>
              <w:t>资金支出情况</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2C0B6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8397">
            <w:pPr>
              <w:jc w:val="center"/>
            </w:pPr>
            <w:r>
              <w:rPr>
                <w:rFonts w:ascii="宋体" w:hAnsi="宋体" w:eastAsia="宋体"/>
                <w:sz w:val="16"/>
              </w:rPr>
              <w:t>=12月底前支出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EBF5">
            <w:pPr>
              <w:jc w:val="center"/>
            </w:pPr>
            <w:r>
              <w:rPr>
                <w:rFonts w:ascii="宋体" w:hAnsi="宋体" w:eastAsia="宋体"/>
                <w:sz w:val="16"/>
              </w:rPr>
              <w:t>12月底支出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789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4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8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6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5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D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CC02">
            <w:pPr>
              <w:jc w:val="center"/>
            </w:pPr>
          </w:p>
        </w:tc>
      </w:tr>
      <w:tr w14:paraId="56B51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E0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900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DF311">
            <w:pPr>
              <w:jc w:val="center"/>
            </w:pPr>
            <w:r>
              <w:rPr>
                <w:rFonts w:ascii="宋体" w:hAnsi="宋体" w:eastAsia="宋体"/>
                <w:sz w:val="16"/>
              </w:rPr>
              <w:t>经济成本指标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4AEC0DF8">
            <w:pPr>
              <w:jc w:val="center"/>
            </w:pPr>
            <w:r>
              <w:rPr>
                <w:rFonts w:ascii="宋体" w:hAnsi="宋体" w:eastAsia="宋体"/>
                <w:sz w:val="16"/>
              </w:rPr>
              <w:t>幼儿伙食费</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67F94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CB0B">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8FA7">
            <w:pPr>
              <w:jc w:val="center"/>
            </w:pPr>
            <w:r>
              <w:rPr>
                <w:rFonts w:ascii="宋体" w:hAnsi="宋体" w:eastAsia="宋体"/>
                <w:sz w:val="16"/>
              </w:rPr>
              <w:t>1450元/生/年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1A0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74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94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7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2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D6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87EA">
            <w:pPr>
              <w:jc w:val="center"/>
            </w:pPr>
          </w:p>
        </w:tc>
      </w:tr>
      <w:tr w14:paraId="71347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2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C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1AD17"/>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38BDE6F6">
            <w:pPr>
              <w:jc w:val="center"/>
            </w:pPr>
            <w:r>
              <w:rPr>
                <w:rFonts w:ascii="宋体" w:hAnsi="宋体" w:eastAsia="宋体"/>
                <w:sz w:val="16"/>
              </w:rPr>
              <w:t>幼儿园取暖费</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5FC569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7C50">
            <w:pPr>
              <w:jc w:val="center"/>
            </w:pPr>
            <w:r>
              <w:rPr>
                <w:rFonts w:ascii="宋体" w:hAnsi="宋体" w:eastAsia="宋体"/>
                <w:sz w:val="16"/>
              </w:rPr>
              <w:t>=120元/生/每年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594A">
            <w:pPr>
              <w:jc w:val="center"/>
            </w:pPr>
            <w:r>
              <w:rPr>
                <w:rFonts w:ascii="宋体" w:hAnsi="宋体" w:eastAsia="宋体"/>
                <w:sz w:val="16"/>
              </w:rPr>
              <w:t>120元/生/每年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A71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9D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44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E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3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D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0FA7">
            <w:pPr>
              <w:jc w:val="center"/>
            </w:pPr>
          </w:p>
        </w:tc>
      </w:tr>
      <w:tr w14:paraId="298B2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1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C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7671"/>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63C41807">
            <w:pPr>
              <w:jc w:val="center"/>
            </w:pPr>
            <w:r>
              <w:rPr>
                <w:rFonts w:ascii="宋体" w:hAnsi="宋体" w:eastAsia="宋体"/>
                <w:sz w:val="16"/>
              </w:rPr>
              <w:t>公用经费</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52A661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7FCF">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E3C3">
            <w:pPr>
              <w:jc w:val="center"/>
            </w:pPr>
            <w:r>
              <w:rPr>
                <w:rFonts w:ascii="宋体" w:hAnsi="宋体" w:eastAsia="宋体"/>
                <w:sz w:val="16"/>
              </w:rPr>
              <w:t>600元/生/年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6DE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D5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6A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F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7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A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5C27">
            <w:pPr>
              <w:jc w:val="center"/>
            </w:pPr>
          </w:p>
        </w:tc>
      </w:tr>
      <w:tr w14:paraId="5A97A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D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99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919B">
            <w:pPr>
              <w:jc w:val="center"/>
            </w:pPr>
            <w:r>
              <w:rPr>
                <w:rFonts w:ascii="宋体" w:hAnsi="宋体" w:eastAsia="宋体"/>
                <w:sz w:val="16"/>
              </w:rPr>
              <w:t>社会效益指标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68AA5EF6">
            <w:pPr>
              <w:jc w:val="center"/>
            </w:pPr>
            <w:r>
              <w:rPr>
                <w:rFonts w:ascii="宋体" w:hAnsi="宋体" w:eastAsia="宋体"/>
                <w:sz w:val="16"/>
              </w:rPr>
              <w:t>保障适龄幼儿接受学前免费教育</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136535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2399">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3433">
            <w:pPr>
              <w:jc w:val="center"/>
            </w:pPr>
            <w:r>
              <w:rPr>
                <w:rFonts w:ascii="宋体" w:hAnsi="宋体" w:eastAsia="宋体"/>
                <w:sz w:val="16"/>
              </w:rPr>
              <w:t>持续加强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E28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78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F7B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51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B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E219">
            <w:pPr>
              <w:jc w:val="center"/>
            </w:pPr>
          </w:p>
        </w:tc>
      </w:tr>
      <w:tr w14:paraId="04B30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066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212C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FDB7B">
            <w:pPr>
              <w:jc w:val="center"/>
            </w:pPr>
            <w:r>
              <w:rPr>
                <w:rFonts w:ascii="宋体" w:hAnsi="宋体" w:eastAsia="宋体"/>
                <w:sz w:val="16"/>
              </w:rPr>
              <w:t>满意度指标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223840E3">
            <w:pPr>
              <w:jc w:val="center"/>
            </w:pPr>
            <w:r>
              <w:rPr>
                <w:rFonts w:ascii="宋体" w:hAnsi="宋体" w:eastAsia="宋体"/>
                <w:sz w:val="16"/>
              </w:rPr>
              <w:t>学生满意度</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3017B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E7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DA4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2F163D">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27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59A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E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22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0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DD0C">
            <w:pPr>
              <w:jc w:val="center"/>
            </w:pPr>
            <w:r>
              <w:rPr>
                <w:rFonts w:ascii="宋体" w:hAnsi="宋体" w:eastAsia="宋体"/>
                <w:sz w:val="16"/>
              </w:rPr>
              <w:t>幼儿对此项目满意度较高。</w:t>
            </w:r>
          </w:p>
        </w:tc>
      </w:tr>
      <w:tr w14:paraId="1CCED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EE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22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34BD8"/>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4C372D55">
            <w:pPr>
              <w:jc w:val="center"/>
            </w:pPr>
            <w:r>
              <w:rPr>
                <w:rFonts w:ascii="宋体" w:hAnsi="宋体" w:eastAsia="宋体"/>
                <w:sz w:val="16"/>
              </w:rPr>
              <w:t>家长满意度</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132084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72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964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0935C3">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AA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DB3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D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EC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E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48D6">
            <w:pPr>
              <w:jc w:val="center"/>
            </w:pPr>
            <w:r>
              <w:rPr>
                <w:rFonts w:ascii="宋体" w:hAnsi="宋体" w:eastAsia="宋体"/>
                <w:sz w:val="16"/>
              </w:rPr>
              <w:t>对于幼儿园环境与膳食家长反馈满意度较高。</w:t>
            </w:r>
          </w:p>
        </w:tc>
      </w:tr>
      <w:tr w14:paraId="6996A4A7">
        <w:tblPrEx>
          <w:tblCellMar>
            <w:top w:w="0" w:type="dxa"/>
            <w:left w:w="108" w:type="dxa"/>
            <w:bottom w:w="0" w:type="dxa"/>
            <w:right w:w="108" w:type="dxa"/>
          </w:tblCellMar>
        </w:tblPrEx>
        <w:tc>
          <w:tcPr>
            <w:tcW w:w="268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7D53FD">
            <w:pPr>
              <w:jc w:val="center"/>
            </w:pPr>
            <w:r>
              <w:rPr>
                <w:rFonts w:ascii="宋体" w:hAnsi="宋体" w:eastAsia="宋体"/>
                <w:sz w:val="16"/>
              </w:rPr>
              <w:t>总分</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1A41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4B1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89182"/>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266B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3B3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AA4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60C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EE5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3B3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90458"/>
        </w:tc>
      </w:tr>
    </w:tbl>
    <w:p w14:paraId="2C8E51C0">
      <w:r>
        <w:br w:type="page"/>
      </w:r>
    </w:p>
    <w:p w14:paraId="50DF584D">
      <w:pPr>
        <w:spacing w:line="640" w:lineRule="exact"/>
        <w:ind w:firstLine="640"/>
        <w:jc w:val="both"/>
        <w:outlineLvl w:val="2"/>
      </w:pPr>
      <w:r>
        <w:rPr>
          <w:rFonts w:ascii="黑体" w:hAnsi="黑体" w:eastAsia="黑体"/>
          <w:sz w:val="32"/>
        </w:rPr>
        <w:t>十二、其他需说明的事项</w:t>
      </w:r>
    </w:p>
    <w:p w14:paraId="3EB0151D">
      <w:pPr>
        <w:spacing w:line="580" w:lineRule="exact"/>
        <w:ind w:firstLine="640"/>
        <w:jc w:val="both"/>
      </w:pPr>
      <w:r>
        <w:rPr>
          <w:rFonts w:ascii="仿宋_GB2312" w:hAnsi="仿宋_GB2312" w:eastAsia="仿宋_GB2312"/>
          <w:b w:val="0"/>
          <w:sz w:val="32"/>
        </w:rPr>
        <w:t>本单位无其他需说明的事项。</w:t>
      </w:r>
    </w:p>
    <w:p w14:paraId="206803DF">
      <w:r>
        <w:br w:type="page"/>
      </w:r>
    </w:p>
    <w:p w14:paraId="449EE0D3">
      <w:pPr>
        <w:spacing w:line="240" w:lineRule="auto"/>
        <w:jc w:val="center"/>
        <w:outlineLvl w:val="1"/>
      </w:pPr>
      <w:r>
        <w:rPr>
          <w:rFonts w:ascii="黑体" w:hAnsi="黑体" w:eastAsia="黑体"/>
          <w:sz w:val="32"/>
        </w:rPr>
        <w:t>第三部分 专业名词解释</w:t>
      </w:r>
    </w:p>
    <w:p w14:paraId="1E04206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28F1A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4590D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77DFF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0F3F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1677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7A6C20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C9D58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DD7D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AC755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5329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FEE4C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F9A5C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F395F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F093F0">
      <w:r>
        <w:br w:type="page"/>
      </w:r>
    </w:p>
    <w:p w14:paraId="03B74340">
      <w:pPr>
        <w:spacing w:line="240" w:lineRule="auto"/>
        <w:jc w:val="center"/>
        <w:outlineLvl w:val="1"/>
      </w:pPr>
      <w:r>
        <w:rPr>
          <w:rFonts w:ascii="黑体" w:hAnsi="黑体" w:eastAsia="黑体"/>
          <w:sz w:val="32"/>
        </w:rPr>
        <w:t>第四部分 部门决算报表（见附表）</w:t>
      </w:r>
    </w:p>
    <w:p w14:paraId="0E42A7D7">
      <w:pPr>
        <w:spacing w:line="240" w:lineRule="auto"/>
        <w:ind w:firstLine="640"/>
        <w:jc w:val="both"/>
      </w:pPr>
      <w:r>
        <w:rPr>
          <w:rFonts w:ascii="仿宋_GB2312" w:hAnsi="仿宋_GB2312" w:eastAsia="仿宋_GB2312"/>
          <w:b w:val="0"/>
          <w:sz w:val="32"/>
        </w:rPr>
        <w:t>一、《收入支出决算总表》</w:t>
      </w:r>
    </w:p>
    <w:p w14:paraId="0F8338BA">
      <w:pPr>
        <w:spacing w:line="240" w:lineRule="auto"/>
        <w:ind w:firstLine="640"/>
        <w:jc w:val="both"/>
      </w:pPr>
      <w:r>
        <w:rPr>
          <w:rFonts w:ascii="仿宋_GB2312" w:hAnsi="仿宋_GB2312" w:eastAsia="仿宋_GB2312"/>
          <w:b w:val="0"/>
          <w:sz w:val="32"/>
        </w:rPr>
        <w:t>二、《收入决算表》</w:t>
      </w:r>
    </w:p>
    <w:p w14:paraId="62F48720">
      <w:pPr>
        <w:spacing w:line="240" w:lineRule="auto"/>
        <w:ind w:firstLine="640"/>
        <w:jc w:val="both"/>
      </w:pPr>
      <w:r>
        <w:rPr>
          <w:rFonts w:ascii="仿宋_GB2312" w:hAnsi="仿宋_GB2312" w:eastAsia="仿宋_GB2312"/>
          <w:b w:val="0"/>
          <w:sz w:val="32"/>
        </w:rPr>
        <w:t>三、《支出决算表》</w:t>
      </w:r>
    </w:p>
    <w:p w14:paraId="6CE18D56">
      <w:pPr>
        <w:spacing w:line="240" w:lineRule="auto"/>
        <w:ind w:firstLine="640"/>
        <w:jc w:val="both"/>
      </w:pPr>
      <w:r>
        <w:rPr>
          <w:rFonts w:ascii="仿宋_GB2312" w:hAnsi="仿宋_GB2312" w:eastAsia="仿宋_GB2312"/>
          <w:b w:val="0"/>
          <w:sz w:val="32"/>
        </w:rPr>
        <w:t>四、《财政拨款收入支出决算总表》</w:t>
      </w:r>
    </w:p>
    <w:p w14:paraId="120FEF2E">
      <w:pPr>
        <w:spacing w:line="240" w:lineRule="auto"/>
        <w:ind w:firstLine="640"/>
        <w:jc w:val="both"/>
      </w:pPr>
      <w:r>
        <w:rPr>
          <w:rFonts w:ascii="仿宋_GB2312" w:hAnsi="仿宋_GB2312" w:eastAsia="仿宋_GB2312"/>
          <w:b w:val="0"/>
          <w:sz w:val="32"/>
        </w:rPr>
        <w:t>五、《一般公共预算财政拨款支出决算表》</w:t>
      </w:r>
    </w:p>
    <w:p w14:paraId="1BD1A073">
      <w:pPr>
        <w:spacing w:line="240" w:lineRule="auto"/>
        <w:ind w:firstLine="640"/>
        <w:jc w:val="both"/>
      </w:pPr>
      <w:r>
        <w:rPr>
          <w:rFonts w:ascii="仿宋_GB2312" w:hAnsi="仿宋_GB2312" w:eastAsia="仿宋_GB2312"/>
          <w:b w:val="0"/>
          <w:sz w:val="32"/>
        </w:rPr>
        <w:t>六、《一般公共预算财政拨款基本支出决算表》</w:t>
      </w:r>
    </w:p>
    <w:p w14:paraId="3FA20F94">
      <w:pPr>
        <w:spacing w:line="240" w:lineRule="auto"/>
        <w:ind w:firstLine="640"/>
        <w:jc w:val="both"/>
      </w:pPr>
      <w:r>
        <w:rPr>
          <w:rFonts w:ascii="仿宋_GB2312" w:hAnsi="仿宋_GB2312" w:eastAsia="仿宋_GB2312"/>
          <w:b w:val="0"/>
          <w:sz w:val="32"/>
        </w:rPr>
        <w:t>七、《政府性基金预算财政拨款收入支出决算表》</w:t>
      </w:r>
    </w:p>
    <w:p w14:paraId="7999BF28">
      <w:pPr>
        <w:spacing w:line="240" w:lineRule="auto"/>
        <w:ind w:firstLine="640"/>
        <w:jc w:val="both"/>
      </w:pPr>
      <w:r>
        <w:rPr>
          <w:rFonts w:ascii="仿宋_GB2312" w:hAnsi="仿宋_GB2312" w:eastAsia="仿宋_GB2312"/>
          <w:b w:val="0"/>
          <w:sz w:val="32"/>
        </w:rPr>
        <w:t>八、《国有资本经营预算财政拨款收入支出决算表》</w:t>
      </w:r>
    </w:p>
    <w:p w14:paraId="1D8EF67D">
      <w:pPr>
        <w:spacing w:line="240" w:lineRule="auto"/>
        <w:ind w:firstLine="640"/>
        <w:jc w:val="both"/>
      </w:pPr>
      <w:r>
        <w:rPr>
          <w:rFonts w:ascii="仿宋_GB2312" w:hAnsi="仿宋_GB2312" w:eastAsia="仿宋_GB2312"/>
          <w:b w:val="0"/>
          <w:sz w:val="32"/>
        </w:rPr>
        <w:t>九、《财政拨款“三公”经费支出决算表》</w:t>
      </w:r>
    </w:p>
    <w:p w14:paraId="3BF52B93">
      <w:pPr>
        <w:spacing w:line="240" w:lineRule="auto"/>
        <w:ind w:firstLine="640"/>
        <w:jc w:val="both"/>
      </w:pPr>
    </w:p>
    <w:p w14:paraId="43414F87">
      <w:pPr>
        <w:spacing w:line="240" w:lineRule="auto"/>
        <w:ind w:firstLine="640"/>
        <w:jc w:val="both"/>
      </w:pPr>
    </w:p>
    <w:p w14:paraId="00E7CC53">
      <w:pPr>
        <w:spacing w:line="240" w:lineRule="auto"/>
        <w:ind w:firstLine="640"/>
        <w:jc w:val="both"/>
      </w:pPr>
    </w:p>
    <w:p w14:paraId="104720F2">
      <w:pPr>
        <w:spacing w:line="240" w:lineRule="auto"/>
        <w:ind w:firstLine="640"/>
        <w:jc w:val="both"/>
      </w:pPr>
    </w:p>
    <w:p w14:paraId="577CA82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9D17F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5195</Words>
  <Characters>5874</Characters>
  <Lines>0</Lines>
  <Paragraphs>0</Paragraphs>
  <TotalTime>2</TotalTime>
  <ScaleCrop>false</ScaleCrop>
  <LinksUpToDate>false</LinksUpToDate>
  <CharactersWithSpaces>5882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2025-09-10T08:58:47Z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