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霍尔果斯市政务服务中心2024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92C4054">
      <w:r>
        <w:br w:type="page"/>
      </w:r>
    </w:p>
    <w:p w14:paraId="09914A78">
      <w:pPr>
        <w:spacing w:line="640" w:lineRule="exact"/>
        <w:jc w:val="center"/>
        <w:outlineLvl w:val="1"/>
      </w:pPr>
      <w:r>
        <w:rPr>
          <w:rFonts w:ascii="黑体" w:hAnsi="黑体" w:eastAsia="黑体"/>
          <w:sz w:val="32"/>
        </w:rPr>
        <w:t>第一部分 单位概况</w:t>
      </w:r>
    </w:p>
    <w:p w14:paraId="68D28043">
      <w:pPr>
        <w:spacing w:line="640" w:lineRule="exact"/>
        <w:ind w:firstLine="640"/>
        <w:jc w:val="both"/>
        <w:outlineLvl w:val="2"/>
      </w:pPr>
      <w:r>
        <w:rPr>
          <w:rFonts w:ascii="黑体" w:hAnsi="黑体" w:eastAsia="黑体"/>
          <w:sz w:val="32"/>
        </w:rPr>
        <w:t>一、主要职能</w:t>
      </w:r>
    </w:p>
    <w:p w14:paraId="7BCDDA08">
      <w:pPr>
        <w:spacing w:line="580" w:lineRule="exact"/>
        <w:ind w:firstLine="640"/>
        <w:jc w:val="both"/>
      </w:pPr>
      <w:r>
        <w:rPr>
          <w:rFonts w:ascii="仿宋_GB2312" w:hAnsi="仿宋_GB2312" w:eastAsia="仿宋_GB2312"/>
          <w:sz w:val="32"/>
        </w:rPr>
        <w:t>新疆伊犁州霍尔果斯市行政服务中心于2014年正式揭牌运行，是霍尔果斯市委、市人民政府推进行政审批制度改革和“放管服”改革、深化简政放权和政务公开、营造良好营商环境和政务环境的</w:t>
      </w:r>
      <w:r>
        <w:rPr>
          <w:rFonts w:hint="eastAsia" w:ascii="仿宋_GB2312" w:hAnsi="仿宋_GB2312" w:eastAsia="仿宋_GB2312"/>
          <w:sz w:val="32"/>
          <w:lang w:eastAsia="zh-CN"/>
        </w:rPr>
        <w:t>重要</w:t>
      </w:r>
      <w:r>
        <w:rPr>
          <w:rFonts w:ascii="仿宋_GB2312" w:hAnsi="仿宋_GB2312" w:eastAsia="仿宋_GB2312"/>
          <w:sz w:val="32"/>
        </w:rPr>
        <w:t>平台。通过采取简化审批程序，减少办事环节、规范审批行为，主动服务项目建设措施，打造优质、高效、便捷的政务服务环境。</w:t>
      </w:r>
    </w:p>
    <w:p w14:paraId="304DBFD3">
      <w:pPr>
        <w:spacing w:line="640" w:lineRule="exact"/>
        <w:ind w:firstLine="640"/>
        <w:jc w:val="both"/>
        <w:outlineLvl w:val="2"/>
      </w:pPr>
      <w:r>
        <w:rPr>
          <w:rFonts w:ascii="黑体" w:hAnsi="黑体" w:eastAsia="黑体"/>
          <w:sz w:val="32"/>
        </w:rPr>
        <w:t>二、机构设置及人员情况</w:t>
      </w:r>
    </w:p>
    <w:p w14:paraId="0DBA2C61">
      <w:pPr>
        <w:spacing w:line="580" w:lineRule="exact"/>
        <w:ind w:firstLine="640"/>
        <w:jc w:val="both"/>
      </w:pPr>
      <w:r>
        <w:rPr>
          <w:rFonts w:ascii="仿宋_GB2312" w:hAnsi="仿宋_GB2312" w:eastAsia="仿宋_GB2312"/>
          <w:sz w:val="32"/>
        </w:rPr>
        <w:t>霍尔果斯市政务服务中心2024年度，实有人数4人，其中：在职人员4人，增加0人；离休人员0人，增加0人；退休人员0人,增加0人。</w:t>
      </w:r>
    </w:p>
    <w:p w14:paraId="04109886">
      <w:pPr>
        <w:spacing w:line="580" w:lineRule="exact"/>
        <w:ind w:firstLine="640"/>
        <w:jc w:val="both"/>
      </w:pPr>
      <w:r>
        <w:rPr>
          <w:rFonts w:ascii="仿宋_GB2312" w:hAnsi="仿宋_GB2312" w:eastAsia="仿宋_GB2312"/>
          <w:sz w:val="32"/>
        </w:rPr>
        <w:t>霍尔果斯市政务服务中心无下属预算单位，下设2个科室，分别是：综合科、业务科。</w:t>
      </w:r>
    </w:p>
    <w:p w14:paraId="3EEAD8A3">
      <w:r>
        <w:br w:type="page"/>
      </w:r>
    </w:p>
    <w:p w14:paraId="3849D942">
      <w:pPr>
        <w:spacing w:line="240" w:lineRule="auto"/>
        <w:jc w:val="center"/>
        <w:outlineLvl w:val="1"/>
      </w:pPr>
      <w:r>
        <w:rPr>
          <w:rFonts w:ascii="黑体" w:hAnsi="黑体" w:eastAsia="黑体"/>
          <w:sz w:val="32"/>
        </w:rPr>
        <w:t>第二部分 部门决算情况说明</w:t>
      </w:r>
    </w:p>
    <w:p w14:paraId="661CA187">
      <w:pPr>
        <w:spacing w:line="640" w:lineRule="exact"/>
        <w:ind w:firstLine="640"/>
        <w:jc w:val="both"/>
        <w:outlineLvl w:val="2"/>
      </w:pPr>
      <w:r>
        <w:rPr>
          <w:rFonts w:ascii="黑体" w:hAnsi="黑体" w:eastAsia="黑体"/>
          <w:sz w:val="32"/>
        </w:rPr>
        <w:t>一、收入支出决算总体情况说明</w:t>
      </w:r>
    </w:p>
    <w:p w14:paraId="14A4F081">
      <w:pPr>
        <w:spacing w:line="580" w:lineRule="exact"/>
        <w:ind w:firstLine="640"/>
        <w:jc w:val="both"/>
      </w:pPr>
      <w:r>
        <w:rPr>
          <w:rFonts w:ascii="仿宋_GB2312" w:hAnsi="仿宋_GB2312" w:eastAsia="仿宋_GB2312"/>
          <w:b/>
          <w:sz w:val="32"/>
        </w:rPr>
        <w:t>2024年度收入总计426.97万元，</w:t>
      </w:r>
      <w:r>
        <w:rPr>
          <w:rFonts w:ascii="仿宋_GB2312" w:hAnsi="仿宋_GB2312" w:eastAsia="仿宋_GB2312"/>
          <w:b w:val="0"/>
          <w:sz w:val="32"/>
        </w:rPr>
        <w:t>其中：本年收入合计423.68万元，使用非财政拨款结余（含专用结余）0.00万元，年初结转和结余3.29万元。</w:t>
      </w:r>
    </w:p>
    <w:p w14:paraId="3E8EB636">
      <w:pPr>
        <w:spacing w:line="580" w:lineRule="exact"/>
        <w:ind w:firstLine="640"/>
        <w:jc w:val="both"/>
      </w:pPr>
      <w:r>
        <w:rPr>
          <w:rFonts w:ascii="仿宋_GB2312" w:hAnsi="仿宋_GB2312" w:eastAsia="仿宋_GB2312"/>
          <w:b/>
          <w:sz w:val="32"/>
        </w:rPr>
        <w:t>2024年度支出总计426.97万元，</w:t>
      </w:r>
      <w:r>
        <w:rPr>
          <w:rFonts w:ascii="仿宋_GB2312" w:hAnsi="仿宋_GB2312" w:eastAsia="仿宋_GB2312"/>
          <w:b w:val="0"/>
          <w:sz w:val="32"/>
        </w:rPr>
        <w:t>其中：本年支出合计423.68万元，结余分配0.00万元，年末结转和结余3.29万元。</w:t>
      </w:r>
    </w:p>
    <w:p w14:paraId="5D335940">
      <w:pPr>
        <w:spacing w:line="580" w:lineRule="exact"/>
        <w:ind w:firstLine="640"/>
        <w:jc w:val="both"/>
      </w:pPr>
      <w:r>
        <w:rPr>
          <w:rFonts w:ascii="仿宋_GB2312" w:hAnsi="仿宋_GB2312" w:eastAsia="仿宋_GB2312"/>
          <w:b w:val="0"/>
          <w:sz w:val="32"/>
        </w:rPr>
        <w:t>收入支出总体与上年相比，减少667.54万元，下降60.99%，主要原因是：本年减少霍尔果斯市“7*24小时自助服务站”智能化建设、政务服务中心标准化大厅建设等项目。</w:t>
      </w:r>
    </w:p>
    <w:p w14:paraId="52E3CA8A">
      <w:pPr>
        <w:spacing w:line="640" w:lineRule="exact"/>
        <w:ind w:firstLine="640"/>
        <w:jc w:val="both"/>
        <w:outlineLvl w:val="2"/>
      </w:pPr>
      <w:r>
        <w:rPr>
          <w:rFonts w:ascii="黑体" w:hAnsi="黑体" w:eastAsia="黑体"/>
          <w:sz w:val="32"/>
        </w:rPr>
        <w:t>二、收入决算情况说明</w:t>
      </w:r>
    </w:p>
    <w:p w14:paraId="538F891A">
      <w:pPr>
        <w:spacing w:line="580" w:lineRule="exact"/>
        <w:ind w:firstLine="640"/>
        <w:jc w:val="both"/>
      </w:pPr>
      <w:r>
        <w:rPr>
          <w:rFonts w:ascii="仿宋_GB2312" w:hAnsi="仿宋_GB2312" w:eastAsia="仿宋_GB2312"/>
          <w:b/>
          <w:sz w:val="32"/>
        </w:rPr>
        <w:t>本年收入423.68万元，</w:t>
      </w:r>
      <w:r>
        <w:rPr>
          <w:rFonts w:ascii="仿宋_GB2312" w:hAnsi="仿宋_GB2312" w:eastAsia="仿宋_GB2312"/>
          <w:b w:val="0"/>
          <w:sz w:val="32"/>
        </w:rPr>
        <w:t>其中：财政拨款收入413.48万元，占97.59%；上级补助收入0.00万元，占0.00%；事业收入0.00万元，占0.00%；经营收入0.00万元，占0.00%；附属单位上缴收入0.00万元，占0.00%；其他收入10.20万元，占2.41%。</w:t>
      </w:r>
    </w:p>
    <w:p w14:paraId="2A98FA73">
      <w:pPr>
        <w:spacing w:line="640" w:lineRule="exact"/>
        <w:ind w:firstLine="640"/>
        <w:jc w:val="both"/>
        <w:outlineLvl w:val="2"/>
      </w:pPr>
      <w:r>
        <w:rPr>
          <w:rFonts w:ascii="黑体" w:hAnsi="黑体" w:eastAsia="黑体"/>
          <w:sz w:val="32"/>
        </w:rPr>
        <w:t>三、支出决算情况说明</w:t>
      </w:r>
    </w:p>
    <w:p w14:paraId="1481DEEC">
      <w:pPr>
        <w:spacing w:line="580" w:lineRule="exact"/>
        <w:ind w:firstLine="640"/>
        <w:jc w:val="both"/>
      </w:pPr>
      <w:r>
        <w:rPr>
          <w:rFonts w:ascii="仿宋_GB2312" w:hAnsi="仿宋_GB2312" w:eastAsia="仿宋_GB2312"/>
          <w:b/>
          <w:sz w:val="32"/>
        </w:rPr>
        <w:t>本年支出423.68万元，</w:t>
      </w:r>
      <w:r>
        <w:rPr>
          <w:rFonts w:ascii="仿宋_GB2312" w:hAnsi="仿宋_GB2312" w:eastAsia="仿宋_GB2312"/>
          <w:b w:val="0"/>
          <w:sz w:val="32"/>
        </w:rPr>
        <w:t>其中：基本支出276.17万元，占65.18%；项目支出147.51万元，占34.82%；上缴上级支出0.00万元，占0.00%；经营支出0.00万元，占0.00%；对附属单位补助支出0.00万元，占0.00%。</w:t>
      </w:r>
    </w:p>
    <w:p w14:paraId="55E17DE9">
      <w:pPr>
        <w:spacing w:line="640" w:lineRule="exact"/>
        <w:ind w:firstLine="640"/>
        <w:jc w:val="both"/>
        <w:outlineLvl w:val="2"/>
      </w:pPr>
      <w:r>
        <w:rPr>
          <w:rFonts w:ascii="黑体" w:hAnsi="黑体" w:eastAsia="黑体"/>
          <w:sz w:val="32"/>
        </w:rPr>
        <w:t>四、财政拨款收入支出决算总体情况说明</w:t>
      </w:r>
    </w:p>
    <w:p w14:paraId="78F6465F">
      <w:pPr>
        <w:spacing w:line="580" w:lineRule="exact"/>
        <w:ind w:firstLine="640"/>
        <w:jc w:val="both"/>
      </w:pPr>
      <w:r>
        <w:rPr>
          <w:rFonts w:ascii="仿宋_GB2312" w:hAnsi="仿宋_GB2312" w:eastAsia="仿宋_GB2312"/>
          <w:b/>
          <w:sz w:val="32"/>
        </w:rPr>
        <w:t>2024年度财政拨款收入总计413.48万元，</w:t>
      </w:r>
      <w:r>
        <w:rPr>
          <w:rFonts w:ascii="仿宋_GB2312" w:hAnsi="仿宋_GB2312" w:eastAsia="仿宋_GB2312"/>
          <w:b w:val="0"/>
          <w:sz w:val="32"/>
        </w:rPr>
        <w:t>其中：年初财政拨款结转和结余0.00万元，本年财政拨款收入413.48万元。</w:t>
      </w:r>
      <w:r>
        <w:rPr>
          <w:rFonts w:ascii="仿宋_GB2312" w:hAnsi="仿宋_GB2312" w:eastAsia="仿宋_GB2312"/>
          <w:b/>
          <w:sz w:val="32"/>
        </w:rPr>
        <w:t>财政拨款支出总计413.48万元，</w:t>
      </w:r>
      <w:r>
        <w:rPr>
          <w:rFonts w:ascii="仿宋_GB2312" w:hAnsi="仿宋_GB2312" w:eastAsia="仿宋_GB2312"/>
          <w:b w:val="0"/>
          <w:sz w:val="32"/>
        </w:rPr>
        <w:t>其中：年末财政拨款结转和结余0.00万元，本年财政拨款支出413.48万元。</w:t>
      </w:r>
    </w:p>
    <w:p w14:paraId="1973EEF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减少121.26万元，下降22.68%，主要原因是：本年减少霍尔果斯市“7*24小时自助服务站”智能化建设、政务服务中心标准化大厅建设等项目。</w:t>
      </w:r>
      <w:r>
        <w:rPr>
          <w:rFonts w:ascii="仿宋_GB2312" w:hAnsi="仿宋_GB2312" w:eastAsia="仿宋_GB2312"/>
          <w:b/>
          <w:sz w:val="32"/>
        </w:rPr>
        <w:t>与年初预算相比，</w:t>
      </w:r>
      <w:r>
        <w:rPr>
          <w:rFonts w:ascii="仿宋_GB2312" w:hAnsi="仿宋_GB2312" w:eastAsia="仿宋_GB2312"/>
          <w:b w:val="0"/>
          <w:sz w:val="32"/>
        </w:rPr>
        <w:t>年初预算数350.39万元，决算数413.48万元，预决算差异率18.01%，主要原因是：年中追加综合服务经费项目，导致预决算存在差异。</w:t>
      </w:r>
    </w:p>
    <w:p w14:paraId="0DDB6D4D">
      <w:pPr>
        <w:spacing w:line="640" w:lineRule="exact"/>
        <w:ind w:firstLine="640"/>
        <w:jc w:val="both"/>
        <w:outlineLvl w:val="2"/>
      </w:pPr>
      <w:r>
        <w:rPr>
          <w:rFonts w:ascii="黑体" w:hAnsi="黑体" w:eastAsia="黑体"/>
          <w:sz w:val="32"/>
        </w:rPr>
        <w:t>五、一般公共预算财政拨款支出决算情况说明</w:t>
      </w:r>
    </w:p>
    <w:p w14:paraId="4B25776B">
      <w:pPr>
        <w:spacing w:line="640" w:lineRule="exact"/>
        <w:ind w:firstLine="640"/>
        <w:jc w:val="both"/>
        <w:outlineLvl w:val="3"/>
      </w:pPr>
      <w:r>
        <w:rPr>
          <w:rFonts w:ascii="楷体_GB2312" w:hAnsi="楷体_GB2312" w:eastAsia="楷体_GB2312"/>
          <w:b/>
          <w:sz w:val="32"/>
        </w:rPr>
        <w:t>（一）一般公共预算财政拨款支出决算总体情况</w:t>
      </w:r>
    </w:p>
    <w:p w14:paraId="10761B31">
      <w:pPr>
        <w:spacing w:line="580" w:lineRule="exact"/>
        <w:ind w:firstLine="640"/>
        <w:jc w:val="both"/>
      </w:pPr>
      <w:r>
        <w:rPr>
          <w:rFonts w:ascii="仿宋_GB2312" w:hAnsi="仿宋_GB2312" w:eastAsia="仿宋_GB2312"/>
          <w:b/>
          <w:sz w:val="32"/>
        </w:rPr>
        <w:t>2024年度一般公共预算财政拨款支出413.48万元，</w:t>
      </w:r>
      <w:r>
        <w:rPr>
          <w:rFonts w:ascii="仿宋_GB2312" w:hAnsi="仿宋_GB2312" w:eastAsia="仿宋_GB2312"/>
          <w:b w:val="0"/>
          <w:sz w:val="32"/>
        </w:rPr>
        <w:t>占本年支出合计的97.59%。</w:t>
      </w:r>
      <w:r>
        <w:rPr>
          <w:rFonts w:ascii="仿宋_GB2312" w:hAnsi="仿宋_GB2312" w:eastAsia="仿宋_GB2312"/>
          <w:b/>
          <w:sz w:val="32"/>
        </w:rPr>
        <w:t>与上年相比，</w:t>
      </w:r>
      <w:r>
        <w:rPr>
          <w:rFonts w:ascii="仿宋_GB2312" w:hAnsi="仿宋_GB2312" w:eastAsia="仿宋_GB2312"/>
          <w:b w:val="0"/>
          <w:sz w:val="32"/>
        </w:rPr>
        <w:t>减少121.26万元，下降22.68%，主要原因是：本年减少霍尔果斯市“7*24小时自助服务站”智能化建设、政务服务中心标准化大厅建设等项目。</w:t>
      </w:r>
      <w:r>
        <w:rPr>
          <w:rFonts w:ascii="仿宋_GB2312" w:hAnsi="仿宋_GB2312" w:eastAsia="仿宋_GB2312"/>
          <w:b/>
          <w:sz w:val="32"/>
        </w:rPr>
        <w:t>与年初预算相比,</w:t>
      </w:r>
      <w:r>
        <w:rPr>
          <w:rFonts w:ascii="仿宋_GB2312" w:hAnsi="仿宋_GB2312" w:eastAsia="仿宋_GB2312"/>
          <w:b w:val="0"/>
          <w:sz w:val="32"/>
        </w:rPr>
        <w:t>年初预算数350.39万元，决算数413.48万元，预决算差异率18.01%，主要原因是：年中追加综合服务经费项目，导致预决算存在差异。</w:t>
      </w:r>
    </w:p>
    <w:p w14:paraId="49B50871">
      <w:pPr>
        <w:spacing w:line="640" w:lineRule="exact"/>
        <w:ind w:firstLine="640"/>
        <w:jc w:val="both"/>
        <w:outlineLvl w:val="3"/>
      </w:pPr>
      <w:r>
        <w:rPr>
          <w:rFonts w:ascii="楷体_GB2312" w:hAnsi="楷体_GB2312" w:eastAsia="楷体_GB2312"/>
          <w:b/>
          <w:sz w:val="32"/>
        </w:rPr>
        <w:t>（二）一般公共预算财政拨款支出决算结构情况</w:t>
      </w:r>
    </w:p>
    <w:p w14:paraId="60EFB2DF">
      <w:pPr>
        <w:spacing w:line="580" w:lineRule="exact"/>
        <w:ind w:firstLine="640"/>
        <w:jc w:val="both"/>
      </w:pPr>
      <w:r>
        <w:rPr>
          <w:rFonts w:ascii="仿宋_GB2312" w:hAnsi="仿宋_GB2312" w:eastAsia="仿宋_GB2312"/>
          <w:b w:val="0"/>
          <w:sz w:val="32"/>
        </w:rPr>
        <w:t>1.一般公共服务支出(类)361.61万元,占87.46%。</w:t>
      </w:r>
    </w:p>
    <w:p w14:paraId="01AF0338">
      <w:pPr>
        <w:spacing w:line="580" w:lineRule="exact"/>
        <w:ind w:firstLine="640"/>
        <w:jc w:val="both"/>
      </w:pPr>
      <w:r>
        <w:rPr>
          <w:rFonts w:ascii="仿宋_GB2312" w:hAnsi="仿宋_GB2312" w:eastAsia="仿宋_GB2312"/>
          <w:b w:val="0"/>
          <w:sz w:val="32"/>
        </w:rPr>
        <w:t>2.社会保障和就业支出(类)33.00万元,占7.98%。</w:t>
      </w:r>
    </w:p>
    <w:p w14:paraId="18D9F06E">
      <w:pPr>
        <w:spacing w:line="580" w:lineRule="exact"/>
        <w:ind w:firstLine="640"/>
        <w:jc w:val="both"/>
      </w:pPr>
      <w:r>
        <w:rPr>
          <w:rFonts w:ascii="仿宋_GB2312" w:hAnsi="仿宋_GB2312" w:eastAsia="仿宋_GB2312"/>
          <w:b w:val="0"/>
          <w:sz w:val="32"/>
        </w:rPr>
        <w:t>3.住房保障支出(类)18.87万元,占4.56%。</w:t>
      </w:r>
    </w:p>
    <w:p w14:paraId="37479881">
      <w:pPr>
        <w:spacing w:line="640" w:lineRule="exact"/>
        <w:ind w:firstLine="640"/>
        <w:jc w:val="both"/>
        <w:outlineLvl w:val="3"/>
      </w:pPr>
      <w:r>
        <w:rPr>
          <w:rFonts w:ascii="楷体_GB2312" w:hAnsi="楷体_GB2312" w:eastAsia="楷体_GB2312"/>
          <w:b/>
          <w:sz w:val="32"/>
        </w:rPr>
        <w:t>（三）一般公共预算财政拨款支出决算具体情况</w:t>
      </w:r>
    </w:p>
    <w:p w14:paraId="10EC9CF4">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224.30万元，比上年决算减少1.90万元，下降0.84%,主要原因是：本年功能科目调整，机关事业单位职业年金缴费上年度在主科目列支，本年单独列支，导致经费较上年减少。</w:t>
      </w:r>
    </w:p>
    <w:p w14:paraId="25D7BB6A">
      <w:pPr>
        <w:spacing w:line="580" w:lineRule="exact"/>
        <w:ind w:firstLine="640"/>
        <w:jc w:val="both"/>
      </w:pPr>
      <w:r>
        <w:rPr>
          <w:rFonts w:ascii="仿宋_GB2312" w:hAnsi="仿宋_GB2312" w:eastAsia="仿宋_GB2312"/>
          <w:b w:val="0"/>
          <w:sz w:val="32"/>
        </w:rPr>
        <w:t>2.一般公共服务支出(类)政府办公厅（室）及相关机构事务(款)一般行政管理事务(项):支出决算数为137.31万元，比上年决算减少128.09万元，下降48.26%,主要原因是：本年减少霍尔果斯市“7*24小时自助服务站”智能化建设、政务服务中心标准化大厅建设等项目。</w:t>
      </w:r>
    </w:p>
    <w:p w14:paraId="0FDAC8A7">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24.71万元，比上年决算减少0.09万元，下降0.36%,主要原因是：本年在职人员调入调出，人员职级不同，缴费基数不同，导致养老保险缴费较上年减少。</w:t>
      </w:r>
    </w:p>
    <w:p w14:paraId="29146649">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8.30万元，比上年决算增加8.30万元，增长100.00%,主要原因是：本年功能科目调整，机关事业单位职业年金缴费上年度在主科目列支，本年单独列支，导致经费较上年增加。</w:t>
      </w:r>
    </w:p>
    <w:p w14:paraId="24A91E52">
      <w:pPr>
        <w:spacing w:line="580" w:lineRule="exact"/>
        <w:ind w:firstLine="640"/>
        <w:jc w:val="both"/>
      </w:pPr>
      <w:r>
        <w:rPr>
          <w:rFonts w:ascii="仿宋_GB2312" w:hAnsi="仿宋_GB2312" w:eastAsia="仿宋_GB2312"/>
          <w:b w:val="0"/>
          <w:sz w:val="32"/>
        </w:rPr>
        <w:t>5.住房保障支出(类)住房改革支出(款)住房公积金(项):支出决算数为18.87万元，比上年决算增加0.53万元，增长2.89%,主要原因是：本年在职人员工资基数调增，公积金缴费基数上涨，相应支出增加。</w:t>
      </w:r>
    </w:p>
    <w:p w14:paraId="155F47E0">
      <w:pPr>
        <w:spacing w:line="640" w:lineRule="exact"/>
        <w:ind w:firstLine="640"/>
        <w:jc w:val="both"/>
        <w:outlineLvl w:val="2"/>
      </w:pPr>
      <w:r>
        <w:rPr>
          <w:rFonts w:ascii="黑体" w:hAnsi="黑体" w:eastAsia="黑体"/>
          <w:sz w:val="32"/>
        </w:rPr>
        <w:t>六、一般公共预算财政拨款基本支出决算情况说明</w:t>
      </w:r>
    </w:p>
    <w:p w14:paraId="61952E96">
      <w:pPr>
        <w:spacing w:line="580" w:lineRule="exact"/>
        <w:ind w:firstLine="640"/>
        <w:jc w:val="both"/>
      </w:pPr>
      <w:r>
        <w:rPr>
          <w:rFonts w:ascii="仿宋_GB2312" w:hAnsi="仿宋_GB2312" w:eastAsia="仿宋_GB2312"/>
          <w:b w:val="0"/>
          <w:sz w:val="32"/>
        </w:rPr>
        <w:t>2024年度一般公共预算财政拨款基本支出276.17万元，其中：</w:t>
      </w:r>
      <w:r>
        <w:rPr>
          <w:rFonts w:ascii="仿宋_GB2312" w:hAnsi="仿宋_GB2312" w:eastAsia="仿宋_GB2312"/>
          <w:b/>
          <w:sz w:val="32"/>
        </w:rPr>
        <w:t>人员经费239.24万元，</w:t>
      </w:r>
      <w:r>
        <w:rPr>
          <w:rFonts w:ascii="仿宋_GB2312" w:hAnsi="仿宋_GB2312" w:eastAsia="仿宋_GB2312"/>
          <w:b w:val="0"/>
          <w:sz w:val="32"/>
        </w:rPr>
        <w:t>包括：基本工资、津贴补贴、绩效工资、机关事业单位基本养老保险缴费、职业年金缴费、职工基本医疗保险缴费、其他社会保障缴费、住房公积金、其他工资福利支出。</w:t>
      </w:r>
    </w:p>
    <w:p w14:paraId="7D1D9249">
      <w:pPr>
        <w:spacing w:line="580" w:lineRule="exact"/>
        <w:ind w:firstLine="640"/>
        <w:jc w:val="both"/>
      </w:pPr>
      <w:r>
        <w:rPr>
          <w:rFonts w:ascii="仿宋_GB2312" w:hAnsi="仿宋_GB2312" w:eastAsia="仿宋_GB2312"/>
          <w:b/>
          <w:sz w:val="32"/>
        </w:rPr>
        <w:t>公用经费36.93万元，</w:t>
      </w:r>
      <w:r>
        <w:rPr>
          <w:rFonts w:ascii="仿宋_GB2312" w:hAnsi="仿宋_GB2312" w:eastAsia="仿宋_GB2312"/>
          <w:b w:val="0"/>
          <w:sz w:val="32"/>
        </w:rPr>
        <w:t>包括：办公费、水费、电费、邮电费、取暖费、差旅费、委托业务费、工会经费、税金及附加费用。</w:t>
      </w:r>
    </w:p>
    <w:p w14:paraId="31D76A68">
      <w:pPr>
        <w:spacing w:line="640" w:lineRule="exact"/>
        <w:ind w:firstLine="640"/>
        <w:jc w:val="both"/>
        <w:outlineLvl w:val="2"/>
      </w:pPr>
      <w:r>
        <w:rPr>
          <w:rFonts w:ascii="黑体" w:hAnsi="黑体" w:eastAsia="黑体"/>
          <w:sz w:val="32"/>
        </w:rPr>
        <w:t>七、政府性基金预算财政拨款收入支出决算情况说明</w:t>
      </w:r>
    </w:p>
    <w:p w14:paraId="4267EBE5">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1A220EB">
      <w:pPr>
        <w:spacing w:line="640" w:lineRule="exact"/>
        <w:ind w:firstLine="640"/>
        <w:jc w:val="both"/>
        <w:outlineLvl w:val="2"/>
      </w:pPr>
      <w:r>
        <w:rPr>
          <w:rFonts w:ascii="黑体" w:hAnsi="黑体" w:eastAsia="黑体"/>
          <w:sz w:val="32"/>
        </w:rPr>
        <w:t>八、国有资本经营预算财政拨款收入支出决算情况说明</w:t>
      </w:r>
    </w:p>
    <w:p w14:paraId="401D9F8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41D8B72">
      <w:pPr>
        <w:spacing w:line="640" w:lineRule="exact"/>
        <w:ind w:firstLine="640"/>
        <w:jc w:val="both"/>
        <w:outlineLvl w:val="2"/>
      </w:pPr>
      <w:r>
        <w:rPr>
          <w:rFonts w:ascii="黑体" w:hAnsi="黑体" w:eastAsia="黑体"/>
          <w:sz w:val="32"/>
        </w:rPr>
        <w:t>九、财政拨款“三公”经费支出决算情况说明</w:t>
      </w:r>
    </w:p>
    <w:p w14:paraId="69808A06">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5941D4F6">
      <w:pPr>
        <w:spacing w:line="580" w:lineRule="exact"/>
        <w:ind w:firstLine="640"/>
        <w:jc w:val="both"/>
      </w:pPr>
      <w:r>
        <w:rPr>
          <w:rFonts w:ascii="仿宋_GB2312" w:hAnsi="仿宋_GB2312" w:eastAsia="仿宋_GB2312"/>
          <w:b/>
          <w:sz w:val="32"/>
        </w:rPr>
        <w:t>具体情况如下：</w:t>
      </w:r>
    </w:p>
    <w:p w14:paraId="7A4C0F9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18F6D0F">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1AD8F3CA">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63BB3E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722507A0">
      <w:pPr>
        <w:spacing w:line="640" w:lineRule="exact"/>
        <w:ind w:firstLine="640"/>
        <w:jc w:val="both"/>
        <w:outlineLvl w:val="2"/>
      </w:pPr>
      <w:r>
        <w:rPr>
          <w:rFonts w:ascii="黑体" w:hAnsi="黑体" w:eastAsia="黑体"/>
          <w:sz w:val="32"/>
        </w:rPr>
        <w:t>十、其他重要事项的情况说明</w:t>
      </w:r>
    </w:p>
    <w:p w14:paraId="279AE57B">
      <w:pPr>
        <w:spacing w:line="640" w:lineRule="exact"/>
        <w:ind w:firstLine="640"/>
        <w:jc w:val="both"/>
        <w:outlineLvl w:val="3"/>
      </w:pPr>
      <w:r>
        <w:rPr>
          <w:rFonts w:ascii="楷体_GB2312" w:hAnsi="楷体_GB2312" w:eastAsia="楷体_GB2312"/>
          <w:b/>
          <w:sz w:val="32"/>
        </w:rPr>
        <w:t>（一）机关运行经费及公用经费支出情况</w:t>
      </w:r>
    </w:p>
    <w:p w14:paraId="3E1FD8C1">
      <w:pPr>
        <w:spacing w:line="580" w:lineRule="exact"/>
        <w:ind w:firstLine="640"/>
        <w:jc w:val="both"/>
      </w:pPr>
      <w:r>
        <w:rPr>
          <w:rFonts w:ascii="仿宋_GB2312" w:hAnsi="仿宋_GB2312" w:eastAsia="仿宋_GB2312"/>
          <w:b w:val="0"/>
          <w:sz w:val="32"/>
        </w:rPr>
        <w:t>2024年度霍尔果斯市政务服务中心（事业单位）公用经费支出36.93万元，比上年增加2.49万元，增长7.23%，主要原因是：本年补充办公用品，</w:t>
      </w:r>
      <w:r>
        <w:rPr>
          <w:rFonts w:hint="eastAsia" w:ascii="仿宋_GB2312" w:hAnsi="仿宋_GB2312" w:eastAsia="仿宋_GB2312"/>
          <w:b w:val="0"/>
          <w:sz w:val="32"/>
          <w:lang w:val="en-US" w:eastAsia="zh-CN"/>
        </w:rPr>
        <w:t>增加委托业务费，</w:t>
      </w:r>
      <w:bookmarkStart w:id="0" w:name="_GoBack"/>
      <w:bookmarkEnd w:id="0"/>
      <w:r>
        <w:rPr>
          <w:rFonts w:ascii="仿宋_GB2312" w:hAnsi="仿宋_GB2312" w:eastAsia="仿宋_GB2312"/>
          <w:b w:val="0"/>
          <w:sz w:val="32"/>
        </w:rPr>
        <w:t>导致公用经费较上年增加。</w:t>
      </w:r>
    </w:p>
    <w:p w14:paraId="6AA5F3CC">
      <w:pPr>
        <w:spacing w:line="640" w:lineRule="exact"/>
        <w:ind w:firstLine="640"/>
        <w:jc w:val="both"/>
        <w:outlineLvl w:val="3"/>
      </w:pPr>
      <w:r>
        <w:rPr>
          <w:rFonts w:ascii="楷体_GB2312" w:hAnsi="楷体_GB2312" w:eastAsia="楷体_GB2312"/>
          <w:b/>
          <w:sz w:val="32"/>
        </w:rPr>
        <w:t>（二）政府采购情况</w:t>
      </w:r>
    </w:p>
    <w:p w14:paraId="77282701">
      <w:pPr>
        <w:spacing w:line="580" w:lineRule="exact"/>
        <w:ind w:firstLine="640"/>
        <w:jc w:val="both"/>
      </w:pPr>
      <w:r>
        <w:rPr>
          <w:rFonts w:ascii="仿宋_GB2312" w:hAnsi="仿宋_GB2312" w:eastAsia="仿宋_GB2312"/>
          <w:b w:val="0"/>
          <w:sz w:val="32"/>
        </w:rPr>
        <w:t>2024年度政府采购支出总额34.92万元，其中：政府采购货物支出10.81万元、政府采购工程支出5.17万元、政府采购服务支出18.93万元。</w:t>
      </w:r>
    </w:p>
    <w:p w14:paraId="289F0FBF">
      <w:pPr>
        <w:spacing w:line="580" w:lineRule="exact"/>
        <w:ind w:firstLine="640"/>
        <w:jc w:val="both"/>
      </w:pPr>
      <w:r>
        <w:rPr>
          <w:rFonts w:ascii="仿宋_GB2312" w:hAnsi="仿宋_GB2312" w:eastAsia="仿宋_GB2312"/>
          <w:b w:val="0"/>
          <w:sz w:val="32"/>
        </w:rPr>
        <w:t>授予中小企业合同金额29.39万元，占政府采购支出总额的84.16%，其中：授予小微企业合同金额21.76万元，占政府采购支出总额的62.31%。</w:t>
      </w:r>
    </w:p>
    <w:p w14:paraId="6E03FD73">
      <w:pPr>
        <w:spacing w:line="640" w:lineRule="exact"/>
        <w:ind w:firstLine="640"/>
        <w:jc w:val="both"/>
        <w:outlineLvl w:val="3"/>
      </w:pPr>
      <w:r>
        <w:rPr>
          <w:rFonts w:ascii="楷体_GB2312" w:hAnsi="楷体_GB2312" w:eastAsia="楷体_GB2312"/>
          <w:b/>
          <w:sz w:val="32"/>
        </w:rPr>
        <w:t>（三）国有资产占用情况说明</w:t>
      </w:r>
    </w:p>
    <w:p w14:paraId="7E6074C6">
      <w:pPr>
        <w:spacing w:line="580" w:lineRule="exact"/>
        <w:ind w:firstLine="640"/>
        <w:jc w:val="both"/>
      </w:pPr>
      <w:r>
        <w:rPr>
          <w:rFonts w:ascii="仿宋_GB2312" w:hAnsi="仿宋_GB2312" w:eastAsia="仿宋_GB2312"/>
          <w:b w:val="0"/>
          <w:sz w:val="32"/>
        </w:rPr>
        <w:t>截至2024年12月31日，房屋600.00平方米，价值340.68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7DF84A96">
      <w:pPr>
        <w:spacing w:line="640" w:lineRule="exact"/>
        <w:ind w:firstLine="640"/>
        <w:jc w:val="both"/>
        <w:outlineLvl w:val="2"/>
      </w:pPr>
      <w:r>
        <w:rPr>
          <w:rFonts w:ascii="黑体" w:hAnsi="黑体" w:eastAsia="黑体"/>
          <w:sz w:val="32"/>
        </w:rPr>
        <w:t>十一、预算绩效的情况说明</w:t>
      </w:r>
    </w:p>
    <w:p w14:paraId="742CD973">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426.97万元，实际执行总额423.68万元；预算绩效评价项目4个，全年预算数142.52万元，全年执行数138.30万元。预算绩效管理取得的成效：一是营造良好的营商环境，方便企业、办事群众办事；二是确保便民服务有序开展。发现的问题及原因：一是对于绩效评价的认识不够深入，把预算绩效简单等同于工作目标、工作考核和业务管理；二是绩效目标和指标往往根据项目实际完成情况制定，对项目执行过程有效约束不够，存在一定的偏差。下一步改进措施：一是单位不断强化预算意识，实行部门预算管理，形成以单位领导支持、其他部门密切配合的工作格局，保证预算编制质量。结合单位业务情况，进行科学合理分配细化，部门预算经批复后，跟踪预算执行进度，及时组织收入，科学合理安排支出，降低预算支出的波动幅度；二是加强预算绩效动态监控管理，及时跟踪项目进度，对项目实施中存在的具体问题采取纠偏措施。具体附整体支出绩效自评表，项目支出绩效自评表。</w:t>
      </w:r>
    </w:p>
    <w:p w14:paraId="4C59FAFC">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1D2BCF46">
        <w:tblPrEx>
          <w:tblCellMar>
            <w:top w:w="0" w:type="dxa"/>
            <w:left w:w="108" w:type="dxa"/>
            <w:bottom w:w="0" w:type="dxa"/>
            <w:right w:w="108" w:type="dxa"/>
          </w:tblCellMar>
        </w:tblPrEx>
        <w:tc>
          <w:tcPr>
            <w:tcW w:w="8840" w:type="dxa"/>
            <w:gridSpan w:val="8"/>
            <w:vAlign w:val="center"/>
          </w:tcPr>
          <w:p w14:paraId="2ABB0042">
            <w:pPr>
              <w:jc w:val="center"/>
            </w:pPr>
            <w:r>
              <w:rPr>
                <w:rFonts w:ascii="宋体" w:hAnsi="宋体" w:eastAsia="宋体"/>
                <w:sz w:val="24"/>
              </w:rPr>
              <w:t>单位整体支出绩效自评表</w:t>
            </w:r>
          </w:p>
        </w:tc>
      </w:tr>
      <w:tr w14:paraId="6F299F70">
        <w:tblPrEx>
          <w:tblCellMar>
            <w:top w:w="0" w:type="dxa"/>
            <w:left w:w="108" w:type="dxa"/>
            <w:bottom w:w="0" w:type="dxa"/>
            <w:right w:w="108" w:type="dxa"/>
          </w:tblCellMar>
        </w:tblPrEx>
        <w:tc>
          <w:tcPr>
            <w:tcW w:w="8840" w:type="dxa"/>
            <w:gridSpan w:val="8"/>
            <w:vAlign w:val="center"/>
          </w:tcPr>
          <w:p w14:paraId="4F0EEF91">
            <w:pPr>
              <w:jc w:val="center"/>
            </w:pPr>
            <w:r>
              <w:rPr>
                <w:rFonts w:ascii="宋体" w:hAnsi="宋体" w:eastAsia="宋体"/>
                <w:sz w:val="24"/>
              </w:rPr>
              <w:t>（2024年度）</w:t>
            </w:r>
          </w:p>
        </w:tc>
      </w:tr>
      <w:tr w14:paraId="337817E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8B5C1E">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698A66">
            <w:pPr>
              <w:jc w:val="center"/>
            </w:pPr>
            <w:r>
              <w:rPr>
                <w:rFonts w:ascii="宋体" w:hAnsi="宋体" w:eastAsia="宋体"/>
                <w:sz w:val="16"/>
              </w:rPr>
              <w:t>霍尔果斯市政务服务中心</w:t>
            </w:r>
          </w:p>
        </w:tc>
      </w:tr>
      <w:tr w14:paraId="6811D79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E5F68F">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D4F0BB">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BD64C9">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64FC48">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13DEDE">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4A3B8A">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A8EF23">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68F46D">
            <w:pPr>
              <w:jc w:val="center"/>
            </w:pPr>
            <w:r>
              <w:rPr>
                <w:rFonts w:ascii="宋体" w:hAnsi="宋体" w:eastAsia="宋体"/>
                <w:sz w:val="16"/>
              </w:rPr>
              <w:t>得分</w:t>
            </w:r>
          </w:p>
        </w:tc>
      </w:tr>
      <w:tr w14:paraId="545833C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AB2288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2BDEDD">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335AA9">
            <w:pPr>
              <w:jc w:val="center"/>
            </w:pPr>
            <w:r>
              <w:rPr>
                <w:rFonts w:ascii="宋体" w:hAnsi="宋体" w:eastAsia="宋体"/>
                <w:sz w:val="16"/>
              </w:rPr>
              <w:t>351.06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B45AF8">
            <w:pPr>
              <w:jc w:val="center"/>
            </w:pPr>
            <w:r>
              <w:rPr>
                <w:rFonts w:ascii="宋体" w:hAnsi="宋体" w:eastAsia="宋体"/>
                <w:sz w:val="16"/>
              </w:rPr>
              <w:t>426.97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A6F6B4">
            <w:pPr>
              <w:jc w:val="center"/>
            </w:pPr>
            <w:r>
              <w:rPr>
                <w:rFonts w:ascii="宋体" w:hAnsi="宋体" w:eastAsia="宋体"/>
                <w:sz w:val="16"/>
              </w:rPr>
              <w:t>423.68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EC1F6E">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3E29C0">
            <w:pPr>
              <w:jc w:val="center"/>
            </w:pPr>
            <w:r>
              <w:rPr>
                <w:rFonts w:ascii="宋体" w:hAnsi="宋体" w:eastAsia="宋体"/>
                <w:sz w:val="16"/>
              </w:rPr>
              <w:t>99.23%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8FF96D">
            <w:pPr>
              <w:jc w:val="center"/>
            </w:pPr>
            <w:r>
              <w:rPr>
                <w:rFonts w:ascii="宋体" w:hAnsi="宋体" w:eastAsia="宋体"/>
                <w:sz w:val="16"/>
              </w:rPr>
              <w:t>9.92</w:t>
            </w:r>
          </w:p>
        </w:tc>
      </w:tr>
      <w:tr w14:paraId="6564653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044111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EA7755">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491F0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421753">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796AD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41BB4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55BAE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17B146">
            <w:pPr>
              <w:jc w:val="center"/>
            </w:pPr>
            <w:r>
              <w:rPr>
                <w:rFonts w:ascii="宋体" w:hAnsi="宋体" w:eastAsia="宋体"/>
                <w:sz w:val="16"/>
              </w:rPr>
              <w:t>-</w:t>
            </w:r>
          </w:p>
        </w:tc>
      </w:tr>
      <w:tr w14:paraId="45B580B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929467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40BC39">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0AB84D">
            <w:pPr>
              <w:jc w:val="center"/>
            </w:pPr>
            <w:r>
              <w:rPr>
                <w:rFonts w:ascii="宋体" w:hAnsi="宋体" w:eastAsia="宋体"/>
                <w:sz w:val="16"/>
              </w:rPr>
              <w:t>350.39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E13086">
            <w:pPr>
              <w:jc w:val="center"/>
            </w:pPr>
            <w:r>
              <w:rPr>
                <w:rFonts w:ascii="宋体" w:hAnsi="宋体" w:eastAsia="宋体"/>
                <w:sz w:val="16"/>
              </w:rPr>
              <w:t>426.05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23398B">
            <w:pPr>
              <w:jc w:val="center"/>
            </w:pPr>
            <w:r>
              <w:rPr>
                <w:rFonts w:ascii="宋体" w:hAnsi="宋体" w:eastAsia="宋体"/>
                <w:sz w:val="16"/>
              </w:rPr>
              <w:t>422.76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74CDA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CA806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830D57">
            <w:pPr>
              <w:jc w:val="center"/>
            </w:pPr>
            <w:r>
              <w:rPr>
                <w:rFonts w:ascii="宋体" w:hAnsi="宋体" w:eastAsia="宋体"/>
                <w:sz w:val="16"/>
              </w:rPr>
              <w:t>-</w:t>
            </w:r>
          </w:p>
        </w:tc>
      </w:tr>
      <w:tr w14:paraId="6397BA1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A404DB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407FBC">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965FC4">
            <w:pPr>
              <w:jc w:val="center"/>
            </w:pPr>
            <w:r>
              <w:rPr>
                <w:rFonts w:ascii="宋体" w:hAnsi="宋体" w:eastAsia="宋体"/>
                <w:sz w:val="16"/>
              </w:rPr>
              <w:t>0.67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E8B179">
            <w:pPr>
              <w:jc w:val="center"/>
            </w:pPr>
            <w:r>
              <w:rPr>
                <w:rFonts w:ascii="宋体" w:hAnsi="宋体" w:eastAsia="宋体"/>
                <w:sz w:val="16"/>
              </w:rPr>
              <w:t>0.92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42166D">
            <w:pPr>
              <w:jc w:val="center"/>
            </w:pPr>
            <w:r>
              <w:rPr>
                <w:rFonts w:ascii="宋体" w:hAnsi="宋体" w:eastAsia="宋体"/>
                <w:sz w:val="16"/>
              </w:rPr>
              <w:t>0.92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843F1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6F0E7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6BC79E">
            <w:pPr>
              <w:jc w:val="center"/>
            </w:pPr>
            <w:r>
              <w:rPr>
                <w:rFonts w:ascii="宋体" w:hAnsi="宋体" w:eastAsia="宋体"/>
                <w:sz w:val="16"/>
              </w:rPr>
              <w:t>-</w:t>
            </w:r>
          </w:p>
        </w:tc>
      </w:tr>
      <w:tr w14:paraId="2120598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F8BD8B">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C963EC">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5C7B2B">
            <w:pPr>
              <w:jc w:val="center"/>
            </w:pPr>
            <w:r>
              <w:rPr>
                <w:rFonts w:ascii="宋体" w:hAnsi="宋体" w:eastAsia="宋体"/>
                <w:sz w:val="16"/>
              </w:rPr>
              <w:t>实际完成情况</w:t>
            </w:r>
          </w:p>
        </w:tc>
      </w:tr>
      <w:tr w14:paraId="4DD64B5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9BD968A"/>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9439BFE">
            <w:pPr>
              <w:jc w:val="both"/>
            </w:pPr>
            <w:r>
              <w:rPr>
                <w:rFonts w:ascii="宋体" w:hAnsi="宋体" w:eastAsia="宋体"/>
                <w:sz w:val="16"/>
              </w:rPr>
              <w:t>提升政务服务中心公共服务能力，推进自治区政务服务规范化、标准化。完成大厅老旧设施设备维修、楼宇修缮、2024年便民证照费、2024年水电电话费缴纳、2024年专家评审费、按照自治区标杆大厅建设、大厅保障、统一服务。为企业群众提供高效的便捷服务，成为深化“放管服”改革、优化营商环境的重要载体和支撑。积极推进自治区本级政务服务平台和公共资源交易工作，规范政务大厅和公共资源交易大厅的日常管理。</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944E84">
            <w:pPr>
              <w:jc w:val="both"/>
            </w:pPr>
            <w:r>
              <w:rPr>
                <w:rFonts w:ascii="宋体" w:hAnsi="宋体" w:eastAsia="宋体"/>
                <w:sz w:val="16"/>
              </w:rPr>
              <w:t>保障政务服务中心2024年1-12月水、电、电话费缴纳、2024年专家评审费、2024年便民证照费、2024年大厅老旧设施设备维修及维保、楼宇修缮等，保障政务服务大厅正常运转，为企业群众提供高效的便捷服务，成为深化“放管服”改革、优化营商环境的重要载体和支撑。</w:t>
            </w:r>
          </w:p>
        </w:tc>
      </w:tr>
      <w:tr w14:paraId="4A0BD8E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2194E8">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68B9C6">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E4CA41">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AC7FEE">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F52F7E">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052BE3">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1BEC2A">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156E13">
            <w:pPr>
              <w:jc w:val="center"/>
            </w:pPr>
            <w:r>
              <w:rPr>
                <w:rFonts w:ascii="宋体" w:hAnsi="宋体" w:eastAsia="宋体"/>
                <w:sz w:val="16"/>
              </w:rPr>
              <w:t>得分</w:t>
            </w:r>
          </w:p>
        </w:tc>
      </w:tr>
      <w:tr w14:paraId="2487A61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C32BB3">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AEF2E6">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48F477">
            <w:pPr>
              <w:jc w:val="center"/>
            </w:pPr>
            <w:r>
              <w:rPr>
                <w:rFonts w:hint="eastAsia" w:ascii="宋体" w:hAnsi="宋体"/>
                <w:sz w:val="16"/>
                <w:lang w:eastAsia="zh-CN"/>
              </w:rPr>
              <w:t>“一网通办”</w:t>
            </w:r>
            <w:r>
              <w:rPr>
                <w:rFonts w:ascii="宋体" w:hAnsi="宋体" w:eastAsia="宋体"/>
                <w:sz w:val="16"/>
              </w:rPr>
              <w:t>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FE628D">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129344">
            <w:pPr>
              <w:jc w:val="center"/>
            </w:pPr>
            <w:r>
              <w:rPr>
                <w:rFonts w:ascii="宋体" w:hAnsi="宋体" w:eastAsia="宋体"/>
                <w:sz w:val="16"/>
              </w:rPr>
              <w:t>政务服务中心2024年工作计划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6777B2">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F2116F">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5217DA">
            <w:pPr>
              <w:jc w:val="center"/>
            </w:pPr>
            <w:r>
              <w:rPr>
                <w:rFonts w:ascii="宋体" w:hAnsi="宋体" w:eastAsia="宋体"/>
                <w:sz w:val="16"/>
              </w:rPr>
              <w:t>25</w:t>
            </w:r>
          </w:p>
        </w:tc>
      </w:tr>
      <w:tr w14:paraId="532B16C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93AB23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694BD2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C35075">
            <w:pPr>
              <w:jc w:val="center"/>
            </w:pPr>
            <w:r>
              <w:rPr>
                <w:rFonts w:ascii="宋体" w:hAnsi="宋体" w:eastAsia="宋体"/>
                <w:sz w:val="16"/>
              </w:rPr>
              <w:t>政务服务一次性办结率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C4D8AA">
            <w:pPr>
              <w:jc w:val="center"/>
            </w:pPr>
            <w:r>
              <w:rPr>
                <w:rFonts w:ascii="宋体" w:hAnsi="宋体" w:eastAsia="宋体"/>
                <w:sz w:val="16"/>
              </w:rPr>
              <w:t>&gt;=80%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C0BA0F">
            <w:pPr>
              <w:jc w:val="center"/>
            </w:pPr>
            <w:r>
              <w:rPr>
                <w:rFonts w:ascii="宋体" w:hAnsi="宋体" w:eastAsia="宋体"/>
                <w:sz w:val="16"/>
              </w:rPr>
              <w:t>政务服务中心2024年工作计划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8F6467">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79960B">
            <w:pPr>
              <w:jc w:val="center"/>
            </w:pPr>
            <w:r>
              <w:rPr>
                <w:rFonts w:ascii="宋体" w:hAnsi="宋体" w:eastAsia="宋体"/>
                <w:sz w:val="16"/>
              </w:rPr>
              <w:t>80%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930BC6">
            <w:pPr>
              <w:jc w:val="center"/>
            </w:pPr>
            <w:r>
              <w:rPr>
                <w:rFonts w:ascii="宋体" w:hAnsi="宋体" w:eastAsia="宋体"/>
                <w:sz w:val="16"/>
              </w:rPr>
              <w:t>25</w:t>
            </w:r>
          </w:p>
        </w:tc>
      </w:tr>
      <w:tr w14:paraId="2E8511A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B8976C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3EA1DE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BE030C">
            <w:pPr>
              <w:jc w:val="center"/>
            </w:pPr>
            <w:r>
              <w:rPr>
                <w:rFonts w:ascii="宋体" w:hAnsi="宋体" w:eastAsia="宋体"/>
                <w:sz w:val="16"/>
              </w:rPr>
              <w:t>“好差评”闭环完成率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0434CE">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C4FEA4">
            <w:pPr>
              <w:jc w:val="center"/>
            </w:pPr>
            <w:r>
              <w:rPr>
                <w:rFonts w:ascii="宋体" w:hAnsi="宋体" w:eastAsia="宋体"/>
                <w:sz w:val="16"/>
              </w:rPr>
              <w:t>政务服务中心2024年工作计划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FA6BAC">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AFB6CD">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3C26AF">
            <w:pPr>
              <w:jc w:val="center"/>
            </w:pPr>
            <w:r>
              <w:rPr>
                <w:rFonts w:ascii="宋体" w:hAnsi="宋体" w:eastAsia="宋体"/>
                <w:sz w:val="16"/>
              </w:rPr>
              <w:t>25</w:t>
            </w:r>
          </w:p>
        </w:tc>
      </w:tr>
      <w:tr w14:paraId="41F54BC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88CDC9">
            <w:pPr>
              <w:jc w:val="center"/>
            </w:pPr>
            <w:r>
              <w:rPr>
                <w:rFonts w:ascii="宋体" w:hAnsi="宋体" w:eastAsia="宋体"/>
                <w:sz w:val="16"/>
              </w:rPr>
              <w:t>服务对象满意度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A5130F">
            <w:pPr>
              <w:jc w:val="center"/>
            </w:pPr>
            <w:r>
              <w:rPr>
                <w:rFonts w:ascii="宋体" w:hAnsi="宋体" w:eastAsia="宋体"/>
                <w:sz w:val="16"/>
              </w:rPr>
              <w:t>满意度指标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2EBE81">
            <w:pPr>
              <w:jc w:val="center"/>
            </w:pPr>
            <w:r>
              <w:rPr>
                <w:rFonts w:ascii="宋体" w:hAnsi="宋体" w:eastAsia="宋体"/>
                <w:sz w:val="16"/>
              </w:rPr>
              <w:t>服务群众满意度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EF951C">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1EECD5">
            <w:pPr>
              <w:jc w:val="center"/>
            </w:pPr>
            <w:r>
              <w:rPr>
                <w:rFonts w:ascii="宋体" w:hAnsi="宋体" w:eastAsia="宋体"/>
                <w:sz w:val="16"/>
              </w:rPr>
              <w:t>政务服务中心2024年工作计划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377739">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F972E1">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4D2AA7">
            <w:pPr>
              <w:jc w:val="center"/>
            </w:pPr>
            <w:r>
              <w:rPr>
                <w:rFonts w:ascii="宋体" w:hAnsi="宋体" w:eastAsia="宋体"/>
                <w:sz w:val="16"/>
              </w:rPr>
              <w:t>15</w:t>
            </w:r>
          </w:p>
        </w:tc>
      </w:tr>
    </w:tbl>
    <w:p w14:paraId="69827E7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4CE0799">
        <w:tblPrEx>
          <w:tblCellMar>
            <w:top w:w="0" w:type="dxa"/>
            <w:left w:w="108" w:type="dxa"/>
            <w:bottom w:w="0" w:type="dxa"/>
            <w:right w:w="108" w:type="dxa"/>
          </w:tblCellMar>
        </w:tblPrEx>
        <w:tc>
          <w:tcPr>
            <w:tcW w:w="8848" w:type="dxa"/>
            <w:gridSpan w:val="14"/>
            <w:vAlign w:val="center"/>
          </w:tcPr>
          <w:p w14:paraId="60803BB9">
            <w:pPr>
              <w:jc w:val="center"/>
            </w:pPr>
            <w:r>
              <w:rPr>
                <w:rFonts w:ascii="宋体" w:hAnsi="宋体" w:eastAsia="宋体"/>
                <w:sz w:val="24"/>
              </w:rPr>
              <w:t>项目支出绩效自评表</w:t>
            </w:r>
          </w:p>
        </w:tc>
      </w:tr>
      <w:tr w14:paraId="699E8C32">
        <w:tblPrEx>
          <w:tblCellMar>
            <w:top w:w="0" w:type="dxa"/>
            <w:left w:w="108" w:type="dxa"/>
            <w:bottom w:w="0" w:type="dxa"/>
            <w:right w:w="108" w:type="dxa"/>
          </w:tblCellMar>
        </w:tblPrEx>
        <w:tc>
          <w:tcPr>
            <w:tcW w:w="8848" w:type="dxa"/>
            <w:gridSpan w:val="14"/>
            <w:vAlign w:val="center"/>
          </w:tcPr>
          <w:p w14:paraId="6346AE04">
            <w:pPr>
              <w:jc w:val="center"/>
            </w:pPr>
            <w:r>
              <w:rPr>
                <w:rFonts w:ascii="宋体" w:hAnsi="宋体" w:eastAsia="宋体"/>
                <w:sz w:val="24"/>
              </w:rPr>
              <w:t>(2024年度)</w:t>
            </w:r>
          </w:p>
        </w:tc>
      </w:tr>
      <w:tr w14:paraId="3C9801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ECB1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27FEFE">
            <w:pPr>
              <w:jc w:val="center"/>
            </w:pPr>
            <w:r>
              <w:rPr>
                <w:rFonts w:ascii="宋体" w:hAnsi="宋体" w:eastAsia="宋体"/>
                <w:sz w:val="16"/>
              </w:rPr>
              <w:t>2023年政务服务中心实有资金</w:t>
            </w:r>
          </w:p>
        </w:tc>
      </w:tr>
      <w:tr w14:paraId="57632B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B043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913B35">
            <w:pPr>
              <w:jc w:val="center"/>
            </w:pPr>
            <w:r>
              <w:rPr>
                <w:rFonts w:ascii="宋体" w:hAnsi="宋体" w:eastAsia="宋体"/>
                <w:sz w:val="16"/>
              </w:rPr>
              <w:t>霍尔果斯市政务服务中心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0272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AAC970">
            <w:pPr>
              <w:jc w:val="center"/>
            </w:pPr>
            <w:r>
              <w:rPr>
                <w:rFonts w:ascii="宋体" w:hAnsi="宋体" w:eastAsia="宋体"/>
                <w:sz w:val="16"/>
              </w:rPr>
              <w:t>霍尔果斯市政务服务中心</w:t>
            </w:r>
          </w:p>
        </w:tc>
      </w:tr>
      <w:tr w14:paraId="084DD6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8A413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0651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B305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E1DC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EDD7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F60D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3832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DCFB3">
            <w:pPr>
              <w:jc w:val="center"/>
            </w:pPr>
            <w:r>
              <w:rPr>
                <w:rFonts w:ascii="宋体" w:hAnsi="宋体" w:eastAsia="宋体"/>
                <w:sz w:val="16"/>
              </w:rPr>
              <w:t>得分</w:t>
            </w:r>
          </w:p>
        </w:tc>
      </w:tr>
      <w:tr w14:paraId="1EE6E7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E3B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1913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721EA">
            <w:pPr>
              <w:jc w:val="center"/>
            </w:pPr>
            <w:r>
              <w:rPr>
                <w:rFonts w:ascii="宋体" w:hAnsi="宋体" w:eastAsia="宋体"/>
                <w:sz w:val="16"/>
              </w:rPr>
              <w:t>0.92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ACFF7">
            <w:pPr>
              <w:jc w:val="center"/>
            </w:pPr>
            <w:r>
              <w:rPr>
                <w:rFonts w:ascii="宋体" w:hAnsi="宋体" w:eastAsia="宋体"/>
                <w:sz w:val="16"/>
              </w:rPr>
              <w:t>0.92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1C88F">
            <w:pPr>
              <w:jc w:val="center"/>
            </w:pPr>
            <w:r>
              <w:rPr>
                <w:rFonts w:ascii="宋体" w:hAnsi="宋体" w:eastAsia="宋体"/>
                <w:sz w:val="16"/>
              </w:rPr>
              <w:t>0.92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C75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6134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AB113">
            <w:pPr>
              <w:jc w:val="center"/>
            </w:pPr>
            <w:r>
              <w:rPr>
                <w:rFonts w:ascii="宋体" w:hAnsi="宋体" w:eastAsia="宋体"/>
                <w:sz w:val="16"/>
              </w:rPr>
              <w:t>10.00</w:t>
            </w:r>
          </w:p>
        </w:tc>
      </w:tr>
      <w:tr w14:paraId="716937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0C7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BAD0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701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524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8E7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93F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4B0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8BBE5">
            <w:pPr>
              <w:jc w:val="center"/>
            </w:pPr>
            <w:r>
              <w:rPr>
                <w:rFonts w:ascii="宋体" w:hAnsi="宋体" w:eastAsia="宋体"/>
                <w:sz w:val="16"/>
              </w:rPr>
              <w:t>—</w:t>
            </w:r>
          </w:p>
        </w:tc>
      </w:tr>
      <w:tr w14:paraId="72CED9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2B5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62C3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B713B">
            <w:pPr>
              <w:jc w:val="center"/>
            </w:pPr>
            <w:r>
              <w:rPr>
                <w:rFonts w:ascii="宋体" w:hAnsi="宋体" w:eastAsia="宋体"/>
                <w:sz w:val="16"/>
              </w:rPr>
              <w:t>0.92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CC385">
            <w:pPr>
              <w:jc w:val="center"/>
            </w:pPr>
            <w:r>
              <w:rPr>
                <w:rFonts w:ascii="宋体" w:hAnsi="宋体" w:eastAsia="宋体"/>
                <w:sz w:val="16"/>
              </w:rPr>
              <w:t>0.92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0982D">
            <w:pPr>
              <w:jc w:val="center"/>
            </w:pPr>
            <w:r>
              <w:rPr>
                <w:rFonts w:ascii="宋体" w:hAnsi="宋体" w:eastAsia="宋体"/>
                <w:sz w:val="16"/>
              </w:rPr>
              <w:t>0.92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95D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BB3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4C9B2">
            <w:pPr>
              <w:jc w:val="center"/>
            </w:pPr>
            <w:r>
              <w:rPr>
                <w:rFonts w:ascii="宋体" w:hAnsi="宋体" w:eastAsia="宋体"/>
                <w:sz w:val="16"/>
              </w:rPr>
              <w:t>—</w:t>
            </w:r>
          </w:p>
        </w:tc>
      </w:tr>
      <w:tr w14:paraId="2EF8B1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379B7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CEC40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F15089">
            <w:pPr>
              <w:jc w:val="center"/>
            </w:pPr>
            <w:r>
              <w:rPr>
                <w:rFonts w:ascii="宋体" w:hAnsi="宋体" w:eastAsia="宋体"/>
                <w:sz w:val="16"/>
              </w:rPr>
              <w:t>实际完成情况</w:t>
            </w:r>
          </w:p>
        </w:tc>
      </w:tr>
      <w:tr w14:paraId="36CA67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C9EF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9F58BF">
            <w:pPr>
              <w:jc w:val="both"/>
            </w:pPr>
            <w:r>
              <w:rPr>
                <w:rFonts w:ascii="宋体" w:hAnsi="宋体" w:eastAsia="宋体"/>
                <w:sz w:val="16"/>
              </w:rPr>
              <w:t>丰富单位职工精神生活，不断丰富文化内涵，推动单位文化建设。把民生温度作为 检验工作的重要标尺，把所有工作的出发点和落脚点凝聚在“服 务”这两个字上，让企业群众满意。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7699C3">
            <w:pPr>
              <w:jc w:val="both"/>
            </w:pPr>
            <w:r>
              <w:rPr>
                <w:rFonts w:ascii="宋体" w:hAnsi="宋体" w:eastAsia="宋体"/>
                <w:sz w:val="16"/>
              </w:rPr>
              <w:t>保障政务服务中心2025年开展工会活动，保证会员职工精神生活丰富，推动单位文化建设，有效提高工作人员积极性。</w:t>
            </w:r>
          </w:p>
        </w:tc>
      </w:tr>
      <w:tr w14:paraId="70DCE1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2CB6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EF2E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5894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CBC2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D290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1A11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193D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72A0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94DF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1825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BDBF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A44B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0EBC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6C04B">
            <w:pPr>
              <w:jc w:val="center"/>
            </w:pPr>
            <w:r>
              <w:rPr>
                <w:rFonts w:ascii="宋体" w:hAnsi="宋体" w:eastAsia="宋体"/>
                <w:sz w:val="16"/>
              </w:rPr>
              <w:t>偏差原因分析及改进措施</w:t>
            </w:r>
          </w:p>
        </w:tc>
      </w:tr>
      <w:tr w14:paraId="44F215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EB2C1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0D7DE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6F67E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99233">
            <w:pPr>
              <w:jc w:val="center"/>
            </w:pPr>
            <w:r>
              <w:rPr>
                <w:rFonts w:ascii="宋体" w:hAnsi="宋体" w:eastAsia="宋体"/>
                <w:sz w:val="16"/>
              </w:rPr>
              <w:t>采购活动物品批次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5AA2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4D496">
            <w:pPr>
              <w:jc w:val="center"/>
            </w:pPr>
            <w:r>
              <w:rPr>
                <w:rFonts w:ascii="宋体" w:hAnsi="宋体" w:eastAsia="宋体"/>
                <w:sz w:val="16"/>
              </w:rPr>
              <w:t>&gt;=5批次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253B7">
            <w:pPr>
              <w:jc w:val="center"/>
            </w:pPr>
            <w:r>
              <w:rPr>
                <w:rFonts w:ascii="宋体" w:hAnsi="宋体" w:eastAsia="宋体"/>
                <w:sz w:val="16"/>
              </w:rPr>
              <w:t>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741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5BC4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06D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F7E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D4E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6FF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1A70C">
            <w:pPr>
              <w:jc w:val="center"/>
            </w:pPr>
          </w:p>
        </w:tc>
      </w:tr>
      <w:tr w14:paraId="795751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5C3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BD7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E91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82475">
            <w:pPr>
              <w:jc w:val="center"/>
            </w:pPr>
            <w:r>
              <w:rPr>
                <w:rFonts w:ascii="宋体" w:hAnsi="宋体" w:eastAsia="宋体"/>
                <w:sz w:val="16"/>
              </w:rPr>
              <w:t>参加活动人数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44B8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C650F">
            <w:pPr>
              <w:jc w:val="center"/>
            </w:pPr>
            <w:r>
              <w:rPr>
                <w:rFonts w:ascii="宋体" w:hAnsi="宋体" w:eastAsia="宋体"/>
                <w:sz w:val="16"/>
              </w:rPr>
              <w:t>&gt;=15人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310E2">
            <w:pPr>
              <w:jc w:val="center"/>
            </w:pPr>
            <w:r>
              <w:rPr>
                <w:rFonts w:ascii="宋体" w:hAnsi="宋体" w:eastAsia="宋体"/>
                <w:sz w:val="16"/>
              </w:rPr>
              <w: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461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D122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568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EEF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4CF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B9C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5D85D">
            <w:pPr>
              <w:jc w:val="center"/>
            </w:pPr>
          </w:p>
        </w:tc>
      </w:tr>
      <w:tr w14:paraId="17CCB3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FE0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544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B60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DFBB9">
            <w:pPr>
              <w:jc w:val="center"/>
            </w:pPr>
            <w:r>
              <w:rPr>
                <w:rFonts w:ascii="宋体" w:hAnsi="宋体" w:eastAsia="宋体"/>
                <w:sz w:val="16"/>
              </w:rPr>
              <w:t>举办活动场次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84D8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6EFB3">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E85AB">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3AF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9055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1DB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C8B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B57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8F6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1EFD2">
            <w:pPr>
              <w:jc w:val="center"/>
            </w:pPr>
          </w:p>
        </w:tc>
      </w:tr>
      <w:tr w14:paraId="53422B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39D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67BB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9575A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27262">
            <w:pPr>
              <w:jc w:val="center"/>
            </w:pPr>
            <w:r>
              <w:rPr>
                <w:rFonts w:ascii="宋体" w:hAnsi="宋体" w:eastAsia="宋体"/>
                <w:sz w:val="16"/>
              </w:rPr>
              <w:t>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FBC7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93D1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4F9C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130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0E61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43B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F42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9EB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7D9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FC40D">
            <w:pPr>
              <w:jc w:val="center"/>
            </w:pPr>
          </w:p>
        </w:tc>
      </w:tr>
      <w:tr w14:paraId="09D4A1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96A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62D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E44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C102B">
            <w:pPr>
              <w:jc w:val="center"/>
            </w:pPr>
            <w:r>
              <w:rPr>
                <w:rFonts w:ascii="宋体" w:hAnsi="宋体" w:eastAsia="宋体"/>
                <w:sz w:val="16"/>
              </w:rPr>
              <w:t>采购物品质量合格率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8AF5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8C8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E1A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7B8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96DE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235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9DC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39F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2B0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B6AA6">
            <w:pPr>
              <w:jc w:val="center"/>
            </w:pPr>
          </w:p>
        </w:tc>
      </w:tr>
      <w:tr w14:paraId="6EBC81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673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98D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78E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F888C">
            <w:pPr>
              <w:jc w:val="center"/>
            </w:pPr>
            <w:r>
              <w:rPr>
                <w:rFonts w:ascii="宋体" w:hAnsi="宋体" w:eastAsia="宋体"/>
                <w:sz w:val="16"/>
              </w:rPr>
              <w:t>采购物品验收合格率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10F3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95A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3C5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2B7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459D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E97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B3D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7FC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9A0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2CCE4">
            <w:pPr>
              <w:jc w:val="center"/>
            </w:pPr>
          </w:p>
        </w:tc>
      </w:tr>
      <w:tr w14:paraId="0FB079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6BF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9A1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070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6FD24">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60DD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481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38A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B0F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70CA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9B7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DF7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8F8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1AA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9938A">
            <w:pPr>
              <w:jc w:val="center"/>
            </w:pPr>
          </w:p>
        </w:tc>
      </w:tr>
      <w:tr w14:paraId="33CA38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032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503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C9DE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0A1B1">
            <w:pPr>
              <w:jc w:val="center"/>
            </w:pPr>
            <w:r>
              <w:rPr>
                <w:rFonts w:ascii="宋体" w:hAnsi="宋体" w:eastAsia="宋体"/>
                <w:sz w:val="16"/>
              </w:rPr>
              <w:t>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708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1C1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E11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1F3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2D5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16A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6CE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13E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A2E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1D956">
            <w:pPr>
              <w:jc w:val="center"/>
            </w:pPr>
          </w:p>
        </w:tc>
      </w:tr>
      <w:tr w14:paraId="37C263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9D3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E5EF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701B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1ADA3">
            <w:pPr>
              <w:jc w:val="center"/>
            </w:pPr>
            <w:r>
              <w:rPr>
                <w:rFonts w:ascii="宋体" w:hAnsi="宋体" w:eastAsia="宋体"/>
                <w:sz w:val="16"/>
              </w:rPr>
              <w:t>提高工会会员工作积极性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2F937">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B2944">
            <w:pPr>
              <w:jc w:val="center"/>
            </w:pPr>
            <w:r>
              <w:rPr>
                <w:rFonts w:ascii="宋体" w:hAnsi="宋体" w:eastAsia="宋体"/>
                <w:sz w:val="16"/>
              </w:rPr>
              <w:t>&gt;=95有效提高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7C9D4">
            <w:pPr>
              <w:jc w:val="center"/>
            </w:pPr>
            <w:r>
              <w:rPr>
                <w:rFonts w:ascii="宋体" w:hAnsi="宋体" w:eastAsia="宋体"/>
                <w:sz w:val="16"/>
              </w:rPr>
              <w:t>95有效提高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525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365E3">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068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65E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3677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EEB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514D0">
            <w:pPr>
              <w:jc w:val="center"/>
            </w:pPr>
          </w:p>
        </w:tc>
      </w:tr>
      <w:tr w14:paraId="130301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BCA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40D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473B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B5E17">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BB3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4865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C717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7F8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B4E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A8C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48E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6E11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108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7448B">
            <w:pPr>
              <w:jc w:val="center"/>
            </w:pPr>
          </w:p>
        </w:tc>
      </w:tr>
      <w:tr w14:paraId="1641B0F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6E6F4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E13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42BE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EE24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1616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92699">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D5FA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AEF2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F521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DFF1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3256CE"/>
        </w:tc>
      </w:tr>
    </w:tbl>
    <w:p w14:paraId="5D281859">
      <w:r>
        <w:br w:type="page"/>
      </w:r>
    </w:p>
    <w:tbl>
      <w:tblPr>
        <w:tblStyle w:val="9"/>
        <w:tblW w:w="0" w:type="auto"/>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23"/>
        <w:gridCol w:w="434"/>
        <w:gridCol w:w="455"/>
        <w:gridCol w:w="498"/>
        <w:gridCol w:w="699"/>
        <w:gridCol w:w="1072"/>
        <w:gridCol w:w="888"/>
        <w:gridCol w:w="769"/>
        <w:gridCol w:w="686"/>
        <w:gridCol w:w="440"/>
        <w:gridCol w:w="964"/>
        <w:gridCol w:w="446"/>
        <w:gridCol w:w="422"/>
        <w:gridCol w:w="766"/>
      </w:tblGrid>
      <w:tr w14:paraId="5A0A38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0" w:type="auto"/>
            <w:gridSpan w:val="14"/>
            <w:tcBorders>
              <w:top w:val="nil"/>
              <w:left w:val="nil"/>
              <w:bottom w:val="nil"/>
              <w:right w:val="nil"/>
            </w:tcBorders>
            <w:shd w:val="clear" w:color="auto" w:fill="auto"/>
            <w:vAlign w:val="center"/>
          </w:tcPr>
          <w:p w14:paraId="7498A406">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69BC13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54A250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1E9967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9E342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项目名称</w:t>
            </w:r>
          </w:p>
        </w:tc>
        <w:tc>
          <w:tcPr>
            <w:tcW w:w="0" w:type="auto"/>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8FED6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综合服务费用</w:t>
            </w:r>
          </w:p>
        </w:tc>
      </w:tr>
      <w:tr w14:paraId="2BC091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D19DF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主管部门</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A44D9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霍尔果斯市政务服务中心</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50235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实施单位</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22661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霍尔果斯市政务服务中心</w:t>
            </w:r>
          </w:p>
        </w:tc>
      </w:tr>
      <w:tr w14:paraId="6B9226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689CD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项目资金</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（万元）</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98FDA8">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123E0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C66CC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561B7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全年执行数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C6E36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BD40D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F9E9F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r>
      <w:tr w14:paraId="6EB2CD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52E098">
            <w:pPr>
              <w:jc w:val="center"/>
              <w:rPr>
                <w:rFonts w:hint="eastAsia" w:ascii="宋体" w:hAnsi="宋体" w:eastAsia="宋体" w:cs="宋体"/>
                <w:b/>
                <w:bCs/>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801CB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E44A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461A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879F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3F4D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C8D1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98.82%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539C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9.70</w:t>
            </w:r>
          </w:p>
        </w:tc>
      </w:tr>
      <w:tr w14:paraId="30FB4B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A69D97">
            <w:pPr>
              <w:jc w:val="center"/>
              <w:rPr>
                <w:rFonts w:hint="eastAsia" w:ascii="宋体" w:hAnsi="宋体" w:eastAsia="宋体" w:cs="宋体"/>
                <w:b/>
                <w:bCs/>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34245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其中：当年财政拨款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6A24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C85E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D68F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1F71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EFE5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6369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6C8F7E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3F3F70">
            <w:pPr>
              <w:jc w:val="center"/>
              <w:rPr>
                <w:rFonts w:hint="eastAsia" w:ascii="宋体" w:hAnsi="宋体" w:eastAsia="宋体" w:cs="宋体"/>
                <w:b/>
                <w:bCs/>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D89B3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  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5321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3616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CCF1CB">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9984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9593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172E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39EA4E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14B6A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年度总体目标</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0FCEC5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预期目标</w:t>
            </w:r>
          </w:p>
        </w:tc>
        <w:tc>
          <w:tcPr>
            <w:tcW w:w="0" w:type="auto"/>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686470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实际完成情况</w:t>
            </w:r>
          </w:p>
        </w:tc>
      </w:tr>
      <w:tr w14:paraId="6D2D19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6F59D9">
            <w:pPr>
              <w:jc w:val="center"/>
              <w:rPr>
                <w:rFonts w:hint="eastAsia" w:ascii="宋体" w:hAnsi="宋体" w:eastAsia="宋体" w:cs="宋体"/>
                <w:b/>
                <w:bCs/>
                <w:i w:val="0"/>
                <w:iCs w:val="0"/>
                <w:color w:val="000000"/>
                <w:sz w:val="18"/>
                <w:szCs w:val="18"/>
                <w:u w:val="none"/>
              </w:rPr>
            </w:pP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BD7E4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项目主要用于行政服务中心10958㎡水电费缴纳、设备维修维护、公共服务经费、便民证照费、楼宇修缮费以及各类证件的邮寄和采购中心光盘刻录费、专家评审费，本项目的投资能保障政务服务中心各项工作的正常运转，向办事群众企业提供优质的公共服务，切实做好为民服务。</w:t>
            </w:r>
          </w:p>
        </w:tc>
        <w:tc>
          <w:tcPr>
            <w:tcW w:w="0" w:type="auto"/>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B4BF1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政务服务中心2024年1—12月10958㎡，中心工作人员15人及整栋办公楼、办事群众，水电费缴纳、设备维修维护、公共服务经费、便民证照费、楼宇修缮费以及各类证件的邮寄和采购中心、专家评审项目72个，保障了政务服务中心各项工作的正常运转，向办事群众企业提供优质的公共服务，切实做好为民服务。</w:t>
            </w:r>
          </w:p>
        </w:tc>
      </w:tr>
      <w:tr w14:paraId="79B902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3BD3A9">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BCA29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28519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A0B3D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B3B73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权重</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8FF73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目标值</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4E432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业绩值</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DEF30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完成率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FB298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指标得分</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CF380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指标值设定依据</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E5E66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上年完成情况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87109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赋分规则</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FCBD6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佐证资料</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EC6B1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偏差原因分析及改进措施</w:t>
            </w:r>
          </w:p>
        </w:tc>
      </w:tr>
      <w:tr w14:paraId="708AC1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D28ED8">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789BAB">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6603A3">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618199">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B1E321">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B531A7">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7A4BA2">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0CDB27">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860C7F">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318AE9">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1EB8D5">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DDE64C">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839DFA">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15DD05">
            <w:pPr>
              <w:jc w:val="center"/>
              <w:rPr>
                <w:rFonts w:hint="eastAsia" w:ascii="宋体" w:hAnsi="宋体" w:eastAsia="宋体" w:cs="宋体"/>
                <w:b/>
                <w:bCs/>
                <w:i w:val="0"/>
                <w:iCs w:val="0"/>
                <w:color w:val="000000"/>
                <w:sz w:val="18"/>
                <w:szCs w:val="18"/>
                <w:u w:val="none"/>
              </w:rPr>
            </w:pPr>
          </w:p>
        </w:tc>
      </w:tr>
      <w:tr w14:paraId="79167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F95C0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年度绩效指标完成情况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57F3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1124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9A46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保障中心办公区域面积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3167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1688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=10958.20平方米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BB40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10958.2平方米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7215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1D34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CEC8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C343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10958.20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64BA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88F9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C7004D">
            <w:pPr>
              <w:jc w:val="center"/>
              <w:rPr>
                <w:rFonts w:hint="eastAsia" w:ascii="宋体" w:hAnsi="宋体" w:eastAsia="宋体" w:cs="宋体"/>
                <w:i w:val="0"/>
                <w:iCs w:val="0"/>
                <w:color w:val="000000"/>
                <w:sz w:val="18"/>
                <w:szCs w:val="18"/>
                <w:u w:val="none"/>
              </w:rPr>
            </w:pPr>
          </w:p>
        </w:tc>
      </w:tr>
      <w:tr w14:paraId="1B6C2C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10AABF">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E734CA">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2EA8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AB62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保障办公人员数量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E74E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6A45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61D6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1F9E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0658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1C5D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968C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96DE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E756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F90676">
            <w:pPr>
              <w:jc w:val="center"/>
              <w:rPr>
                <w:rFonts w:hint="eastAsia" w:ascii="宋体" w:hAnsi="宋体" w:eastAsia="宋体" w:cs="宋体"/>
                <w:i w:val="0"/>
                <w:iCs w:val="0"/>
                <w:color w:val="000000"/>
                <w:sz w:val="18"/>
                <w:szCs w:val="18"/>
                <w:u w:val="none"/>
              </w:rPr>
            </w:pPr>
          </w:p>
        </w:tc>
      </w:tr>
      <w:tr w14:paraId="535D37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CC46A7">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C73D8F">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6730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AA41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专家评审项目个数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85D2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4DC0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CE3A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3CB1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EF50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791D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D913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C71C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76AE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0367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根据当年实际情况，财政下批复执行开评标场次。</w:t>
            </w:r>
          </w:p>
        </w:tc>
      </w:tr>
      <w:tr w14:paraId="28423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C73C67">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101BD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4515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6B60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办事群众投诉率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766A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4857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3835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9AC9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B89A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8C9A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C197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0D00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直接赋分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2F54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8537D7">
            <w:pPr>
              <w:jc w:val="center"/>
              <w:rPr>
                <w:rFonts w:hint="eastAsia" w:ascii="宋体" w:hAnsi="宋体" w:eastAsia="宋体" w:cs="宋体"/>
                <w:i w:val="0"/>
                <w:iCs w:val="0"/>
                <w:color w:val="000000"/>
                <w:sz w:val="18"/>
                <w:szCs w:val="18"/>
                <w:u w:val="none"/>
              </w:rPr>
            </w:pPr>
          </w:p>
        </w:tc>
      </w:tr>
      <w:tr w14:paraId="103D12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903AEA">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D0724D">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DA61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C162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保障大厅工作正常运转率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98B1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1367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C4AD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1F5F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C21E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F2F4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20E3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54BE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4AD5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970FA0">
            <w:pPr>
              <w:jc w:val="center"/>
              <w:rPr>
                <w:rFonts w:hint="eastAsia" w:ascii="宋体" w:hAnsi="宋体" w:eastAsia="宋体" w:cs="宋体"/>
                <w:i w:val="0"/>
                <w:iCs w:val="0"/>
                <w:color w:val="000000"/>
                <w:sz w:val="18"/>
                <w:szCs w:val="18"/>
                <w:u w:val="none"/>
              </w:rPr>
            </w:pPr>
          </w:p>
        </w:tc>
      </w:tr>
      <w:tr w14:paraId="0F85B1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02ACE2">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B5000F">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DD03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A982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公用经费支付及时率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6F3F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55BD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F988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80BE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92EC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C09D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5989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58EA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直接赋分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6919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EFB8EC">
            <w:pPr>
              <w:jc w:val="center"/>
              <w:rPr>
                <w:rFonts w:hint="eastAsia" w:ascii="宋体" w:hAnsi="宋体" w:eastAsia="宋体" w:cs="宋体"/>
                <w:i w:val="0"/>
                <w:iCs w:val="0"/>
                <w:color w:val="000000"/>
                <w:sz w:val="18"/>
                <w:szCs w:val="18"/>
                <w:u w:val="none"/>
              </w:rPr>
            </w:pPr>
          </w:p>
        </w:tc>
      </w:tr>
      <w:tr w14:paraId="3DCCA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2B356B">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F9117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E12D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BBEF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专家评审及时率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B981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B46D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34A6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9C4E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53A9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C7ED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78FE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314C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直接赋分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3499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82D5BD">
            <w:pPr>
              <w:jc w:val="center"/>
              <w:rPr>
                <w:rFonts w:hint="eastAsia" w:ascii="宋体" w:hAnsi="宋体" w:eastAsia="宋体" w:cs="宋体"/>
                <w:i w:val="0"/>
                <w:iCs w:val="0"/>
                <w:color w:val="000000"/>
                <w:sz w:val="18"/>
                <w:szCs w:val="18"/>
                <w:u w:val="none"/>
              </w:rPr>
            </w:pPr>
          </w:p>
        </w:tc>
      </w:tr>
      <w:tr w14:paraId="13291D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BC8236">
            <w:pPr>
              <w:jc w:val="center"/>
              <w:rPr>
                <w:rFonts w:hint="eastAsia" w:ascii="宋体" w:hAnsi="宋体" w:eastAsia="宋体" w:cs="宋体"/>
                <w:b/>
                <w:bCs/>
                <w:i w:val="0"/>
                <w:iCs w:val="0"/>
                <w:color w:val="000000"/>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4020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DE39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6CA8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链路专线费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E7A0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8156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&lt;=33.26万元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20C1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30.98万元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EAF7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93.14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769A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0368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264B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33.26万元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14A3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67F2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3C5E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和运营商沟通，总结给予优惠。</w:t>
            </w:r>
          </w:p>
        </w:tc>
      </w:tr>
      <w:tr w14:paraId="303898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49AC49">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D231A1">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CC0C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FF77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专家评审费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7F85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605C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&lt;=6万元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0E18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7.19万元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B1B2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29E0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534F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900E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5.77万元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D65E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63E1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FD67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根据当年实际情况，财政下批复执行开评标场次。</w:t>
            </w:r>
          </w:p>
        </w:tc>
      </w:tr>
      <w:tr w14:paraId="0810C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04B54D">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90FA4A">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AC8D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F08E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运转经费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B787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6E2B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&lt;=45.74万元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38DA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45.77万元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13DC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EC1A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24E9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AD34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21C9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B020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EB6C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因楼梯及设施设备老旧，维修费用逐年递增；水电费根据实际情况支出。</w:t>
            </w:r>
          </w:p>
        </w:tc>
      </w:tr>
      <w:tr w14:paraId="322835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560CB2">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ADA974">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813D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A2F19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B127D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5295A9">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4772D1">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38D7A1">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7E4B11">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E9C6B2">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21D59C">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BD713F">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41B5D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9A2F61">
            <w:pPr>
              <w:jc w:val="center"/>
              <w:rPr>
                <w:rFonts w:hint="eastAsia" w:ascii="宋体" w:hAnsi="宋体" w:eastAsia="宋体" w:cs="宋体"/>
                <w:i w:val="0"/>
                <w:iCs w:val="0"/>
                <w:color w:val="000000"/>
                <w:sz w:val="18"/>
                <w:szCs w:val="18"/>
                <w:u w:val="none"/>
              </w:rPr>
            </w:pPr>
          </w:p>
        </w:tc>
      </w:tr>
      <w:tr w14:paraId="76724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9D0E66">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3A719C">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2E13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5D15E4">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246020">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82D813">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216602">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C0341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243585">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A54981">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EAA9DD">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AB201E">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01459A">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19D9D2">
            <w:pPr>
              <w:jc w:val="center"/>
              <w:rPr>
                <w:rFonts w:hint="eastAsia" w:ascii="宋体" w:hAnsi="宋体" w:eastAsia="宋体" w:cs="宋体"/>
                <w:i w:val="0"/>
                <w:iCs w:val="0"/>
                <w:color w:val="000000"/>
                <w:sz w:val="18"/>
                <w:szCs w:val="18"/>
                <w:u w:val="none"/>
              </w:rPr>
            </w:pPr>
          </w:p>
        </w:tc>
      </w:tr>
      <w:tr w14:paraId="08B1BF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EBCF6A">
            <w:pPr>
              <w:jc w:val="center"/>
              <w:rPr>
                <w:rFonts w:hint="eastAsia" w:ascii="宋体" w:hAnsi="宋体" w:eastAsia="宋体" w:cs="宋体"/>
                <w:b/>
                <w:bCs/>
                <w:i w:val="0"/>
                <w:iCs w:val="0"/>
                <w:color w:val="000000"/>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07FE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CAA0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8D1F21">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695A7D">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B57032">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ED19E0">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46500E">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41C9C1">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E5FA59">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F48C37">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CBEC00">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89CF5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D0D49C">
            <w:pPr>
              <w:jc w:val="center"/>
              <w:rPr>
                <w:rFonts w:hint="eastAsia" w:ascii="宋体" w:hAnsi="宋体" w:eastAsia="宋体" w:cs="宋体"/>
                <w:i w:val="0"/>
                <w:iCs w:val="0"/>
                <w:color w:val="000000"/>
                <w:sz w:val="18"/>
                <w:szCs w:val="18"/>
                <w:u w:val="none"/>
              </w:rPr>
            </w:pPr>
          </w:p>
        </w:tc>
      </w:tr>
      <w:tr w14:paraId="6A052B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53170C">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3E6AA5">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17E7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7CFB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提升大厅办公人员公共服务水平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E4D9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8BCD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逐步提升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3829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有所提升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D851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FA2F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A961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925C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逐步提升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DFB2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按评判等级赋分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9F15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1D6242">
            <w:pPr>
              <w:jc w:val="center"/>
              <w:rPr>
                <w:rFonts w:hint="eastAsia" w:ascii="宋体" w:hAnsi="宋体" w:eastAsia="宋体" w:cs="宋体"/>
                <w:i w:val="0"/>
                <w:iCs w:val="0"/>
                <w:color w:val="000000"/>
                <w:sz w:val="18"/>
                <w:szCs w:val="18"/>
                <w:u w:val="none"/>
              </w:rPr>
            </w:pPr>
          </w:p>
        </w:tc>
      </w:tr>
      <w:tr w14:paraId="5698E9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25D83F">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78C373">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F5B6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7F6123">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1C1003">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B8518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DDD525">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530C3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AD9460">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42B2BC">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05D32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3349BE">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27F37C">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0C89BD">
            <w:pPr>
              <w:jc w:val="center"/>
              <w:rPr>
                <w:rFonts w:hint="eastAsia" w:ascii="宋体" w:hAnsi="宋体" w:eastAsia="宋体" w:cs="宋体"/>
                <w:i w:val="0"/>
                <w:iCs w:val="0"/>
                <w:color w:val="000000"/>
                <w:sz w:val="18"/>
                <w:szCs w:val="18"/>
                <w:u w:val="none"/>
              </w:rPr>
            </w:pPr>
          </w:p>
        </w:tc>
      </w:tr>
      <w:tr w14:paraId="1FE54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6C76E1">
            <w:pPr>
              <w:jc w:val="center"/>
              <w:rPr>
                <w:rFonts w:hint="eastAsia" w:ascii="宋体" w:hAnsi="宋体" w:eastAsia="宋体" w:cs="宋体"/>
                <w:b/>
                <w:bCs/>
                <w:i w:val="0"/>
                <w:iCs w:val="0"/>
                <w:color w:val="000000"/>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8DE3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710F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B4D7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办事群众满意度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92E6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7285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AC05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6EF4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105.26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E963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FBD2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9203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38E5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226B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0DA4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办事群众对此项目满意度较高。</w:t>
            </w:r>
          </w:p>
        </w:tc>
      </w:tr>
      <w:tr w14:paraId="08DFFE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7EC10D">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B3E177">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D4A9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B50C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干部职工满意度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C67F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B395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0187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848B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105.26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17F2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DBBD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313C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3E7B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C819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5217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干部职工对此项目满意度较高。</w:t>
            </w:r>
          </w:p>
        </w:tc>
      </w:tr>
      <w:tr w14:paraId="3E1D92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4"/>
            <w:tcBorders>
              <w:top w:val="single" w:color="000000" w:sz="4" w:space="0"/>
              <w:left w:val="single" w:color="000000" w:sz="4" w:space="0"/>
              <w:bottom w:val="single" w:color="000000" w:sz="4" w:space="0"/>
              <w:right w:val="nil"/>
            </w:tcBorders>
            <w:shd w:val="clear" w:color="auto" w:fill="auto"/>
            <w:vAlign w:val="center"/>
          </w:tcPr>
          <w:p w14:paraId="7D6C665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C0B1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nil"/>
              <w:bottom w:val="single" w:color="000000" w:sz="4" w:space="0"/>
              <w:right w:val="single" w:color="000000" w:sz="4" w:space="0"/>
            </w:tcBorders>
            <w:shd w:val="clear" w:color="auto" w:fill="auto"/>
            <w:vAlign w:val="center"/>
          </w:tcPr>
          <w:p w14:paraId="6312D012">
            <w:pP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6E6FD1">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6B1E5D">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EB36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86.22分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074F68">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441A6B">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0DAF21">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2F9A3C">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4EB890">
            <w:pPr>
              <w:rPr>
                <w:rFonts w:hint="eastAsia" w:ascii="宋体" w:hAnsi="宋体" w:eastAsia="宋体" w:cs="宋体"/>
                <w:i w:val="0"/>
                <w:iCs w:val="0"/>
                <w:color w:val="000000"/>
                <w:sz w:val="18"/>
                <w:szCs w:val="18"/>
                <w:u w:val="none"/>
              </w:rPr>
            </w:pPr>
          </w:p>
        </w:tc>
      </w:tr>
    </w:tbl>
    <w:p w14:paraId="6E6704B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96"/>
        <w:gridCol w:w="632"/>
        <w:gridCol w:w="632"/>
        <w:gridCol w:w="632"/>
        <w:gridCol w:w="632"/>
        <w:gridCol w:w="560"/>
        <w:gridCol w:w="704"/>
      </w:tblGrid>
      <w:tr w14:paraId="3AEAD362">
        <w:tblPrEx>
          <w:tblCellMar>
            <w:top w:w="0" w:type="dxa"/>
            <w:left w:w="108" w:type="dxa"/>
            <w:bottom w:w="0" w:type="dxa"/>
            <w:right w:w="108" w:type="dxa"/>
          </w:tblCellMar>
        </w:tblPrEx>
        <w:tc>
          <w:tcPr>
            <w:tcW w:w="8976" w:type="dxa"/>
            <w:gridSpan w:val="14"/>
            <w:vAlign w:val="center"/>
          </w:tcPr>
          <w:p w14:paraId="46500443">
            <w:pPr>
              <w:jc w:val="center"/>
            </w:pPr>
            <w:r>
              <w:rPr>
                <w:rFonts w:ascii="宋体" w:hAnsi="宋体" w:eastAsia="宋体"/>
                <w:sz w:val="24"/>
              </w:rPr>
              <w:t>项目支出绩效自评表</w:t>
            </w:r>
          </w:p>
        </w:tc>
      </w:tr>
      <w:tr w14:paraId="7263C30E">
        <w:tblPrEx>
          <w:tblCellMar>
            <w:top w:w="0" w:type="dxa"/>
            <w:left w:w="108" w:type="dxa"/>
            <w:bottom w:w="0" w:type="dxa"/>
            <w:right w:w="108" w:type="dxa"/>
          </w:tblCellMar>
        </w:tblPrEx>
        <w:tc>
          <w:tcPr>
            <w:tcW w:w="8976" w:type="dxa"/>
            <w:gridSpan w:val="14"/>
            <w:vAlign w:val="center"/>
          </w:tcPr>
          <w:p w14:paraId="2EF6A464">
            <w:pPr>
              <w:jc w:val="center"/>
            </w:pPr>
            <w:r>
              <w:rPr>
                <w:rFonts w:ascii="宋体" w:hAnsi="宋体" w:eastAsia="宋体"/>
                <w:sz w:val="24"/>
              </w:rPr>
              <w:t>(2024年度)</w:t>
            </w:r>
          </w:p>
        </w:tc>
      </w:tr>
      <w:tr w14:paraId="0A3D40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144C4">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28BA0C6">
            <w:pPr>
              <w:jc w:val="center"/>
            </w:pPr>
            <w:r>
              <w:rPr>
                <w:rFonts w:ascii="宋体" w:hAnsi="宋体" w:eastAsia="宋体"/>
                <w:sz w:val="16"/>
              </w:rPr>
              <w:t>政务中心2024年后勤人员工资</w:t>
            </w:r>
          </w:p>
        </w:tc>
      </w:tr>
      <w:tr w14:paraId="706D5A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D80CB">
            <w:pPr>
              <w:jc w:val="center"/>
            </w:pPr>
            <w:r>
              <w:rPr>
                <w:rFonts w:ascii="宋体" w:hAnsi="宋体" w:eastAsia="宋体"/>
                <w:sz w:val="16"/>
              </w:rPr>
              <w:t>主管部门</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659978">
            <w:pPr>
              <w:jc w:val="center"/>
            </w:pPr>
            <w:r>
              <w:rPr>
                <w:rFonts w:ascii="宋体" w:hAnsi="宋体" w:eastAsia="宋体"/>
                <w:sz w:val="16"/>
              </w:rPr>
              <w:t>霍尔果斯市政务服务中心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523B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FA94D4">
            <w:pPr>
              <w:jc w:val="center"/>
            </w:pPr>
            <w:r>
              <w:rPr>
                <w:rFonts w:ascii="宋体" w:hAnsi="宋体" w:eastAsia="宋体"/>
                <w:sz w:val="16"/>
              </w:rPr>
              <w:t>霍尔果斯市政务服务中心</w:t>
            </w:r>
          </w:p>
        </w:tc>
      </w:tr>
      <w:tr w14:paraId="7691A1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CD556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8A72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7B16D">
            <w:pPr>
              <w:jc w:val="center"/>
            </w:pPr>
            <w:r>
              <w:rPr>
                <w:rFonts w:ascii="宋体" w:hAnsi="宋体" w:eastAsia="宋体"/>
                <w:sz w:val="16"/>
              </w:rPr>
              <w:t>年初预算数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36B58">
            <w:pPr>
              <w:jc w:val="center"/>
            </w:pPr>
            <w:r>
              <w:rPr>
                <w:rFonts w:ascii="宋体" w:hAnsi="宋体" w:eastAsia="宋体"/>
                <w:sz w:val="16"/>
              </w:rPr>
              <w:t>全年预算数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C7B2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D9DDB">
            <w:pPr>
              <w:jc w:val="center"/>
            </w:pPr>
            <w:r>
              <w:rPr>
                <w:rFonts w:ascii="宋体" w:hAnsi="宋体" w:eastAsia="宋体"/>
                <w:sz w:val="16"/>
              </w:rPr>
              <w:t>分值</w:t>
            </w:r>
          </w:p>
        </w:tc>
        <w:tc>
          <w:tcPr>
            <w:tcW w:w="11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48B24">
            <w:pPr>
              <w:jc w:val="center"/>
            </w:pPr>
            <w:r>
              <w:rPr>
                <w:rFonts w:ascii="宋体" w:hAnsi="宋体" w:eastAsia="宋体"/>
                <w:sz w:val="16"/>
              </w:rPr>
              <w:t>执行率</w:t>
            </w:r>
          </w:p>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4A15854A">
            <w:pPr>
              <w:jc w:val="center"/>
            </w:pPr>
            <w:r>
              <w:rPr>
                <w:rFonts w:ascii="宋体" w:hAnsi="宋体" w:eastAsia="宋体"/>
                <w:sz w:val="16"/>
              </w:rPr>
              <w:t>得分</w:t>
            </w:r>
          </w:p>
        </w:tc>
      </w:tr>
      <w:tr w14:paraId="77C4D2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330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60EC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3E3F2">
            <w:pPr>
              <w:jc w:val="center"/>
            </w:pPr>
            <w:r>
              <w:rPr>
                <w:rFonts w:ascii="宋体" w:hAnsi="宋体" w:eastAsia="宋体"/>
                <w:sz w:val="16"/>
              </w:rPr>
              <w:t>50.52</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AEEE0">
            <w:pPr>
              <w:jc w:val="center"/>
            </w:pPr>
            <w:r>
              <w:rPr>
                <w:rFonts w:ascii="宋体" w:hAnsi="宋体" w:eastAsia="宋体"/>
                <w:sz w:val="16"/>
              </w:rPr>
              <w:t>50.52</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13B50">
            <w:pPr>
              <w:jc w:val="center"/>
            </w:pPr>
            <w:r>
              <w:rPr>
                <w:rFonts w:ascii="宋体" w:hAnsi="宋体" w:eastAsia="宋体"/>
                <w:sz w:val="16"/>
              </w:rPr>
              <w:t>47.30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16170">
            <w:pPr>
              <w:jc w:val="center"/>
            </w:pPr>
            <w:r>
              <w:rPr>
                <w:rFonts w:ascii="宋体" w:hAnsi="宋体" w:eastAsia="宋体"/>
                <w:sz w:val="16"/>
              </w:rPr>
              <w:t>10</w:t>
            </w:r>
          </w:p>
        </w:tc>
        <w:tc>
          <w:tcPr>
            <w:tcW w:w="11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C0D30">
            <w:pPr>
              <w:jc w:val="center"/>
            </w:pPr>
            <w:r>
              <w:rPr>
                <w:rFonts w:ascii="宋体" w:hAnsi="宋体" w:eastAsia="宋体"/>
                <w:sz w:val="16"/>
              </w:rPr>
              <w:t>93.63%</w:t>
            </w:r>
          </w:p>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0AD1504D">
            <w:pPr>
              <w:jc w:val="center"/>
            </w:pPr>
            <w:r>
              <w:rPr>
                <w:rFonts w:ascii="宋体" w:hAnsi="宋体" w:eastAsia="宋体"/>
                <w:sz w:val="16"/>
              </w:rPr>
              <w:t>8.41</w:t>
            </w:r>
          </w:p>
        </w:tc>
      </w:tr>
      <w:tr w14:paraId="14FEA5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1AD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8F5E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DE475">
            <w:pPr>
              <w:jc w:val="center"/>
            </w:pPr>
            <w:r>
              <w:rPr>
                <w:rFonts w:ascii="宋体" w:hAnsi="宋体" w:eastAsia="宋体"/>
                <w:sz w:val="16"/>
              </w:rPr>
              <w:t>50.52</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E6F89">
            <w:pPr>
              <w:jc w:val="center"/>
            </w:pPr>
            <w:r>
              <w:rPr>
                <w:rFonts w:ascii="宋体" w:hAnsi="宋体" w:eastAsia="宋体"/>
                <w:sz w:val="16"/>
              </w:rPr>
              <w:t>50.52</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B61E8">
            <w:pPr>
              <w:jc w:val="center"/>
            </w:pPr>
            <w:r>
              <w:rPr>
                <w:rFonts w:ascii="宋体" w:hAnsi="宋体" w:eastAsia="宋体"/>
                <w:sz w:val="16"/>
              </w:rPr>
              <w:t>47.30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21FC6">
            <w:pPr>
              <w:jc w:val="center"/>
            </w:pPr>
            <w:r>
              <w:rPr>
                <w:rFonts w:ascii="宋体" w:hAnsi="宋体" w:eastAsia="宋体"/>
                <w:sz w:val="16"/>
              </w:rPr>
              <w:t>—</w:t>
            </w:r>
          </w:p>
        </w:tc>
        <w:tc>
          <w:tcPr>
            <w:tcW w:w="11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EEFD7">
            <w:pPr>
              <w:jc w:val="center"/>
            </w:pPr>
            <w:r>
              <w:rPr>
                <w:rFonts w:ascii="宋体" w:hAnsi="宋体" w:eastAsia="宋体"/>
                <w:sz w:val="16"/>
              </w:rPr>
              <w:t>—</w:t>
            </w:r>
          </w:p>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4483FD78">
            <w:pPr>
              <w:jc w:val="center"/>
            </w:pPr>
            <w:r>
              <w:rPr>
                <w:rFonts w:ascii="宋体" w:hAnsi="宋体" w:eastAsia="宋体"/>
                <w:sz w:val="16"/>
              </w:rPr>
              <w:t>—</w:t>
            </w:r>
          </w:p>
        </w:tc>
      </w:tr>
      <w:tr w14:paraId="04FE96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D81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C721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8C9BB">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4A775">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1E3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D1032">
            <w:pPr>
              <w:jc w:val="center"/>
            </w:pPr>
            <w:r>
              <w:rPr>
                <w:rFonts w:ascii="宋体" w:hAnsi="宋体" w:eastAsia="宋体"/>
                <w:sz w:val="16"/>
              </w:rPr>
              <w:t>—</w:t>
            </w:r>
          </w:p>
        </w:tc>
        <w:tc>
          <w:tcPr>
            <w:tcW w:w="11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D5951">
            <w:pPr>
              <w:jc w:val="center"/>
            </w:pPr>
            <w:r>
              <w:rPr>
                <w:rFonts w:ascii="宋体" w:hAnsi="宋体" w:eastAsia="宋体"/>
                <w:sz w:val="16"/>
              </w:rPr>
              <w:t>—</w:t>
            </w:r>
          </w:p>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5799B6E6">
            <w:pPr>
              <w:jc w:val="center"/>
            </w:pPr>
            <w:r>
              <w:rPr>
                <w:rFonts w:ascii="宋体" w:hAnsi="宋体" w:eastAsia="宋体"/>
                <w:sz w:val="16"/>
              </w:rPr>
              <w:t>—</w:t>
            </w:r>
          </w:p>
        </w:tc>
      </w:tr>
      <w:tr w14:paraId="2888C4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BB5558">
            <w:pPr>
              <w:jc w:val="center"/>
            </w:pPr>
            <w:r>
              <w:rPr>
                <w:rFonts w:ascii="宋体" w:hAnsi="宋体" w:eastAsia="宋体"/>
                <w:sz w:val="16"/>
              </w:rPr>
              <w:t>年度总体目标</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3CF12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40A22B">
            <w:pPr>
              <w:jc w:val="center"/>
            </w:pPr>
            <w:r>
              <w:rPr>
                <w:rFonts w:ascii="宋体" w:hAnsi="宋体" w:eastAsia="宋体"/>
                <w:sz w:val="16"/>
              </w:rPr>
              <w:t>实际完成情况</w:t>
            </w:r>
          </w:p>
        </w:tc>
      </w:tr>
      <w:tr w14:paraId="260810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79CC5"/>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E9DDFB">
            <w:pPr>
              <w:jc w:val="both"/>
            </w:pPr>
            <w:r>
              <w:rPr>
                <w:rFonts w:ascii="宋体" w:hAnsi="宋体" w:eastAsia="宋体"/>
                <w:sz w:val="16"/>
              </w:rPr>
              <w:t>保障政务服务中心2024年全年大厅正常秩序及工作环境整洁。保障后勤人员全年10人工资及8人社保缴纳。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D31DB2">
            <w:pPr>
              <w:jc w:val="both"/>
            </w:pPr>
            <w:r>
              <w:rPr>
                <w:rFonts w:ascii="宋体" w:hAnsi="宋体" w:eastAsia="宋体"/>
                <w:sz w:val="16"/>
              </w:rPr>
              <w:t>实际完成2024年1-12月政务服务中心后勤10人1-12月工资及8人社保缴费，有效保障政务服务中心工作环境安全、整洁，有效提高工作人员积极性。</w:t>
            </w:r>
          </w:p>
        </w:tc>
      </w:tr>
      <w:tr w14:paraId="26FA4A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F94B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3497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A096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83A3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EC5F4">
            <w:pPr>
              <w:jc w:val="center"/>
            </w:pPr>
            <w:r>
              <w:rPr>
                <w:rFonts w:ascii="宋体" w:hAnsi="宋体" w:eastAsia="宋体"/>
                <w:sz w:val="16"/>
              </w:rPr>
              <w:t>权重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4DBB47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40C22">
            <w:pPr>
              <w:jc w:val="center"/>
            </w:pPr>
            <w:r>
              <w:rPr>
                <w:rFonts w:ascii="宋体" w:hAnsi="宋体" w:eastAsia="宋体"/>
                <w:sz w:val="16"/>
              </w:rPr>
              <w:t>业绩值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071A6E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20EE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9764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4D79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5D351">
            <w:pPr>
              <w:jc w:val="center"/>
            </w:pPr>
            <w:r>
              <w:rPr>
                <w:rFonts w:ascii="宋体" w:hAnsi="宋体" w:eastAsia="宋体"/>
                <w:sz w:val="16"/>
              </w:rPr>
              <w:t>赋分规则</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6B3FB53E">
            <w:pPr>
              <w:jc w:val="center"/>
            </w:pPr>
            <w:r>
              <w:rPr>
                <w:rFonts w:ascii="宋体" w:hAnsi="宋体" w:eastAsia="宋体"/>
                <w:sz w:val="16"/>
              </w:rPr>
              <w:t>佐证资料</w:t>
            </w:r>
          </w:p>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4FA4C483">
            <w:pPr>
              <w:jc w:val="center"/>
            </w:pPr>
            <w:r>
              <w:rPr>
                <w:rFonts w:ascii="宋体" w:hAnsi="宋体" w:eastAsia="宋体"/>
                <w:sz w:val="16"/>
              </w:rPr>
              <w:t>偏差原因分析及改进措施</w:t>
            </w:r>
          </w:p>
        </w:tc>
      </w:tr>
      <w:tr w14:paraId="4A421D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BE533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31B0B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27BE7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6E953">
            <w:pPr>
              <w:jc w:val="center"/>
            </w:pPr>
            <w:r>
              <w:rPr>
                <w:rFonts w:ascii="宋体" w:hAnsi="宋体" w:eastAsia="宋体"/>
                <w:sz w:val="16"/>
              </w:rPr>
              <w:t>发放后勤人员工资人数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C2842">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FD9E26C">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5EA3A">
            <w:pPr>
              <w:jc w:val="center"/>
            </w:pPr>
            <w:r>
              <w:rPr>
                <w:rFonts w:ascii="宋体" w:hAnsi="宋体" w:eastAsia="宋体"/>
                <w:sz w:val="16"/>
              </w:rPr>
              <w:t>10人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05B1F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95C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4F8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4D10E">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0CC7E">
            <w:pPr>
              <w:jc w:val="center"/>
            </w:pPr>
            <w:r>
              <w:rPr>
                <w:rFonts w:ascii="宋体" w:hAnsi="宋体" w:eastAsia="宋体"/>
                <w:sz w:val="16"/>
              </w:rPr>
              <w:t>按照完成比例赋分</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5FC5D5DE">
            <w:pPr>
              <w:jc w:val="center"/>
            </w:pPr>
            <w:r>
              <w:rPr>
                <w:rFonts w:ascii="宋体" w:hAnsi="宋体" w:eastAsia="宋体"/>
                <w:sz w:val="16"/>
              </w:rPr>
              <w:t>工作资料</w:t>
            </w:r>
          </w:p>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0C99C1FF">
            <w:pPr>
              <w:jc w:val="center"/>
            </w:pPr>
          </w:p>
        </w:tc>
      </w:tr>
      <w:tr w14:paraId="14669C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FEE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EA6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839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DBAE2">
            <w:pPr>
              <w:jc w:val="center"/>
            </w:pPr>
            <w:r>
              <w:rPr>
                <w:rFonts w:ascii="宋体" w:hAnsi="宋体" w:eastAsia="宋体"/>
                <w:sz w:val="16"/>
              </w:rPr>
              <w:t>发放后勤人员工资次数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4D38D">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1A30ECB">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6CD4F">
            <w:pPr>
              <w:jc w:val="center"/>
            </w:pPr>
            <w:r>
              <w:rPr>
                <w:rFonts w:ascii="宋体" w:hAnsi="宋体" w:eastAsia="宋体"/>
                <w:sz w:val="16"/>
              </w:rPr>
              <w:t>12次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F65AE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BCB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4849C">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2CA06">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09F37">
            <w:pPr>
              <w:jc w:val="center"/>
            </w:pPr>
            <w:r>
              <w:rPr>
                <w:rFonts w:ascii="宋体" w:hAnsi="宋体" w:eastAsia="宋体"/>
                <w:sz w:val="16"/>
              </w:rPr>
              <w:t>按照完成比例赋分</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749E2452">
            <w:pPr>
              <w:jc w:val="center"/>
            </w:pPr>
            <w:r>
              <w:rPr>
                <w:rFonts w:ascii="宋体" w:hAnsi="宋体" w:eastAsia="宋体"/>
                <w:sz w:val="16"/>
              </w:rPr>
              <w:t>工作资料</w:t>
            </w:r>
          </w:p>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12615C99">
            <w:pPr>
              <w:jc w:val="center"/>
            </w:pPr>
          </w:p>
        </w:tc>
      </w:tr>
      <w:tr w14:paraId="5F5C85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EF4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C2F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2965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BB6F8">
            <w:pPr>
              <w:jc w:val="center"/>
            </w:pPr>
            <w:r>
              <w:rPr>
                <w:rFonts w:ascii="宋体" w:hAnsi="宋体" w:eastAsia="宋体"/>
                <w:sz w:val="16"/>
              </w:rPr>
              <w:t>后勤人员出勤率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C654D">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D99E39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B39CF">
            <w:pPr>
              <w:jc w:val="center"/>
            </w:pPr>
            <w:r>
              <w:rPr>
                <w:rFonts w:ascii="宋体" w:hAnsi="宋体" w:eastAsia="宋体"/>
                <w:sz w:val="16"/>
              </w:rPr>
              <w: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B3682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FD7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722D9">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B5E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2939F">
            <w:pPr>
              <w:jc w:val="center"/>
            </w:pPr>
            <w:r>
              <w:rPr>
                <w:rFonts w:ascii="宋体" w:hAnsi="宋体" w:eastAsia="宋体"/>
                <w:sz w:val="16"/>
              </w:rPr>
              <w:t>直接赋分</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35979A84">
            <w:pPr>
              <w:jc w:val="center"/>
            </w:pPr>
            <w:r>
              <w:rPr>
                <w:rFonts w:ascii="宋体" w:hAnsi="宋体" w:eastAsia="宋体"/>
                <w:sz w:val="16"/>
              </w:rPr>
              <w:t>原始凭证</w:t>
            </w:r>
          </w:p>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5CC66CB1">
            <w:pPr>
              <w:jc w:val="center"/>
            </w:pPr>
          </w:p>
        </w:tc>
      </w:tr>
      <w:tr w14:paraId="608F18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D7A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4A8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FCF0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CCFAD">
            <w:pPr>
              <w:jc w:val="center"/>
            </w:pPr>
            <w:r>
              <w:rPr>
                <w:rFonts w:ascii="宋体" w:hAnsi="宋体" w:eastAsia="宋体"/>
                <w:sz w:val="16"/>
              </w:rPr>
              <w:t>发放后勤人员工资及时率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F81EF">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DFA41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E6131">
            <w:pPr>
              <w:jc w:val="center"/>
            </w:pPr>
            <w:r>
              <w:rPr>
                <w:rFonts w:ascii="宋体" w:hAnsi="宋体" w:eastAsia="宋体"/>
                <w:sz w:val="16"/>
              </w:rPr>
              <w: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BC8E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7F0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D2724">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87FA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CDECB">
            <w:pPr>
              <w:jc w:val="center"/>
            </w:pPr>
            <w:r>
              <w:rPr>
                <w:rFonts w:ascii="宋体" w:hAnsi="宋体" w:eastAsia="宋体"/>
                <w:sz w:val="16"/>
              </w:rPr>
              <w:t>直接赋分</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0EF94CCE">
            <w:pPr>
              <w:jc w:val="center"/>
            </w:pPr>
            <w:r>
              <w:rPr>
                <w:rFonts w:ascii="宋体" w:hAnsi="宋体" w:eastAsia="宋体"/>
                <w:sz w:val="16"/>
              </w:rPr>
              <w:t>原始凭证</w:t>
            </w:r>
          </w:p>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3503FD41">
            <w:pPr>
              <w:jc w:val="center"/>
            </w:pPr>
          </w:p>
        </w:tc>
      </w:tr>
      <w:tr w14:paraId="76621D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D31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C5B9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1881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24C13">
            <w:pPr>
              <w:jc w:val="center"/>
            </w:pPr>
            <w:r>
              <w:rPr>
                <w:rFonts w:ascii="宋体" w:hAnsi="宋体" w:eastAsia="宋体"/>
                <w:sz w:val="16"/>
              </w:rPr>
              <w:t>平均每次发放金额数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97E55">
            <w:pPr>
              <w:jc w:val="center"/>
            </w:pPr>
            <w:r>
              <w:rPr>
                <w:rFonts w:ascii="宋体" w:hAnsi="宋体" w:eastAsia="宋体"/>
                <w:sz w:val="16"/>
              </w:rPr>
              <w:t>20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8790A01">
            <w:pPr>
              <w:jc w:val="center"/>
            </w:pPr>
            <w:r>
              <w:rPr>
                <w:rFonts w:ascii="宋体" w:hAnsi="宋体" w:eastAsia="宋体"/>
                <w:sz w:val="16"/>
              </w:rPr>
              <w:t>&lt;=4.21万元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DF6A5">
            <w:pPr>
              <w:jc w:val="center"/>
            </w:pPr>
            <w:r>
              <w:rPr>
                <w:rFonts w:ascii="宋体" w:hAnsi="宋体" w:eastAsia="宋体"/>
                <w:sz w:val="16"/>
              </w:rPr>
              <w:t>3.94万元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D8137ED">
            <w:pPr>
              <w:jc w:val="center"/>
            </w:pPr>
            <w:r>
              <w:rPr>
                <w:rFonts w:ascii="宋体" w:hAnsi="宋体" w:eastAsia="宋体"/>
                <w:sz w:val="16"/>
              </w:rPr>
              <w:t>93.59%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3EF96">
            <w:pPr>
              <w:jc w:val="center"/>
            </w:pPr>
            <w:r>
              <w:rPr>
                <w:rFonts w:ascii="宋体" w:hAnsi="宋体" w:eastAsia="宋体"/>
                <w:sz w:val="16"/>
              </w:rPr>
              <w:t>18.72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E6B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571CF">
            <w:pPr>
              <w:jc w:val="center"/>
            </w:pPr>
            <w:r>
              <w:rPr>
                <w:rFonts w:ascii="宋体" w:hAnsi="宋体" w:eastAsia="宋体"/>
                <w:sz w:val="16"/>
              </w:rPr>
              <w:t>4.21万元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87265">
            <w:pPr>
              <w:jc w:val="center"/>
            </w:pPr>
            <w:r>
              <w:rPr>
                <w:rFonts w:ascii="宋体" w:hAnsi="宋体" w:eastAsia="宋体"/>
                <w:sz w:val="16"/>
              </w:rPr>
              <w:t>按照完成比例赋分</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2116FE94">
            <w:pPr>
              <w:jc w:val="center"/>
            </w:pPr>
            <w:r>
              <w:rPr>
                <w:rFonts w:ascii="宋体" w:hAnsi="宋体" w:eastAsia="宋体"/>
                <w:sz w:val="16"/>
              </w:rPr>
              <w:t>原始凭证</w:t>
            </w:r>
          </w:p>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3BE51E5D">
            <w:pPr>
              <w:jc w:val="center"/>
            </w:pPr>
            <w:r>
              <w:rPr>
                <w:rFonts w:ascii="宋体" w:hAnsi="宋体" w:eastAsia="宋体"/>
                <w:sz w:val="16"/>
              </w:rPr>
              <w:t>后勤人员8人缴纳社保。</w:t>
            </w:r>
          </w:p>
        </w:tc>
      </w:tr>
      <w:tr w14:paraId="37DAD0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964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7689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7C18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87E86">
            <w:pPr>
              <w:jc w:val="center"/>
            </w:pPr>
            <w:r>
              <w:rPr>
                <w:rFonts w:ascii="宋体" w:hAnsi="宋体" w:eastAsia="宋体"/>
                <w:sz w:val="16"/>
              </w:rPr>
              <w:t>保证政务服务中心整洁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28F44">
            <w:pPr>
              <w:jc w:val="center"/>
            </w:pPr>
            <w:r>
              <w:rPr>
                <w:rFonts w:ascii="宋体" w:hAnsi="宋体" w:eastAsia="宋体"/>
                <w:sz w:val="16"/>
              </w:rPr>
              <w:t>20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BBA8CCC">
            <w:pPr>
              <w:jc w:val="center"/>
            </w:pPr>
            <w:r>
              <w:rPr>
                <w:rFonts w:ascii="宋体" w:hAnsi="宋体" w:eastAsia="宋体"/>
                <w:sz w:val="16"/>
              </w:rPr>
              <w:t>有效保证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F4CD5">
            <w:pPr>
              <w:jc w:val="center"/>
            </w:pPr>
            <w:r>
              <w:rPr>
                <w:rFonts w:ascii="宋体" w:hAnsi="宋体" w:eastAsia="宋体"/>
                <w:sz w:val="16"/>
              </w:rPr>
              <w:t>有所保证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46AA0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F7DA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8E50D">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1D494">
            <w:pPr>
              <w:jc w:val="center"/>
            </w:pPr>
            <w:r>
              <w:rPr>
                <w:rFonts w:ascii="宋体" w:hAnsi="宋体" w:eastAsia="宋体"/>
                <w:sz w:val="16"/>
              </w:rPr>
              <w:t>有效保证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E2B5B">
            <w:pPr>
              <w:jc w:val="center"/>
            </w:pPr>
            <w:r>
              <w:rPr>
                <w:rFonts w:ascii="宋体" w:hAnsi="宋体" w:eastAsia="宋体"/>
                <w:sz w:val="16"/>
              </w:rPr>
              <w:t>按评判等级赋分</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0198E0C6">
            <w:pPr>
              <w:jc w:val="center"/>
            </w:pPr>
            <w:r>
              <w:rPr>
                <w:rFonts w:ascii="宋体" w:hAnsi="宋体" w:eastAsia="宋体"/>
                <w:sz w:val="16"/>
              </w:rPr>
              <w:t>说明材料</w:t>
            </w:r>
          </w:p>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1B8CB330">
            <w:pPr>
              <w:jc w:val="center"/>
            </w:pPr>
          </w:p>
        </w:tc>
      </w:tr>
      <w:tr w14:paraId="381FB5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77A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0872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BFA6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6CA38">
            <w:pPr>
              <w:jc w:val="center"/>
            </w:pPr>
            <w:r>
              <w:rPr>
                <w:rFonts w:ascii="宋体" w:hAnsi="宋体" w:eastAsia="宋体"/>
                <w:sz w:val="16"/>
              </w:rPr>
              <w:t>后勤人员满意度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7F88A">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CE3462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33FB4">
            <w:pPr>
              <w:jc w:val="center"/>
            </w:pPr>
            <w:r>
              <w:rPr>
                <w:rFonts w:ascii="宋体" w:hAnsi="宋体" w:eastAsia="宋体"/>
                <w:sz w:val="16"/>
              </w:rPr>
              <w: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911B2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329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938A5">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61F9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5A34D">
            <w:pPr>
              <w:jc w:val="center"/>
            </w:pPr>
            <w:r>
              <w:rPr>
                <w:rFonts w:ascii="宋体" w:hAnsi="宋体" w:eastAsia="宋体"/>
                <w:sz w:val="16"/>
              </w:rPr>
              <w:t>满意度赋分</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27A422F0">
            <w:pPr>
              <w:jc w:val="center"/>
            </w:pPr>
            <w:r>
              <w:rPr>
                <w:rFonts w:ascii="宋体" w:hAnsi="宋体" w:eastAsia="宋体"/>
                <w:sz w:val="16"/>
              </w:rPr>
              <w:t>工作资料</w:t>
            </w:r>
          </w:p>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6B8B3093">
            <w:pPr>
              <w:jc w:val="center"/>
            </w:pPr>
          </w:p>
        </w:tc>
      </w:tr>
      <w:tr w14:paraId="4C1D6AA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1C969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56D6E">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3FA94A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5A724F"/>
        </w:tc>
        <w:tc>
          <w:tcPr>
            <w:tcW w:w="696" w:type="dxa"/>
            <w:tcBorders>
              <w:top w:val="single" w:color="auto" w:sz="10" w:space="0"/>
              <w:left w:val="single" w:color="auto" w:sz="10" w:space="0"/>
              <w:bottom w:val="single" w:color="auto" w:sz="10" w:space="0"/>
              <w:right w:val="single" w:color="auto" w:sz="10" w:space="0"/>
              <w:insideV w:val="single" w:sz="10" w:space="0"/>
            </w:tcBorders>
          </w:tcPr>
          <w:p w14:paraId="0F9A51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A8335">
            <w:pPr>
              <w:jc w:val="center"/>
            </w:pPr>
            <w:r>
              <w:rPr>
                <w:rFonts w:ascii="宋体" w:hAnsi="宋体" w:eastAsia="宋体"/>
                <w:sz w:val="16"/>
              </w:rPr>
              <w:t>97.13分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860B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784E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428313"/>
        </w:tc>
        <w:tc>
          <w:tcPr>
            <w:tcW w:w="560" w:type="dxa"/>
            <w:tcBorders>
              <w:top w:val="single" w:color="auto" w:sz="10" w:space="0"/>
              <w:left w:val="single" w:color="auto" w:sz="10" w:space="0"/>
              <w:bottom w:val="single" w:color="auto" w:sz="10" w:space="0"/>
              <w:right w:val="single" w:color="auto" w:sz="10" w:space="0"/>
              <w:insideV w:val="single" w:sz="10" w:space="0"/>
            </w:tcBorders>
          </w:tcPr>
          <w:p w14:paraId="2D855B5C"/>
        </w:tc>
        <w:tc>
          <w:tcPr>
            <w:tcW w:w="704" w:type="dxa"/>
            <w:tcBorders>
              <w:top w:val="single" w:color="auto" w:sz="10" w:space="0"/>
              <w:left w:val="single" w:color="auto" w:sz="10" w:space="0"/>
              <w:bottom w:val="single" w:color="auto" w:sz="10" w:space="0"/>
              <w:right w:val="single" w:color="auto" w:sz="10" w:space="0"/>
              <w:insideV w:val="single" w:sz="10" w:space="0"/>
            </w:tcBorders>
          </w:tcPr>
          <w:p w14:paraId="68821792"/>
        </w:tc>
      </w:tr>
    </w:tbl>
    <w:p w14:paraId="3CB0850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776"/>
        <w:gridCol w:w="632"/>
        <w:gridCol w:w="632"/>
        <w:gridCol w:w="632"/>
        <w:gridCol w:w="632"/>
        <w:gridCol w:w="632"/>
        <w:gridCol w:w="632"/>
      </w:tblGrid>
      <w:tr w14:paraId="314E3C6E">
        <w:tblPrEx>
          <w:tblCellMar>
            <w:top w:w="0" w:type="dxa"/>
            <w:left w:w="108" w:type="dxa"/>
            <w:bottom w:w="0" w:type="dxa"/>
            <w:right w:w="108" w:type="dxa"/>
          </w:tblCellMar>
        </w:tblPrEx>
        <w:tc>
          <w:tcPr>
            <w:tcW w:w="8848" w:type="dxa"/>
            <w:gridSpan w:val="14"/>
            <w:vAlign w:val="center"/>
          </w:tcPr>
          <w:p w14:paraId="193D74D2">
            <w:pPr>
              <w:jc w:val="center"/>
            </w:pPr>
            <w:r>
              <w:rPr>
                <w:rFonts w:ascii="宋体" w:hAnsi="宋体" w:eastAsia="宋体"/>
                <w:sz w:val="24"/>
              </w:rPr>
              <w:t>项目支出绩效自评表</w:t>
            </w:r>
          </w:p>
        </w:tc>
      </w:tr>
      <w:tr w14:paraId="4C70D1FE">
        <w:tblPrEx>
          <w:tblCellMar>
            <w:top w:w="0" w:type="dxa"/>
            <w:left w:w="108" w:type="dxa"/>
            <w:bottom w:w="0" w:type="dxa"/>
            <w:right w:w="108" w:type="dxa"/>
          </w:tblCellMar>
        </w:tblPrEx>
        <w:tc>
          <w:tcPr>
            <w:tcW w:w="8848" w:type="dxa"/>
            <w:gridSpan w:val="14"/>
            <w:vAlign w:val="center"/>
          </w:tcPr>
          <w:p w14:paraId="3CD5BF06">
            <w:pPr>
              <w:jc w:val="center"/>
            </w:pPr>
            <w:r>
              <w:rPr>
                <w:rFonts w:ascii="宋体" w:hAnsi="宋体" w:eastAsia="宋体"/>
                <w:sz w:val="24"/>
              </w:rPr>
              <w:t>(2024年度)</w:t>
            </w:r>
          </w:p>
        </w:tc>
      </w:tr>
      <w:tr w14:paraId="54E4A2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7738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089461">
            <w:pPr>
              <w:jc w:val="center"/>
            </w:pPr>
            <w:r>
              <w:rPr>
                <w:rFonts w:ascii="宋体" w:hAnsi="宋体" w:eastAsia="宋体"/>
                <w:sz w:val="16"/>
              </w:rPr>
              <w:t>政务服务中心窗口工作人员办公费</w:t>
            </w:r>
          </w:p>
        </w:tc>
      </w:tr>
      <w:tr w14:paraId="432D99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45EB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86F62B">
            <w:pPr>
              <w:jc w:val="center"/>
            </w:pPr>
            <w:r>
              <w:rPr>
                <w:rFonts w:ascii="宋体" w:hAnsi="宋体" w:eastAsia="宋体"/>
                <w:sz w:val="16"/>
              </w:rPr>
              <w:t>霍尔果斯市政务服务中心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57E2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E4EC1B">
            <w:pPr>
              <w:jc w:val="center"/>
            </w:pPr>
            <w:r>
              <w:rPr>
                <w:rFonts w:ascii="宋体" w:hAnsi="宋体" w:eastAsia="宋体"/>
                <w:sz w:val="16"/>
              </w:rPr>
              <w:t>霍尔果斯市政务服务中心</w:t>
            </w:r>
          </w:p>
        </w:tc>
      </w:tr>
      <w:tr w14:paraId="0875AF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82956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A731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B28F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B536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6AF1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5FE6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4027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6EE27">
            <w:pPr>
              <w:jc w:val="center"/>
            </w:pPr>
            <w:r>
              <w:rPr>
                <w:rFonts w:ascii="宋体" w:hAnsi="宋体" w:eastAsia="宋体"/>
                <w:sz w:val="16"/>
              </w:rPr>
              <w:t>得分</w:t>
            </w:r>
          </w:p>
        </w:tc>
      </w:tr>
      <w:tr w14:paraId="57BBE9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F86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369C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437ED">
            <w:pPr>
              <w:jc w:val="center"/>
            </w:pPr>
            <w:r>
              <w:rPr>
                <w:rFonts w:ascii="宋体" w:hAnsi="宋体" w:eastAsia="宋体"/>
                <w:sz w:val="16"/>
              </w:rPr>
              <w:t>6.08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902D2">
            <w:pPr>
              <w:jc w:val="center"/>
            </w:pPr>
            <w:r>
              <w:rPr>
                <w:rFonts w:ascii="宋体" w:hAnsi="宋体" w:eastAsia="宋体"/>
                <w:sz w:val="16"/>
              </w:rPr>
              <w:t>6.08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92DA0">
            <w:pPr>
              <w:jc w:val="center"/>
            </w:pPr>
            <w:r>
              <w:rPr>
                <w:rFonts w:ascii="宋体" w:hAnsi="宋体" w:eastAsia="宋体"/>
                <w:sz w:val="16"/>
              </w:rPr>
              <w:t>6.08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9B2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2B56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9922D">
            <w:pPr>
              <w:jc w:val="center"/>
            </w:pPr>
            <w:r>
              <w:rPr>
                <w:rFonts w:ascii="宋体" w:hAnsi="宋体" w:eastAsia="宋体"/>
                <w:sz w:val="16"/>
              </w:rPr>
              <w:t>10.00</w:t>
            </w:r>
          </w:p>
        </w:tc>
      </w:tr>
      <w:tr w14:paraId="00FBAC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C08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5B6F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55E2E">
            <w:pPr>
              <w:jc w:val="center"/>
            </w:pPr>
            <w:r>
              <w:rPr>
                <w:rFonts w:ascii="宋体" w:hAnsi="宋体" w:eastAsia="宋体"/>
                <w:sz w:val="16"/>
              </w:rPr>
              <w:t>6.08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044A9">
            <w:pPr>
              <w:jc w:val="center"/>
            </w:pPr>
            <w:r>
              <w:rPr>
                <w:rFonts w:ascii="宋体" w:hAnsi="宋体" w:eastAsia="宋体"/>
                <w:sz w:val="16"/>
              </w:rPr>
              <w:t>6.08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F1882">
            <w:pPr>
              <w:jc w:val="center"/>
            </w:pPr>
            <w:r>
              <w:rPr>
                <w:rFonts w:ascii="宋体" w:hAnsi="宋体" w:eastAsia="宋体"/>
                <w:sz w:val="16"/>
              </w:rPr>
              <w:t>6.08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5EF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001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2C5DF">
            <w:pPr>
              <w:jc w:val="center"/>
            </w:pPr>
            <w:r>
              <w:rPr>
                <w:rFonts w:ascii="宋体" w:hAnsi="宋体" w:eastAsia="宋体"/>
                <w:sz w:val="16"/>
              </w:rPr>
              <w:t>—</w:t>
            </w:r>
          </w:p>
        </w:tc>
      </w:tr>
      <w:tr w14:paraId="1A4D08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498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382C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6C6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9FB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676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D107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090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8E4EE">
            <w:pPr>
              <w:jc w:val="center"/>
            </w:pPr>
            <w:r>
              <w:rPr>
                <w:rFonts w:ascii="宋体" w:hAnsi="宋体" w:eastAsia="宋体"/>
                <w:sz w:val="16"/>
              </w:rPr>
              <w:t>—</w:t>
            </w:r>
          </w:p>
        </w:tc>
      </w:tr>
      <w:tr w14:paraId="7FA47B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5B742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99CEA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7FCCFC">
            <w:pPr>
              <w:jc w:val="center"/>
            </w:pPr>
            <w:r>
              <w:rPr>
                <w:rFonts w:ascii="宋体" w:hAnsi="宋体" w:eastAsia="宋体"/>
                <w:sz w:val="16"/>
              </w:rPr>
              <w:t>实际完成情况</w:t>
            </w:r>
          </w:p>
        </w:tc>
      </w:tr>
      <w:tr w14:paraId="68C960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4295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E5E6B2">
            <w:pPr>
              <w:jc w:val="both"/>
            </w:pPr>
            <w:r>
              <w:rPr>
                <w:rFonts w:ascii="宋体" w:hAnsi="宋体" w:eastAsia="宋体"/>
                <w:sz w:val="16"/>
              </w:rPr>
              <w:t>本项目主要用于政务服务中心发改委1人、卫健委1人、住建局1人、交通局1人、自然资源局1人、商务局1人、文旅局1人、城市管理局2人、教育局1人、民政局1人、市监局5人窗口工作人员日常办公费用，以保障政务服务中心各项工作的正常运转，向办事群众企业提供优质的公共服务，切实做好为民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15D3E8">
            <w:pPr>
              <w:jc w:val="both"/>
            </w:pPr>
            <w:r>
              <w:rPr>
                <w:rFonts w:ascii="宋体" w:hAnsi="宋体" w:eastAsia="宋体"/>
                <w:sz w:val="16"/>
              </w:rPr>
              <w:t>保障政务服务中心首席代表，涉及单位11家、工作人员16人的日常办公费用，以保障政务服务中心窗口各项工作的正常运转，向办事群众企业提供优质的公共服务，做到切实为民服务。</w:t>
            </w:r>
          </w:p>
        </w:tc>
      </w:tr>
      <w:tr w14:paraId="1A2E28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D997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78C9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A884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9FE0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4499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0069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451F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8430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0562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948A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01EB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DD00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8949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D4B8F">
            <w:pPr>
              <w:jc w:val="center"/>
            </w:pPr>
            <w:r>
              <w:rPr>
                <w:rFonts w:ascii="宋体" w:hAnsi="宋体" w:eastAsia="宋体"/>
                <w:sz w:val="16"/>
              </w:rPr>
              <w:t>偏差原因分析及改进措施</w:t>
            </w:r>
          </w:p>
        </w:tc>
      </w:tr>
      <w:tr w14:paraId="1B264C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A60CC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79BE6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D9D39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F2FBF">
            <w:pPr>
              <w:jc w:val="center"/>
            </w:pPr>
            <w:r>
              <w:rPr>
                <w:rFonts w:ascii="宋体" w:hAnsi="宋体" w:eastAsia="宋体"/>
                <w:sz w:val="16"/>
              </w:rPr>
              <w:t>涉及单位数量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5B4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B239C">
            <w:pPr>
              <w:jc w:val="center"/>
            </w:pPr>
            <w:r>
              <w:rPr>
                <w:rFonts w:ascii="宋体" w:hAnsi="宋体" w:eastAsia="宋体"/>
                <w:sz w:val="16"/>
              </w:rPr>
              <w:t>=11家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DFC0C">
            <w:pPr>
              <w:jc w:val="center"/>
            </w:pPr>
            <w:r>
              <w:rPr>
                <w:rFonts w:ascii="宋体" w:hAnsi="宋体" w:eastAsia="宋体"/>
                <w:sz w:val="16"/>
              </w:rPr>
              <w:t>11家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679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FE9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684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FBF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292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AFB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4C55A">
            <w:pPr>
              <w:jc w:val="center"/>
            </w:pPr>
          </w:p>
        </w:tc>
      </w:tr>
      <w:tr w14:paraId="288F53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56C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F47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B0B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EEC86">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89B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6D668">
            <w:pPr>
              <w:jc w:val="center"/>
            </w:pPr>
            <w:r>
              <w:rPr>
                <w:rFonts w:ascii="宋体" w:hAnsi="宋体" w:eastAsia="宋体"/>
                <w:sz w:val="16"/>
              </w:rPr>
              <w: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DD9EB">
            <w:pPr>
              <w:jc w:val="center"/>
            </w:pPr>
            <w:r>
              <w:rPr>
                <w:rFonts w:ascii="宋体" w:hAnsi="宋体" w:eastAsia="宋体"/>
                <w:sz w:val="16"/>
              </w:rPr>
              <w: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514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E13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AFC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11E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018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3DC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0F06D">
            <w:pPr>
              <w:jc w:val="center"/>
            </w:pPr>
          </w:p>
        </w:tc>
      </w:tr>
      <w:tr w14:paraId="664619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035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B41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B3201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AF304">
            <w:pPr>
              <w:jc w:val="center"/>
            </w:pPr>
            <w:r>
              <w:rPr>
                <w:rFonts w:ascii="宋体" w:hAnsi="宋体" w:eastAsia="宋体"/>
                <w:sz w:val="16"/>
              </w:rPr>
              <w:t>保障大厅工作正常运转率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742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EA50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DBF4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318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3A4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2FC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375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F98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422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285A1">
            <w:pPr>
              <w:jc w:val="center"/>
            </w:pPr>
          </w:p>
        </w:tc>
      </w:tr>
      <w:tr w14:paraId="2239FA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DC2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896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E19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7C6D7">
            <w:pPr>
              <w:jc w:val="center"/>
            </w:pPr>
            <w:r>
              <w:rPr>
                <w:rFonts w:ascii="宋体" w:hAnsi="宋体" w:eastAsia="宋体"/>
                <w:sz w:val="16"/>
              </w:rPr>
              <w:t>资金支付准确率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505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743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0A7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88A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17D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644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8D4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401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056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041C0">
            <w:pPr>
              <w:jc w:val="center"/>
            </w:pPr>
          </w:p>
        </w:tc>
      </w:tr>
      <w:tr w14:paraId="27F1A5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0D7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27A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CDB7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FFFE3">
            <w:pPr>
              <w:jc w:val="center"/>
            </w:pPr>
            <w:r>
              <w:rPr>
                <w:rFonts w:ascii="宋体" w:hAnsi="宋体" w:eastAsia="宋体"/>
                <w:sz w:val="16"/>
              </w:rPr>
              <w:t>办公经费支付及时率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02E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1F9D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160F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860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C09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22D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54E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0B88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939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EB269">
            <w:pPr>
              <w:jc w:val="center"/>
            </w:pPr>
          </w:p>
        </w:tc>
      </w:tr>
      <w:tr w14:paraId="193CF8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7DD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3C8B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8FC7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D3101">
            <w:pPr>
              <w:jc w:val="center"/>
            </w:pPr>
            <w:r>
              <w:rPr>
                <w:rFonts w:ascii="宋体" w:hAnsi="宋体" w:eastAsia="宋体"/>
                <w:sz w:val="16"/>
              </w:rPr>
              <w:t>提升大厅办公人员公共服务水平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40120">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7F002">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A807A">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386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C7652">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5C7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E31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1BDF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0A0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C91A7">
            <w:pPr>
              <w:jc w:val="center"/>
            </w:pPr>
          </w:p>
        </w:tc>
      </w:tr>
      <w:tr w14:paraId="3B706D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F51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A7B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5BCD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9D312">
            <w:pPr>
              <w:jc w:val="center"/>
            </w:pPr>
            <w:r>
              <w:rPr>
                <w:rFonts w:ascii="宋体" w:hAnsi="宋体" w:eastAsia="宋体"/>
                <w:sz w:val="16"/>
              </w:rPr>
              <w:t>干部职工满意度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261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8278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238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5EB0C">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B23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64B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108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FFBA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7B3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D4B27">
            <w:pPr>
              <w:jc w:val="center"/>
            </w:pPr>
            <w:r>
              <w:rPr>
                <w:rFonts w:ascii="宋体" w:hAnsi="宋体" w:eastAsia="宋体"/>
                <w:sz w:val="16"/>
              </w:rPr>
              <w:t>干部职工对此项目满意度较高。</w:t>
            </w:r>
          </w:p>
        </w:tc>
      </w:tr>
      <w:tr w14:paraId="509A345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3CA36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F8D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E00F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A1B9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96E8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0C04E">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B57C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DA38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D657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80A9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63750C"/>
        </w:tc>
      </w:tr>
    </w:tbl>
    <w:p w14:paraId="0A107AE4">
      <w:r>
        <w:br w:type="page"/>
      </w:r>
    </w:p>
    <w:p w14:paraId="6BC3AB68">
      <w:pPr>
        <w:spacing w:line="640" w:lineRule="exact"/>
        <w:ind w:firstLine="640"/>
        <w:jc w:val="both"/>
        <w:outlineLvl w:val="2"/>
      </w:pPr>
      <w:r>
        <w:rPr>
          <w:rFonts w:ascii="黑体" w:hAnsi="黑体" w:eastAsia="黑体"/>
          <w:sz w:val="32"/>
        </w:rPr>
        <w:t>十二、其他需说明的事项</w:t>
      </w:r>
    </w:p>
    <w:p w14:paraId="7BBFCBDA">
      <w:pPr>
        <w:spacing w:line="580" w:lineRule="exact"/>
        <w:ind w:firstLine="640"/>
        <w:jc w:val="both"/>
      </w:pPr>
      <w:r>
        <w:rPr>
          <w:rFonts w:ascii="仿宋_GB2312" w:hAnsi="仿宋_GB2312" w:eastAsia="仿宋_GB2312"/>
          <w:b w:val="0"/>
          <w:sz w:val="32"/>
        </w:rPr>
        <w:t>本单位无其他需说明的事项。</w:t>
      </w:r>
    </w:p>
    <w:p w14:paraId="0FD4DB18">
      <w:r>
        <w:br w:type="page"/>
      </w:r>
    </w:p>
    <w:p w14:paraId="6F6C7DBC">
      <w:pPr>
        <w:spacing w:line="240" w:lineRule="auto"/>
        <w:jc w:val="center"/>
        <w:outlineLvl w:val="1"/>
      </w:pPr>
      <w:r>
        <w:rPr>
          <w:rFonts w:ascii="黑体" w:hAnsi="黑体" w:eastAsia="黑体"/>
          <w:sz w:val="32"/>
        </w:rPr>
        <w:t>第三部分 专业名词解释</w:t>
      </w:r>
    </w:p>
    <w:p w14:paraId="636A289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04F0CC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8ACB5A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E44B23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F34A32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4E7701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3A13DD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25E0FF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48BC25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2B5B87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38B6A3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488D31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53E57A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E3BFCE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702939C">
      <w:r>
        <w:br w:type="page"/>
      </w:r>
    </w:p>
    <w:p w14:paraId="0CFA89EF">
      <w:pPr>
        <w:spacing w:line="240" w:lineRule="auto"/>
        <w:jc w:val="center"/>
        <w:outlineLvl w:val="1"/>
      </w:pPr>
      <w:r>
        <w:rPr>
          <w:rFonts w:ascii="黑体" w:hAnsi="黑体" w:eastAsia="黑体"/>
          <w:sz w:val="32"/>
        </w:rPr>
        <w:t>第四部分 部门决算报表（见附表）</w:t>
      </w:r>
    </w:p>
    <w:p w14:paraId="35F07B11">
      <w:pPr>
        <w:spacing w:line="240" w:lineRule="auto"/>
        <w:ind w:firstLine="640"/>
        <w:jc w:val="both"/>
      </w:pPr>
      <w:r>
        <w:rPr>
          <w:rFonts w:ascii="仿宋_GB2312" w:hAnsi="仿宋_GB2312" w:eastAsia="仿宋_GB2312"/>
          <w:b w:val="0"/>
          <w:sz w:val="32"/>
        </w:rPr>
        <w:t>一、《收入支出决算总表》</w:t>
      </w:r>
    </w:p>
    <w:p w14:paraId="1194445E">
      <w:pPr>
        <w:spacing w:line="240" w:lineRule="auto"/>
        <w:ind w:firstLine="640"/>
        <w:jc w:val="both"/>
      </w:pPr>
      <w:r>
        <w:rPr>
          <w:rFonts w:ascii="仿宋_GB2312" w:hAnsi="仿宋_GB2312" w:eastAsia="仿宋_GB2312"/>
          <w:b w:val="0"/>
          <w:sz w:val="32"/>
        </w:rPr>
        <w:t>二、《收入决算表》</w:t>
      </w:r>
    </w:p>
    <w:p w14:paraId="2E8F751A">
      <w:pPr>
        <w:spacing w:line="240" w:lineRule="auto"/>
        <w:ind w:firstLine="640"/>
        <w:jc w:val="both"/>
      </w:pPr>
      <w:r>
        <w:rPr>
          <w:rFonts w:ascii="仿宋_GB2312" w:hAnsi="仿宋_GB2312" w:eastAsia="仿宋_GB2312"/>
          <w:b w:val="0"/>
          <w:sz w:val="32"/>
        </w:rPr>
        <w:t>三、《支出决算表》</w:t>
      </w:r>
    </w:p>
    <w:p w14:paraId="3DEBF644">
      <w:pPr>
        <w:spacing w:line="240" w:lineRule="auto"/>
        <w:ind w:firstLine="640"/>
        <w:jc w:val="both"/>
      </w:pPr>
      <w:r>
        <w:rPr>
          <w:rFonts w:ascii="仿宋_GB2312" w:hAnsi="仿宋_GB2312" w:eastAsia="仿宋_GB2312"/>
          <w:b w:val="0"/>
          <w:sz w:val="32"/>
        </w:rPr>
        <w:t>四、《财政拨款收入支出决算总表》</w:t>
      </w:r>
    </w:p>
    <w:p w14:paraId="46A1B413">
      <w:pPr>
        <w:spacing w:line="240" w:lineRule="auto"/>
        <w:ind w:firstLine="640"/>
        <w:jc w:val="both"/>
      </w:pPr>
      <w:r>
        <w:rPr>
          <w:rFonts w:ascii="仿宋_GB2312" w:hAnsi="仿宋_GB2312" w:eastAsia="仿宋_GB2312"/>
          <w:b w:val="0"/>
          <w:sz w:val="32"/>
        </w:rPr>
        <w:t>五、《一般公共预算财政拨款支出决算表》</w:t>
      </w:r>
    </w:p>
    <w:p w14:paraId="0B64FB11">
      <w:pPr>
        <w:spacing w:line="240" w:lineRule="auto"/>
        <w:ind w:firstLine="640"/>
        <w:jc w:val="both"/>
      </w:pPr>
      <w:r>
        <w:rPr>
          <w:rFonts w:ascii="仿宋_GB2312" w:hAnsi="仿宋_GB2312" w:eastAsia="仿宋_GB2312"/>
          <w:b w:val="0"/>
          <w:sz w:val="32"/>
        </w:rPr>
        <w:t>六、《一般公共预算财政拨款基本支出决算表》</w:t>
      </w:r>
    </w:p>
    <w:p w14:paraId="4BDB3CBF">
      <w:pPr>
        <w:spacing w:line="240" w:lineRule="auto"/>
        <w:ind w:firstLine="640"/>
        <w:jc w:val="both"/>
      </w:pPr>
      <w:r>
        <w:rPr>
          <w:rFonts w:ascii="仿宋_GB2312" w:hAnsi="仿宋_GB2312" w:eastAsia="仿宋_GB2312"/>
          <w:b w:val="0"/>
          <w:sz w:val="32"/>
        </w:rPr>
        <w:t>七、《政府性基金预算财政拨款收入支出决算表》</w:t>
      </w:r>
    </w:p>
    <w:p w14:paraId="33923178">
      <w:pPr>
        <w:spacing w:line="240" w:lineRule="auto"/>
        <w:ind w:firstLine="640"/>
        <w:jc w:val="both"/>
      </w:pPr>
      <w:r>
        <w:rPr>
          <w:rFonts w:ascii="仿宋_GB2312" w:hAnsi="仿宋_GB2312" w:eastAsia="仿宋_GB2312"/>
          <w:b w:val="0"/>
          <w:sz w:val="32"/>
        </w:rPr>
        <w:t>八、《国有资本经营预算财政拨款收入支出决算表》</w:t>
      </w:r>
    </w:p>
    <w:p w14:paraId="3D045908">
      <w:pPr>
        <w:spacing w:line="240" w:lineRule="auto"/>
        <w:ind w:firstLine="640"/>
        <w:jc w:val="both"/>
      </w:pPr>
      <w:r>
        <w:rPr>
          <w:rFonts w:ascii="仿宋_GB2312" w:hAnsi="仿宋_GB2312" w:eastAsia="仿宋_GB2312"/>
          <w:b w:val="0"/>
          <w:sz w:val="32"/>
        </w:rPr>
        <w:t>九、《财政拨款“三公”经费支出决算表》</w:t>
      </w:r>
    </w:p>
    <w:p w14:paraId="6BBB6747">
      <w:pPr>
        <w:spacing w:line="240" w:lineRule="auto"/>
        <w:ind w:firstLine="640"/>
        <w:jc w:val="both"/>
      </w:pPr>
    </w:p>
    <w:p w14:paraId="2E3A7183">
      <w:pPr>
        <w:spacing w:line="240" w:lineRule="auto"/>
        <w:ind w:firstLine="640"/>
        <w:jc w:val="both"/>
      </w:pPr>
    </w:p>
    <w:p w14:paraId="55D59F26">
      <w:pPr>
        <w:spacing w:line="240" w:lineRule="auto"/>
        <w:ind w:firstLine="640"/>
        <w:jc w:val="both"/>
      </w:pPr>
    </w:p>
    <w:p w14:paraId="78822B69">
      <w:pPr>
        <w:spacing w:line="240" w:lineRule="auto"/>
        <w:ind w:firstLine="640"/>
        <w:jc w:val="both"/>
      </w:pPr>
    </w:p>
    <w:p w14:paraId="31156CD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8D68E8"/>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29F2A40"/>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C365D6F"/>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E112C9"/>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4722</Words>
  <Characters>5448</Characters>
  <Lines>0</Lines>
  <Paragraphs>0</Paragraphs>
  <TotalTime>4</TotalTime>
  <ScaleCrop>false</ScaleCrop>
  <LinksUpToDate>false</LinksUpToDate>
  <CharactersWithSpaces>5456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2025-12-05T02:47:45Z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eyJoZGlkIjoiN2E1ZDY0MDI5MTE3YjM0ZGMyMzg4N2EwMDI4ZjJiM2YiLCJ1c2VySWQiOiI0MzE2NzY3NzkifQ==</vt:lpwstr>
  </property>
</Properties>
</file>