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0CC5E7">
      <w:r>
        <w:br w:type="page"/>
      </w:r>
    </w:p>
    <w:p w14:paraId="02D8CA07">
      <w:pPr>
        <w:spacing w:line="640" w:lineRule="exact"/>
        <w:jc w:val="center"/>
        <w:outlineLvl w:val="1"/>
      </w:pPr>
      <w:r>
        <w:rPr>
          <w:rFonts w:ascii="黑体" w:hAnsi="黑体" w:eastAsia="黑体"/>
          <w:sz w:val="32"/>
        </w:rPr>
        <w:t>第一部分 单位概况</w:t>
      </w:r>
    </w:p>
    <w:p w14:paraId="5FD0B444">
      <w:pPr>
        <w:spacing w:line="640" w:lineRule="exact"/>
        <w:ind w:firstLine="640"/>
        <w:jc w:val="both"/>
        <w:outlineLvl w:val="2"/>
      </w:pPr>
      <w:r>
        <w:rPr>
          <w:rFonts w:ascii="黑体" w:hAnsi="黑体" w:eastAsia="黑体"/>
          <w:sz w:val="32"/>
        </w:rPr>
        <w:t>一、主要职能</w:t>
      </w:r>
    </w:p>
    <w:p w14:paraId="4CA20A96">
      <w:pPr>
        <w:spacing w:line="580" w:lineRule="exact"/>
        <w:ind w:firstLine="640"/>
        <w:jc w:val="both"/>
      </w:pPr>
      <w:r>
        <w:rPr>
          <w:rFonts w:ascii="仿宋_GB2312" w:hAnsi="仿宋_GB2312" w:eastAsia="仿宋_GB2312"/>
          <w:sz w:val="32"/>
        </w:rPr>
        <w:t>（一）贯彻执行工会工作的方针、政策，制定全市工会工作的发展规划，并组织实施。</w:t>
      </w:r>
    </w:p>
    <w:p w14:paraId="167F7B19">
      <w:pPr>
        <w:spacing w:line="580" w:lineRule="exact"/>
        <w:ind w:firstLine="640"/>
        <w:jc w:val="both"/>
      </w:pPr>
      <w:r>
        <w:rPr>
          <w:rFonts w:ascii="仿宋_GB2312" w:hAnsi="仿宋_GB2312" w:eastAsia="仿宋_GB2312"/>
          <w:sz w:val="32"/>
        </w:rPr>
        <w:t>（二）依照有关法律和《中国工会章程》，组织和指导全市各级工会开展工作。维护职工的合法权益，协助市人民政府做好劳模的推荐、评选和管理工作，负责</w:t>
      </w:r>
      <w:r>
        <w:rPr>
          <w:rFonts w:hint="eastAsia" w:ascii="仿宋_GB2312" w:hAnsi="仿宋_GB2312" w:eastAsia="仿宋_GB2312"/>
          <w:sz w:val="32"/>
          <w:lang w:eastAsia="zh-CN"/>
        </w:rPr>
        <w:t>“五一劳动奖章”</w:t>
      </w:r>
      <w:r>
        <w:rPr>
          <w:rFonts w:ascii="仿宋_GB2312" w:hAnsi="仿宋_GB2312" w:eastAsia="仿宋_GB2312"/>
          <w:sz w:val="32"/>
        </w:rPr>
        <w:t>、奖状获得者、劳模和先进工作者的推荐、评选和管理工作。</w:t>
      </w:r>
    </w:p>
    <w:p w14:paraId="63368E0C">
      <w:pPr>
        <w:spacing w:line="580" w:lineRule="exact"/>
        <w:ind w:firstLine="640"/>
        <w:jc w:val="both"/>
      </w:pPr>
      <w:r>
        <w:rPr>
          <w:rFonts w:ascii="仿宋_GB2312" w:hAnsi="仿宋_GB2312" w:eastAsia="仿宋_GB2312"/>
          <w:sz w:val="32"/>
        </w:rPr>
        <w:t>（三）进一步加强对涉及职工合法权益重大问题的调研，向市委、市人民政府反映职工群众的思想、愿望和要求，提出意见建议；参与涉及职工切身利益的政策、制度的拟定工作；对侵犯职工合法权益的重大事件进行调查并提出处理意见；参与职工重大伤亡事故的调查处理。</w:t>
      </w:r>
    </w:p>
    <w:p w14:paraId="19E87482">
      <w:pPr>
        <w:spacing w:line="580" w:lineRule="exact"/>
        <w:ind w:firstLine="640"/>
        <w:jc w:val="both"/>
      </w:pPr>
      <w:r>
        <w:rPr>
          <w:rFonts w:ascii="仿宋_GB2312" w:hAnsi="仿宋_GB2312" w:eastAsia="仿宋_GB2312"/>
          <w:sz w:val="32"/>
        </w:rPr>
        <w:t>（四）监督检查《中华人民共和国工会法》《中国工会章程》《中华人民共和国劳动合同法》《自治区非公有制工会条例》的贯彻执行情况，指导基层工会组织开展以职工代表大会为基本制度的民主选举、民主决策、</w:t>
      </w:r>
      <w:r>
        <w:rPr>
          <w:rFonts w:hint="eastAsia" w:ascii="仿宋_GB2312" w:hAnsi="仿宋_GB2312" w:eastAsia="仿宋_GB2312"/>
          <w:sz w:val="32"/>
          <w:lang w:eastAsia="zh-CN"/>
        </w:rPr>
        <w:t>民主管理、民主监督</w:t>
      </w:r>
      <w:r>
        <w:rPr>
          <w:rFonts w:ascii="仿宋_GB2312" w:hAnsi="仿宋_GB2312" w:eastAsia="仿宋_GB2312"/>
          <w:sz w:val="32"/>
        </w:rPr>
        <w:t>工作。</w:t>
      </w:r>
    </w:p>
    <w:p w14:paraId="5E7D861D">
      <w:pPr>
        <w:spacing w:line="580" w:lineRule="exact"/>
        <w:ind w:firstLine="640"/>
        <w:jc w:val="both"/>
      </w:pPr>
      <w:r>
        <w:rPr>
          <w:rFonts w:ascii="仿宋_GB2312" w:hAnsi="仿宋_GB2312" w:eastAsia="仿宋_GB2312"/>
          <w:sz w:val="32"/>
        </w:rPr>
        <w:t>（五）负责全市工会经费的收缴上交和工会资产管理、审查、审计工作。</w:t>
      </w:r>
    </w:p>
    <w:p w14:paraId="1A736ED2">
      <w:pPr>
        <w:spacing w:line="580" w:lineRule="exact"/>
        <w:ind w:firstLine="640"/>
        <w:jc w:val="both"/>
      </w:pPr>
      <w:r>
        <w:rPr>
          <w:rFonts w:ascii="仿宋_GB2312" w:hAnsi="仿宋_GB2312" w:eastAsia="仿宋_GB2312"/>
          <w:sz w:val="32"/>
        </w:rPr>
        <w:t>（六）完成市委、市人民政府交办的其他任务。</w:t>
      </w:r>
    </w:p>
    <w:p w14:paraId="66B309EE">
      <w:pPr>
        <w:spacing w:line="640" w:lineRule="exact"/>
        <w:ind w:firstLine="640"/>
        <w:jc w:val="both"/>
        <w:outlineLvl w:val="2"/>
      </w:pPr>
      <w:r>
        <w:rPr>
          <w:rFonts w:ascii="黑体" w:hAnsi="黑体" w:eastAsia="黑体"/>
          <w:sz w:val="32"/>
        </w:rPr>
        <w:t>二、机构设置及人员情况</w:t>
      </w:r>
    </w:p>
    <w:p w14:paraId="3202A963">
      <w:pPr>
        <w:spacing w:line="580" w:lineRule="exact"/>
        <w:ind w:firstLine="640"/>
        <w:jc w:val="both"/>
      </w:pPr>
      <w:r>
        <w:rPr>
          <w:rFonts w:ascii="仿宋_GB2312" w:hAnsi="仿宋_GB2312" w:eastAsia="仿宋_GB2312"/>
          <w:sz w:val="32"/>
        </w:rPr>
        <w:t>霍尔果斯市总工会2024年度，实有人数3人，其中：在职人员3人，增加1人；离休人员0人，增加0人；退休人员0人,增加0人。</w:t>
      </w:r>
    </w:p>
    <w:p w14:paraId="0EE25428">
      <w:pPr>
        <w:spacing w:line="580" w:lineRule="exact"/>
        <w:ind w:firstLine="640"/>
        <w:jc w:val="both"/>
      </w:pPr>
      <w:r>
        <w:rPr>
          <w:rFonts w:ascii="仿宋_GB2312" w:hAnsi="仿宋_GB2312" w:eastAsia="仿宋_GB2312"/>
          <w:sz w:val="32"/>
        </w:rPr>
        <w:t>霍尔果斯市总工会无下属预算单位，下设1个科室，分别是：综合办公室。</w:t>
      </w:r>
    </w:p>
    <w:p w14:paraId="38375C84">
      <w:r>
        <w:br w:type="page"/>
      </w:r>
    </w:p>
    <w:p w14:paraId="4FCD1EFD">
      <w:pPr>
        <w:spacing w:line="240" w:lineRule="auto"/>
        <w:jc w:val="center"/>
        <w:outlineLvl w:val="1"/>
      </w:pPr>
      <w:r>
        <w:rPr>
          <w:rFonts w:ascii="黑体" w:hAnsi="黑体" w:eastAsia="黑体"/>
          <w:sz w:val="32"/>
        </w:rPr>
        <w:t>第二部分 部门决算情况说明</w:t>
      </w:r>
    </w:p>
    <w:p w14:paraId="66895F74">
      <w:pPr>
        <w:spacing w:line="640" w:lineRule="exact"/>
        <w:ind w:firstLine="640"/>
        <w:jc w:val="both"/>
        <w:outlineLvl w:val="2"/>
      </w:pPr>
      <w:r>
        <w:rPr>
          <w:rFonts w:ascii="黑体" w:hAnsi="黑体" w:eastAsia="黑体"/>
          <w:sz w:val="32"/>
        </w:rPr>
        <w:t>一、收入支出决算总体情况说明</w:t>
      </w:r>
    </w:p>
    <w:p w14:paraId="5FDC7AA6">
      <w:pPr>
        <w:spacing w:line="580" w:lineRule="exact"/>
        <w:ind w:firstLine="640"/>
        <w:jc w:val="both"/>
      </w:pPr>
      <w:r>
        <w:rPr>
          <w:rFonts w:ascii="仿宋_GB2312" w:hAnsi="仿宋_GB2312" w:eastAsia="仿宋_GB2312"/>
          <w:b/>
          <w:sz w:val="32"/>
        </w:rPr>
        <w:t>2024年度收入总计52.70万元，</w:t>
      </w:r>
      <w:r>
        <w:rPr>
          <w:rFonts w:ascii="仿宋_GB2312" w:hAnsi="仿宋_GB2312" w:eastAsia="仿宋_GB2312"/>
          <w:b w:val="0"/>
          <w:sz w:val="32"/>
        </w:rPr>
        <w:t>其中：本年收入合计52.20万元，使用非财政拨款结余（含专用结余）0.00万元，年初结转和结余0.50万元。</w:t>
      </w:r>
    </w:p>
    <w:p w14:paraId="55695CED">
      <w:pPr>
        <w:spacing w:line="580" w:lineRule="exact"/>
        <w:ind w:firstLine="640"/>
        <w:jc w:val="both"/>
      </w:pPr>
      <w:r>
        <w:rPr>
          <w:rFonts w:ascii="仿宋_GB2312" w:hAnsi="仿宋_GB2312" w:eastAsia="仿宋_GB2312"/>
          <w:b/>
          <w:sz w:val="32"/>
        </w:rPr>
        <w:t>2024年度支出总计52.70万元，</w:t>
      </w:r>
      <w:r>
        <w:rPr>
          <w:rFonts w:ascii="仿宋_GB2312" w:hAnsi="仿宋_GB2312" w:eastAsia="仿宋_GB2312"/>
          <w:b w:val="0"/>
          <w:sz w:val="32"/>
        </w:rPr>
        <w:t>其中：本年支出合计52.20万元，结余分配0.00万元，年末结转和结余0.50万元。</w:t>
      </w:r>
    </w:p>
    <w:p w14:paraId="1FC7A611">
      <w:pPr>
        <w:spacing w:line="580" w:lineRule="exact"/>
        <w:ind w:firstLine="640"/>
        <w:jc w:val="both"/>
      </w:pPr>
      <w:r>
        <w:rPr>
          <w:rFonts w:ascii="仿宋_GB2312" w:hAnsi="仿宋_GB2312" w:eastAsia="仿宋_GB2312"/>
          <w:b w:val="0"/>
          <w:sz w:val="32"/>
        </w:rPr>
        <w:t>收入支出总体与上年相比，减少105.56万元，下降66.70%，主要原因是：本年减少补交霍尔果斯全市基层工会经费项目资金。</w:t>
      </w:r>
    </w:p>
    <w:p w14:paraId="2EE5C7A2">
      <w:pPr>
        <w:spacing w:line="640" w:lineRule="exact"/>
        <w:ind w:firstLine="640"/>
        <w:jc w:val="both"/>
        <w:outlineLvl w:val="2"/>
      </w:pPr>
      <w:r>
        <w:rPr>
          <w:rFonts w:ascii="黑体" w:hAnsi="黑体" w:eastAsia="黑体"/>
          <w:sz w:val="32"/>
        </w:rPr>
        <w:t>二、收入决算情况说明</w:t>
      </w:r>
    </w:p>
    <w:p w14:paraId="3C0FD3A5">
      <w:pPr>
        <w:spacing w:line="580" w:lineRule="exact"/>
        <w:ind w:firstLine="640"/>
        <w:jc w:val="both"/>
      </w:pPr>
      <w:r>
        <w:rPr>
          <w:rFonts w:ascii="仿宋_GB2312" w:hAnsi="仿宋_GB2312" w:eastAsia="仿宋_GB2312"/>
          <w:b/>
          <w:sz w:val="32"/>
        </w:rPr>
        <w:t>本年收入52.20万元，</w:t>
      </w:r>
      <w:r>
        <w:rPr>
          <w:rFonts w:ascii="仿宋_GB2312" w:hAnsi="仿宋_GB2312" w:eastAsia="仿宋_GB2312"/>
          <w:b w:val="0"/>
          <w:sz w:val="32"/>
        </w:rPr>
        <w:t>其中：财政拨款收入52.20万元，占100.00%；上级补助收入0.00万元，占0.00%；事业收入0.00万元，占0.00%；经营收入0.00万元，占0.00%；附属单位上缴收入0.00万元，占0.00%；其他收入0.00万元，占0.00%。</w:t>
      </w:r>
    </w:p>
    <w:p w14:paraId="69A424FE">
      <w:pPr>
        <w:spacing w:line="640" w:lineRule="exact"/>
        <w:ind w:firstLine="640"/>
        <w:jc w:val="both"/>
        <w:outlineLvl w:val="2"/>
      </w:pPr>
      <w:r>
        <w:rPr>
          <w:rFonts w:ascii="黑体" w:hAnsi="黑体" w:eastAsia="黑体"/>
          <w:sz w:val="32"/>
        </w:rPr>
        <w:t>三、支出决算情况说明</w:t>
      </w:r>
    </w:p>
    <w:p w14:paraId="40E16F52">
      <w:pPr>
        <w:spacing w:line="580" w:lineRule="exact"/>
        <w:ind w:firstLine="640"/>
        <w:jc w:val="both"/>
      </w:pPr>
      <w:r>
        <w:rPr>
          <w:rFonts w:ascii="仿宋_GB2312" w:hAnsi="仿宋_GB2312" w:eastAsia="仿宋_GB2312"/>
          <w:b/>
          <w:sz w:val="32"/>
        </w:rPr>
        <w:t>本年支出52.20万元，</w:t>
      </w:r>
      <w:r>
        <w:rPr>
          <w:rFonts w:ascii="仿宋_GB2312" w:hAnsi="仿宋_GB2312" w:eastAsia="仿宋_GB2312"/>
          <w:b w:val="0"/>
          <w:sz w:val="32"/>
        </w:rPr>
        <w:t>其中：基本支出52.20万元，占100.00%；项目支出0.00万元，占0.00%；上缴上级支出0.00万元，占0.00%；经营支出0.00万元，占0.00%；对附属单位补助支出0.00万元，占0.00%。</w:t>
      </w:r>
    </w:p>
    <w:p w14:paraId="4B600C53">
      <w:pPr>
        <w:spacing w:line="640" w:lineRule="exact"/>
        <w:ind w:firstLine="640"/>
        <w:jc w:val="both"/>
        <w:outlineLvl w:val="2"/>
      </w:pPr>
      <w:r>
        <w:rPr>
          <w:rFonts w:ascii="黑体" w:hAnsi="黑体" w:eastAsia="黑体"/>
          <w:sz w:val="32"/>
        </w:rPr>
        <w:t>四、财政拨款收入支出决算总体情况说明</w:t>
      </w:r>
    </w:p>
    <w:p w14:paraId="5451E3F6">
      <w:pPr>
        <w:spacing w:line="580" w:lineRule="exact"/>
        <w:ind w:firstLine="640"/>
        <w:jc w:val="both"/>
      </w:pPr>
      <w:r>
        <w:rPr>
          <w:rFonts w:ascii="仿宋_GB2312" w:hAnsi="仿宋_GB2312" w:eastAsia="仿宋_GB2312"/>
          <w:b/>
          <w:sz w:val="32"/>
        </w:rPr>
        <w:t>2024年度财政拨款收入总计52.20万元，</w:t>
      </w:r>
      <w:r>
        <w:rPr>
          <w:rFonts w:ascii="仿宋_GB2312" w:hAnsi="仿宋_GB2312" w:eastAsia="仿宋_GB2312"/>
          <w:b w:val="0"/>
          <w:sz w:val="32"/>
        </w:rPr>
        <w:t>其中：年初财政拨款结转和结余0.00万元，本年财政拨款收入52.20万元。</w:t>
      </w:r>
      <w:r>
        <w:rPr>
          <w:rFonts w:ascii="仿宋_GB2312" w:hAnsi="仿宋_GB2312" w:eastAsia="仿宋_GB2312"/>
          <w:b/>
          <w:sz w:val="32"/>
        </w:rPr>
        <w:t>财政拨款支出总计52.20万元，</w:t>
      </w:r>
      <w:r>
        <w:rPr>
          <w:rFonts w:ascii="仿宋_GB2312" w:hAnsi="仿宋_GB2312" w:eastAsia="仿宋_GB2312"/>
          <w:b w:val="0"/>
          <w:sz w:val="32"/>
        </w:rPr>
        <w:t>其中：年末财政拨款结转和结余0.00万元，本年财政拨款支出52.20万元。</w:t>
      </w:r>
    </w:p>
    <w:p w14:paraId="3DD3304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减少105.56万元，下降66.91%，主要原因是：本年减少补交霍尔果斯全市基层工会经费项目资金。</w:t>
      </w:r>
      <w:r>
        <w:rPr>
          <w:rFonts w:ascii="仿宋_GB2312" w:hAnsi="仿宋_GB2312" w:eastAsia="仿宋_GB2312"/>
          <w:b/>
          <w:sz w:val="32"/>
        </w:rPr>
        <w:t>与年初预算相比，</w:t>
      </w:r>
      <w:r>
        <w:rPr>
          <w:rFonts w:ascii="仿宋_GB2312" w:hAnsi="仿宋_GB2312" w:eastAsia="仿宋_GB2312"/>
          <w:b w:val="0"/>
          <w:sz w:val="32"/>
        </w:rPr>
        <w:t>年初预算数56.48万元，决算数52.20万元，预决算差异率-7.58%，主要原因是：年中调减工人文化宫运转经费项目资金，导致预决算存在差异。</w:t>
      </w:r>
    </w:p>
    <w:p w14:paraId="160D9349">
      <w:pPr>
        <w:spacing w:line="640" w:lineRule="exact"/>
        <w:ind w:firstLine="640"/>
        <w:jc w:val="both"/>
        <w:outlineLvl w:val="2"/>
      </w:pPr>
      <w:r>
        <w:rPr>
          <w:rFonts w:ascii="黑体" w:hAnsi="黑体" w:eastAsia="黑体"/>
          <w:sz w:val="32"/>
        </w:rPr>
        <w:t>五、一般公共预算财政拨款支出决算情况说明</w:t>
      </w:r>
    </w:p>
    <w:p w14:paraId="5651574F">
      <w:pPr>
        <w:spacing w:line="640" w:lineRule="exact"/>
        <w:ind w:firstLine="640"/>
        <w:jc w:val="both"/>
        <w:outlineLvl w:val="3"/>
      </w:pPr>
      <w:r>
        <w:rPr>
          <w:rFonts w:ascii="楷体_GB2312" w:hAnsi="楷体_GB2312" w:eastAsia="楷体_GB2312"/>
          <w:b/>
          <w:sz w:val="32"/>
        </w:rPr>
        <w:t>（一）一般公共预算财政拨款支出决算总体情况</w:t>
      </w:r>
    </w:p>
    <w:p w14:paraId="7DA3C486">
      <w:pPr>
        <w:spacing w:line="580" w:lineRule="exact"/>
        <w:ind w:firstLine="640"/>
        <w:jc w:val="both"/>
      </w:pPr>
      <w:r>
        <w:rPr>
          <w:rFonts w:ascii="仿宋_GB2312" w:hAnsi="仿宋_GB2312" w:eastAsia="仿宋_GB2312"/>
          <w:b/>
          <w:sz w:val="32"/>
        </w:rPr>
        <w:t>2024年度一般公共预算财政拨款支出52.20万元，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减少105.56万元，下降66.91%，主要原因是：本年减少补交霍尔果斯全市基层工会经费项目资金。</w:t>
      </w:r>
      <w:r>
        <w:rPr>
          <w:rFonts w:ascii="仿宋_GB2312" w:hAnsi="仿宋_GB2312" w:eastAsia="仿宋_GB2312"/>
          <w:b/>
          <w:sz w:val="32"/>
        </w:rPr>
        <w:t>与年初预算相比,</w:t>
      </w:r>
      <w:r>
        <w:rPr>
          <w:rFonts w:ascii="仿宋_GB2312" w:hAnsi="仿宋_GB2312" w:eastAsia="仿宋_GB2312"/>
          <w:b w:val="0"/>
          <w:sz w:val="32"/>
        </w:rPr>
        <w:t>年初预算数56.48万元，决算数52.20万元，预决算差异率-7.58%，主要原因是：年中调减工人文化宫运转经费项目资金，导致预决算存在差异。</w:t>
      </w:r>
    </w:p>
    <w:p w14:paraId="7CDB6D71">
      <w:pPr>
        <w:spacing w:line="640" w:lineRule="exact"/>
        <w:ind w:firstLine="640"/>
        <w:jc w:val="both"/>
        <w:outlineLvl w:val="3"/>
      </w:pPr>
      <w:r>
        <w:rPr>
          <w:rFonts w:ascii="楷体_GB2312" w:hAnsi="楷体_GB2312" w:eastAsia="楷体_GB2312"/>
          <w:b/>
          <w:sz w:val="32"/>
        </w:rPr>
        <w:t>（二）一般公共预算财政拨款支出决算结构情况</w:t>
      </w:r>
    </w:p>
    <w:p w14:paraId="2CF1C9C4">
      <w:pPr>
        <w:spacing w:line="580" w:lineRule="exact"/>
        <w:ind w:firstLine="640"/>
        <w:jc w:val="both"/>
      </w:pPr>
      <w:r>
        <w:rPr>
          <w:rFonts w:ascii="仿宋_GB2312" w:hAnsi="仿宋_GB2312" w:eastAsia="仿宋_GB2312"/>
          <w:b w:val="0"/>
          <w:sz w:val="32"/>
        </w:rPr>
        <w:t>1.一般公共服务支出(类)42.31万元,占81.05%。</w:t>
      </w:r>
    </w:p>
    <w:p w14:paraId="73C6206D">
      <w:pPr>
        <w:spacing w:line="580" w:lineRule="exact"/>
        <w:ind w:firstLine="640"/>
        <w:jc w:val="both"/>
      </w:pPr>
      <w:r>
        <w:rPr>
          <w:rFonts w:ascii="仿宋_GB2312" w:hAnsi="仿宋_GB2312" w:eastAsia="仿宋_GB2312"/>
          <w:b w:val="0"/>
          <w:sz w:val="32"/>
        </w:rPr>
        <w:t>2.社会保障和就业支出(类)5.63万元,占10.79%。</w:t>
      </w:r>
    </w:p>
    <w:p w14:paraId="593ABED4">
      <w:pPr>
        <w:spacing w:line="580" w:lineRule="exact"/>
        <w:ind w:firstLine="640"/>
        <w:jc w:val="both"/>
      </w:pPr>
      <w:r>
        <w:rPr>
          <w:rFonts w:ascii="仿宋_GB2312" w:hAnsi="仿宋_GB2312" w:eastAsia="仿宋_GB2312"/>
          <w:b w:val="0"/>
          <w:sz w:val="32"/>
        </w:rPr>
        <w:t>3.住房保障支出(类)4.26万元,占8.16%。</w:t>
      </w:r>
    </w:p>
    <w:p w14:paraId="0CC986C0">
      <w:pPr>
        <w:spacing w:line="640" w:lineRule="exact"/>
        <w:ind w:firstLine="640"/>
        <w:jc w:val="both"/>
        <w:outlineLvl w:val="3"/>
      </w:pPr>
      <w:r>
        <w:rPr>
          <w:rFonts w:ascii="楷体_GB2312" w:hAnsi="楷体_GB2312" w:eastAsia="楷体_GB2312"/>
          <w:b/>
          <w:sz w:val="32"/>
        </w:rPr>
        <w:t>（三）一般公共预算财政拨款支出决算具体情况</w:t>
      </w:r>
    </w:p>
    <w:p w14:paraId="1E7C82B5">
      <w:pPr>
        <w:spacing w:line="580" w:lineRule="exact"/>
        <w:ind w:firstLine="640"/>
        <w:jc w:val="both"/>
      </w:pPr>
      <w:r>
        <w:rPr>
          <w:rFonts w:ascii="仿宋_GB2312" w:hAnsi="仿宋_GB2312" w:eastAsia="仿宋_GB2312"/>
          <w:b w:val="0"/>
          <w:sz w:val="32"/>
        </w:rPr>
        <w:t>1.一般公共服务支出(类)群众团体事务(款)行政运行(项):支出决算数为42.31万元，比上年决算增加10.72万元，增长33.93%,主要原因是：本年新增在职人员，人员经费增加，导致经费较上年有所增加。</w:t>
      </w:r>
    </w:p>
    <w:p w14:paraId="5368734F">
      <w:pPr>
        <w:spacing w:line="580" w:lineRule="exact"/>
        <w:ind w:firstLine="640"/>
        <w:jc w:val="both"/>
      </w:pPr>
      <w:r>
        <w:rPr>
          <w:rFonts w:ascii="仿宋_GB2312" w:hAnsi="仿宋_GB2312" w:eastAsia="仿宋_GB2312"/>
          <w:b w:val="0"/>
          <w:sz w:val="32"/>
        </w:rPr>
        <w:t>2.一般公共服务支出(类)群众团体事务(款)一般行政管理事务(项):支出决算数为0.00万元，比上年决算减少119.56万元，下降100.00%,主要原因是：本年减少补交霍尔果斯全市基层工会经费项目资金。</w:t>
      </w:r>
    </w:p>
    <w:p w14:paraId="2FAA39BE">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4.85万元，比上年决算增加1.31万元，增长37.01%,主要原因是：本年在职人员增加，养老保险缴费较上年增加。</w:t>
      </w:r>
    </w:p>
    <w:p w14:paraId="5E430503">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4.社会保障和就业支出(类)行政事业单位养老支出(款)机关事业单位职业年金缴费支出(项):支出决算数为0.78万元，比上年决算增加0.78万元，增长100.00%,主要原因是：</w:t>
      </w:r>
      <w:r>
        <w:rPr>
          <w:rFonts w:hint="eastAsia" w:ascii="仿宋_GB2312" w:hAnsi="仿宋_GB2312" w:eastAsia="仿宋_GB2312"/>
          <w:b w:val="0"/>
          <w:sz w:val="32"/>
          <w:lang w:val="en-US" w:eastAsia="zh-CN"/>
        </w:rPr>
        <w:t>本</w:t>
      </w:r>
      <w:bookmarkStart w:id="0" w:name="_GoBack"/>
      <w:bookmarkEnd w:id="0"/>
      <w:r>
        <w:rPr>
          <w:rFonts w:ascii="仿宋_GB2312" w:hAnsi="仿宋_GB2312" w:eastAsia="仿宋_GB2312"/>
          <w:b w:val="0"/>
          <w:sz w:val="32"/>
        </w:rPr>
        <w:t>年功能科目调整，机关事业单位职业年金缴费上年度在主科目列支，本年单独列支，导致经费较上年增加。</w:t>
      </w:r>
    </w:p>
    <w:p w14:paraId="00EBFEA9">
      <w:pPr>
        <w:spacing w:line="580" w:lineRule="exact"/>
        <w:ind w:firstLine="640"/>
        <w:jc w:val="both"/>
      </w:pPr>
      <w:r>
        <w:rPr>
          <w:rFonts w:ascii="仿宋_GB2312" w:hAnsi="仿宋_GB2312" w:eastAsia="仿宋_GB2312"/>
          <w:b w:val="0"/>
          <w:sz w:val="32"/>
        </w:rPr>
        <w:t>5.住房保障支出(类)住房改革支出(款)住房公积金(项):支出决算数为4.26万元，比上年决算增加1.19万元，增长38.76%,主要原因是：本年在职人员增加，住房公积金支出较上年增加。</w:t>
      </w:r>
    </w:p>
    <w:p w14:paraId="6A97C6E4">
      <w:pPr>
        <w:spacing w:line="640" w:lineRule="exact"/>
        <w:ind w:firstLine="640"/>
        <w:jc w:val="both"/>
        <w:outlineLvl w:val="2"/>
      </w:pPr>
      <w:r>
        <w:rPr>
          <w:rFonts w:ascii="黑体" w:hAnsi="黑体" w:eastAsia="黑体"/>
          <w:sz w:val="32"/>
        </w:rPr>
        <w:t>六、一般公共预算财政拨款基本支出决算情况说明</w:t>
      </w:r>
    </w:p>
    <w:p w14:paraId="647AA6C0">
      <w:pPr>
        <w:spacing w:line="580" w:lineRule="exact"/>
        <w:ind w:firstLine="640"/>
        <w:jc w:val="both"/>
      </w:pPr>
      <w:r>
        <w:rPr>
          <w:rFonts w:ascii="仿宋_GB2312" w:hAnsi="仿宋_GB2312" w:eastAsia="仿宋_GB2312"/>
          <w:b w:val="0"/>
          <w:sz w:val="32"/>
        </w:rPr>
        <w:t>2024年度一般公共预算财政拨款基本支出52.20万元，其中：</w:t>
      </w:r>
      <w:r>
        <w:rPr>
          <w:rFonts w:ascii="仿宋_GB2312" w:hAnsi="仿宋_GB2312" w:eastAsia="仿宋_GB2312"/>
          <w:b/>
          <w:sz w:val="32"/>
        </w:rPr>
        <w:t>人员经费49.95万元，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w:t>
      </w:r>
    </w:p>
    <w:p w14:paraId="7610615D">
      <w:pPr>
        <w:spacing w:line="580" w:lineRule="exact"/>
        <w:ind w:firstLine="640"/>
        <w:jc w:val="both"/>
      </w:pPr>
      <w:r>
        <w:rPr>
          <w:rFonts w:ascii="仿宋_GB2312" w:hAnsi="仿宋_GB2312" w:eastAsia="仿宋_GB2312"/>
          <w:b/>
          <w:sz w:val="32"/>
        </w:rPr>
        <w:t>公用经费2.24万元，</w:t>
      </w:r>
      <w:r>
        <w:rPr>
          <w:rFonts w:ascii="仿宋_GB2312" w:hAnsi="仿宋_GB2312" w:eastAsia="仿宋_GB2312"/>
          <w:b w:val="0"/>
          <w:sz w:val="32"/>
        </w:rPr>
        <w:t>包括：办公费、邮电费、工会经费、税金及附加费用。</w:t>
      </w:r>
    </w:p>
    <w:p w14:paraId="40B0CDA3">
      <w:pPr>
        <w:spacing w:line="640" w:lineRule="exact"/>
        <w:ind w:firstLine="640"/>
        <w:jc w:val="both"/>
        <w:outlineLvl w:val="2"/>
      </w:pPr>
      <w:r>
        <w:rPr>
          <w:rFonts w:ascii="黑体" w:hAnsi="黑体" w:eastAsia="黑体"/>
          <w:sz w:val="32"/>
        </w:rPr>
        <w:t>七、政府性基金预算财政拨款收入支出决算情况说明</w:t>
      </w:r>
    </w:p>
    <w:p w14:paraId="20424DE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5948BF5">
      <w:pPr>
        <w:spacing w:line="640" w:lineRule="exact"/>
        <w:ind w:firstLine="640"/>
        <w:jc w:val="both"/>
        <w:outlineLvl w:val="2"/>
      </w:pPr>
      <w:r>
        <w:rPr>
          <w:rFonts w:ascii="黑体" w:hAnsi="黑体" w:eastAsia="黑体"/>
          <w:sz w:val="32"/>
        </w:rPr>
        <w:t>八、国有资本经营预算财政拨款收入支出决算情况说明</w:t>
      </w:r>
    </w:p>
    <w:p w14:paraId="7149E50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F93F4B">
      <w:pPr>
        <w:spacing w:line="640" w:lineRule="exact"/>
        <w:ind w:firstLine="640"/>
        <w:jc w:val="both"/>
        <w:outlineLvl w:val="2"/>
      </w:pPr>
      <w:r>
        <w:rPr>
          <w:rFonts w:ascii="黑体" w:hAnsi="黑体" w:eastAsia="黑体"/>
          <w:sz w:val="32"/>
        </w:rPr>
        <w:t>九、财政拨款“三公”经费支出决算情况说明</w:t>
      </w:r>
    </w:p>
    <w:p w14:paraId="201AF33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DF90489">
      <w:pPr>
        <w:spacing w:line="580" w:lineRule="exact"/>
        <w:ind w:firstLine="640"/>
        <w:jc w:val="both"/>
      </w:pPr>
      <w:r>
        <w:rPr>
          <w:rFonts w:ascii="仿宋_GB2312" w:hAnsi="仿宋_GB2312" w:eastAsia="仿宋_GB2312"/>
          <w:b/>
          <w:sz w:val="32"/>
        </w:rPr>
        <w:t>具体情况如下：</w:t>
      </w:r>
    </w:p>
    <w:p w14:paraId="6969C22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4A9BA7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9AB56A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54AB52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D000382">
      <w:pPr>
        <w:spacing w:line="640" w:lineRule="exact"/>
        <w:ind w:firstLine="640"/>
        <w:jc w:val="both"/>
        <w:outlineLvl w:val="2"/>
      </w:pPr>
      <w:r>
        <w:rPr>
          <w:rFonts w:ascii="黑体" w:hAnsi="黑体" w:eastAsia="黑体"/>
          <w:sz w:val="32"/>
        </w:rPr>
        <w:t>十、其他重要事项的情况说明</w:t>
      </w:r>
    </w:p>
    <w:p w14:paraId="3ED9AC00">
      <w:pPr>
        <w:spacing w:line="640" w:lineRule="exact"/>
        <w:ind w:firstLine="640"/>
        <w:jc w:val="both"/>
        <w:outlineLvl w:val="3"/>
      </w:pPr>
      <w:r>
        <w:rPr>
          <w:rFonts w:ascii="楷体_GB2312" w:hAnsi="楷体_GB2312" w:eastAsia="楷体_GB2312"/>
          <w:b/>
          <w:sz w:val="32"/>
        </w:rPr>
        <w:t>（一）机关运行经费及公用经费支出情况</w:t>
      </w:r>
    </w:p>
    <w:p w14:paraId="3E86656C">
      <w:pPr>
        <w:spacing w:line="580" w:lineRule="exact"/>
        <w:ind w:firstLine="640"/>
        <w:jc w:val="both"/>
      </w:pPr>
      <w:r>
        <w:rPr>
          <w:rFonts w:ascii="仿宋_GB2312" w:hAnsi="仿宋_GB2312" w:eastAsia="仿宋_GB2312"/>
          <w:b w:val="0"/>
          <w:sz w:val="32"/>
        </w:rPr>
        <w:t>2024年度霍尔果斯市总工会（行政单位和参照公务员法管理事业单位）机关运行经费支出2.24万元，比上年增加0.32万元，增长16.67%，主要原因是：本年更新办公用品，导致机关运行经费较上年增加。</w:t>
      </w:r>
    </w:p>
    <w:p w14:paraId="4AF62D79">
      <w:pPr>
        <w:spacing w:line="640" w:lineRule="exact"/>
        <w:ind w:firstLine="640"/>
        <w:jc w:val="both"/>
        <w:outlineLvl w:val="3"/>
      </w:pPr>
      <w:r>
        <w:rPr>
          <w:rFonts w:ascii="楷体_GB2312" w:hAnsi="楷体_GB2312" w:eastAsia="楷体_GB2312"/>
          <w:b/>
          <w:sz w:val="32"/>
        </w:rPr>
        <w:t>（二）政府采购情况</w:t>
      </w:r>
    </w:p>
    <w:p w14:paraId="5242AC1A">
      <w:pPr>
        <w:spacing w:line="580" w:lineRule="exact"/>
        <w:ind w:firstLine="640"/>
        <w:jc w:val="both"/>
      </w:pPr>
      <w:r>
        <w:rPr>
          <w:rFonts w:ascii="仿宋_GB2312" w:hAnsi="仿宋_GB2312" w:eastAsia="仿宋_GB2312"/>
          <w:b w:val="0"/>
          <w:sz w:val="32"/>
        </w:rPr>
        <w:t>2024年度政府采购支出总额161.38万元，其中：政府采购货物支出92.88万元、政府采购工程支出25.02万元、政府采购服务支出43.49万元。</w:t>
      </w:r>
    </w:p>
    <w:p w14:paraId="6AC2BF15">
      <w:pPr>
        <w:spacing w:line="580" w:lineRule="exact"/>
        <w:ind w:firstLine="640"/>
        <w:jc w:val="both"/>
      </w:pPr>
      <w:r>
        <w:rPr>
          <w:rFonts w:ascii="仿宋_GB2312" w:hAnsi="仿宋_GB2312" w:eastAsia="仿宋_GB2312"/>
          <w:b w:val="0"/>
          <w:sz w:val="32"/>
        </w:rPr>
        <w:t>授予中小企业合同金额160.83万元，占政府采购支出总额的99.66%，其中：授予小微企业合同金额156.45万元，占政府采购支出总额的96.95%。</w:t>
      </w:r>
    </w:p>
    <w:p w14:paraId="375E8C94">
      <w:pPr>
        <w:spacing w:line="640" w:lineRule="exact"/>
        <w:ind w:firstLine="640"/>
        <w:jc w:val="both"/>
        <w:outlineLvl w:val="3"/>
      </w:pPr>
      <w:r>
        <w:rPr>
          <w:rFonts w:ascii="楷体_GB2312" w:hAnsi="楷体_GB2312" w:eastAsia="楷体_GB2312"/>
          <w:b/>
          <w:sz w:val="32"/>
        </w:rPr>
        <w:t>（三）国有资产占用情况说明</w:t>
      </w:r>
    </w:p>
    <w:p w14:paraId="6F6308D9">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BBBBCED">
      <w:pPr>
        <w:spacing w:line="640" w:lineRule="exact"/>
        <w:ind w:firstLine="640"/>
        <w:jc w:val="both"/>
        <w:outlineLvl w:val="2"/>
      </w:pPr>
      <w:r>
        <w:rPr>
          <w:rFonts w:ascii="黑体" w:hAnsi="黑体" w:eastAsia="黑体"/>
          <w:sz w:val="32"/>
        </w:rPr>
        <w:t>十一、预算绩效的情况说明</w:t>
      </w:r>
    </w:p>
    <w:p w14:paraId="31D281C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52.69万元，实际执行总额52.19万元；预算绩效评价项目1个，全年预算数275.23万元，全年执行数189.57万元。预算绩效管理取得的成效：霍尔果斯市总工会在市委的坚强领导和伊犁州总工会的大力支持下，把</w:t>
      </w:r>
      <w:r>
        <w:rPr>
          <w:rFonts w:hint="eastAsia" w:ascii="仿宋_GB2312" w:hAnsi="仿宋_GB2312" w:eastAsia="仿宋_GB2312"/>
          <w:b w:val="0"/>
          <w:sz w:val="32"/>
          <w:lang w:eastAsia="zh-CN"/>
        </w:rPr>
        <w:t>学习贯彻党的二十大精神</w:t>
      </w:r>
      <w:r>
        <w:rPr>
          <w:rFonts w:ascii="仿宋_GB2312" w:hAnsi="仿宋_GB2312" w:eastAsia="仿宋_GB2312"/>
          <w:b w:val="0"/>
          <w:sz w:val="32"/>
        </w:rPr>
        <w:t>同学习习近平总书记关于工人阶级和工会工作的重要论述结合起来，与主题教育结合起来，聚焦思想政治引领、产业工人队伍建设改革、维护劳动领域政治安全、加强基层工会组织建设等重点工作，积极推优选优，推荐获得自治区级荣誉，开展“四送”慰问活动，切实提升全市职工凝聚力。发现的问题及原因：一是在编制绩效项目支出绩效工作过程中，预算编制工作有待细化，预算编制不够明确和细化，整体绩效预算编制的合理性需要提高，预算执行力度还要进一步加强；二是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缺乏科学、统一、完整的财政绩效评价指标体系，并且绩效管理缺乏约束和制度保障。下一步改进措施：一是日常增强成本控制意识，做好绩效目标设置工作；二是项目实施前制定各岗位</w:t>
      </w:r>
      <w:r>
        <w:rPr>
          <w:rFonts w:hint="eastAsia" w:ascii="仿宋_GB2312" w:hAnsi="仿宋_GB2312" w:eastAsia="仿宋_GB2312"/>
          <w:b w:val="0"/>
          <w:sz w:val="32"/>
          <w:lang w:eastAsia="zh-CN"/>
        </w:rPr>
        <w:t>职责</w:t>
      </w:r>
      <w:r>
        <w:rPr>
          <w:rFonts w:ascii="仿宋_GB2312" w:hAnsi="仿宋_GB2312" w:eastAsia="仿宋_GB2312"/>
          <w:b w:val="0"/>
          <w:sz w:val="32"/>
        </w:rPr>
        <w:t>责任，明确分工；三是定期召开项目专题研讨会议；四是建立完善制度，按相关制度执行；五是严格按照预算管理规定开支，专款专用。具体附整体支出绩效自评表，项目支出绩效自评表和评价报告。</w:t>
      </w:r>
    </w:p>
    <w:p w14:paraId="68B9A45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B37F2E8">
        <w:tblPrEx>
          <w:tblCellMar>
            <w:top w:w="0" w:type="dxa"/>
            <w:left w:w="108" w:type="dxa"/>
            <w:bottom w:w="0" w:type="dxa"/>
            <w:right w:w="108" w:type="dxa"/>
          </w:tblCellMar>
        </w:tblPrEx>
        <w:tc>
          <w:tcPr>
            <w:tcW w:w="8840" w:type="dxa"/>
            <w:gridSpan w:val="8"/>
            <w:vAlign w:val="center"/>
          </w:tcPr>
          <w:p w14:paraId="28509435">
            <w:pPr>
              <w:jc w:val="center"/>
            </w:pPr>
            <w:r>
              <w:rPr>
                <w:rFonts w:ascii="宋体" w:hAnsi="宋体" w:eastAsia="宋体"/>
                <w:sz w:val="24"/>
              </w:rPr>
              <w:t>单位整体支出绩效自评表</w:t>
            </w:r>
          </w:p>
        </w:tc>
      </w:tr>
      <w:tr w14:paraId="45F8BAA1">
        <w:tblPrEx>
          <w:tblCellMar>
            <w:top w:w="0" w:type="dxa"/>
            <w:left w:w="108" w:type="dxa"/>
            <w:bottom w:w="0" w:type="dxa"/>
            <w:right w:w="108" w:type="dxa"/>
          </w:tblCellMar>
        </w:tblPrEx>
        <w:tc>
          <w:tcPr>
            <w:tcW w:w="8840" w:type="dxa"/>
            <w:gridSpan w:val="8"/>
            <w:vAlign w:val="center"/>
          </w:tcPr>
          <w:p w14:paraId="681A1199">
            <w:pPr>
              <w:jc w:val="center"/>
            </w:pPr>
            <w:r>
              <w:rPr>
                <w:rFonts w:ascii="宋体" w:hAnsi="宋体" w:eastAsia="宋体"/>
                <w:sz w:val="24"/>
              </w:rPr>
              <w:t>（2024年度）</w:t>
            </w:r>
          </w:p>
        </w:tc>
      </w:tr>
      <w:tr w14:paraId="2201D08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9491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D35600">
            <w:pPr>
              <w:jc w:val="center"/>
            </w:pPr>
            <w:r>
              <w:rPr>
                <w:rFonts w:ascii="宋体" w:hAnsi="宋体" w:eastAsia="宋体"/>
                <w:sz w:val="16"/>
              </w:rPr>
              <w:t>霍尔果斯市总工会</w:t>
            </w:r>
          </w:p>
        </w:tc>
      </w:tr>
      <w:tr w14:paraId="79A7A1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1194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CC30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019C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C1F6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64D6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5155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7BDC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16843">
            <w:pPr>
              <w:jc w:val="center"/>
            </w:pPr>
            <w:r>
              <w:rPr>
                <w:rFonts w:ascii="宋体" w:hAnsi="宋体" w:eastAsia="宋体"/>
                <w:sz w:val="16"/>
              </w:rPr>
              <w:t>得分</w:t>
            </w:r>
          </w:p>
        </w:tc>
      </w:tr>
      <w:tr w14:paraId="6EA0F4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80D4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22AA6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A38BF">
            <w:pPr>
              <w:jc w:val="center"/>
            </w:pPr>
            <w:r>
              <w:rPr>
                <w:rFonts w:ascii="宋体" w:hAnsi="宋体" w:eastAsia="宋体"/>
                <w:sz w:val="16"/>
              </w:rPr>
              <w:t>331.71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284AF">
            <w:pPr>
              <w:jc w:val="center"/>
            </w:pPr>
            <w:r>
              <w:rPr>
                <w:rFonts w:ascii="宋体" w:hAnsi="宋体" w:eastAsia="宋体"/>
                <w:sz w:val="16"/>
              </w:rPr>
              <w:t>52.69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F03B8">
            <w:pPr>
              <w:jc w:val="center"/>
            </w:pPr>
            <w:r>
              <w:rPr>
                <w:rFonts w:ascii="宋体" w:hAnsi="宋体" w:eastAsia="宋体"/>
                <w:sz w:val="16"/>
              </w:rPr>
              <w:t>52.19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FB94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67196">
            <w:pPr>
              <w:jc w:val="center"/>
            </w:pPr>
            <w:r>
              <w:rPr>
                <w:rFonts w:ascii="宋体" w:hAnsi="宋体" w:eastAsia="宋体"/>
                <w:sz w:val="16"/>
              </w:rPr>
              <w:t>99.05%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B8318">
            <w:pPr>
              <w:jc w:val="center"/>
            </w:pPr>
            <w:r>
              <w:rPr>
                <w:rFonts w:ascii="宋体" w:hAnsi="宋体" w:eastAsia="宋体"/>
                <w:sz w:val="16"/>
              </w:rPr>
              <w:t>9.9</w:t>
            </w:r>
          </w:p>
        </w:tc>
      </w:tr>
      <w:tr w14:paraId="3A293E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E8147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1750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1BE5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D253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61B97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2836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560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8AC9F">
            <w:pPr>
              <w:jc w:val="center"/>
            </w:pPr>
            <w:r>
              <w:rPr>
                <w:rFonts w:ascii="宋体" w:hAnsi="宋体" w:eastAsia="宋体"/>
                <w:sz w:val="16"/>
              </w:rPr>
              <w:t>-</w:t>
            </w:r>
          </w:p>
        </w:tc>
      </w:tr>
      <w:tr w14:paraId="218538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E9BE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0B94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CAD32">
            <w:pPr>
              <w:jc w:val="center"/>
            </w:pPr>
            <w:r>
              <w:rPr>
                <w:rFonts w:ascii="宋体" w:hAnsi="宋体" w:eastAsia="宋体"/>
                <w:sz w:val="16"/>
              </w:rPr>
              <w:t>56.48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47DD6">
            <w:pPr>
              <w:jc w:val="center"/>
            </w:pPr>
            <w:r>
              <w:rPr>
                <w:rFonts w:ascii="宋体" w:hAnsi="宋体" w:eastAsia="宋体"/>
                <w:sz w:val="16"/>
              </w:rPr>
              <w:t>52.69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B9729">
            <w:pPr>
              <w:jc w:val="center"/>
            </w:pPr>
            <w:r>
              <w:rPr>
                <w:rFonts w:ascii="宋体" w:hAnsi="宋体" w:eastAsia="宋体"/>
                <w:sz w:val="16"/>
              </w:rPr>
              <w:t>52.19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0707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34B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9CB7A">
            <w:pPr>
              <w:jc w:val="center"/>
            </w:pPr>
            <w:r>
              <w:rPr>
                <w:rFonts w:ascii="宋体" w:hAnsi="宋体" w:eastAsia="宋体"/>
                <w:sz w:val="16"/>
              </w:rPr>
              <w:t>-</w:t>
            </w:r>
          </w:p>
        </w:tc>
      </w:tr>
      <w:tr w14:paraId="05CD80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C5B2D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3147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97674">
            <w:pPr>
              <w:jc w:val="center"/>
            </w:pPr>
            <w:r>
              <w:rPr>
                <w:rFonts w:ascii="宋体" w:hAnsi="宋体" w:eastAsia="宋体"/>
                <w:sz w:val="16"/>
              </w:rPr>
              <w:t>275.23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8475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0EFC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B6C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CB48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9022DD">
            <w:pPr>
              <w:jc w:val="center"/>
            </w:pPr>
            <w:r>
              <w:rPr>
                <w:rFonts w:ascii="宋体" w:hAnsi="宋体" w:eastAsia="宋体"/>
                <w:sz w:val="16"/>
              </w:rPr>
              <w:t>-</w:t>
            </w:r>
          </w:p>
        </w:tc>
      </w:tr>
      <w:tr w14:paraId="68CB1E1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1906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7F84C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87B14D">
            <w:pPr>
              <w:jc w:val="center"/>
            </w:pPr>
            <w:r>
              <w:rPr>
                <w:rFonts w:ascii="宋体" w:hAnsi="宋体" w:eastAsia="宋体"/>
                <w:sz w:val="16"/>
              </w:rPr>
              <w:t>实际完成情况</w:t>
            </w:r>
          </w:p>
        </w:tc>
      </w:tr>
      <w:tr w14:paraId="19E684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621AE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CDD682">
            <w:pPr>
              <w:jc w:val="both"/>
            </w:pPr>
            <w:r>
              <w:rPr>
                <w:rFonts w:ascii="宋体" w:hAnsi="宋体" w:eastAsia="宋体"/>
                <w:sz w:val="16"/>
              </w:rPr>
              <w:t>市总工会将全面学习贯彻习近平新时代中国特色社会主义思想，深入贯彻习近平总书记关于工人阶级和工会工作的重要论述；认真落实中国工会十八大精神，切实维护职工合法权益、竭诚服务职工群众；团结动员全市各族职工群众为促进霍尔果斯高质量发展贡献工会力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870068">
            <w:pPr>
              <w:jc w:val="both"/>
            </w:pPr>
            <w:r>
              <w:rPr>
                <w:rFonts w:ascii="宋体" w:hAnsi="宋体" w:eastAsia="宋体"/>
                <w:sz w:val="16"/>
              </w:rPr>
              <w:t>霍尔果斯市总工会在市委的坚强领导和伊犁州总工会的大力支持下，把</w:t>
            </w:r>
            <w:r>
              <w:rPr>
                <w:rFonts w:hint="eastAsia" w:ascii="宋体" w:hAnsi="宋体"/>
                <w:sz w:val="16"/>
                <w:lang w:eastAsia="zh-CN"/>
              </w:rPr>
              <w:t>学习贯彻党的二十大精神</w:t>
            </w:r>
            <w:r>
              <w:rPr>
                <w:rFonts w:ascii="宋体" w:hAnsi="宋体" w:eastAsia="宋体"/>
                <w:sz w:val="16"/>
              </w:rPr>
              <w:t>同学习习近平总书记关于工人阶级和工会工作的重要论述结合起来，与主题教育结合起来，聚焦思想政治引领、产业工人队伍建设改革、维护劳动领域政治安全、加强基层工会组织建设等重点工作。积极推优选优，推荐获得自治区级荣誉。开展“四送”慰问活动，切实提升全市职工凝聚力</w:t>
            </w:r>
          </w:p>
        </w:tc>
      </w:tr>
      <w:tr w14:paraId="0B44A2A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FED2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8C06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ACE1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62AD4">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AAF3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85F5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72868">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71D47">
            <w:pPr>
              <w:jc w:val="center"/>
            </w:pPr>
            <w:r>
              <w:rPr>
                <w:rFonts w:ascii="宋体" w:hAnsi="宋体" w:eastAsia="宋体"/>
                <w:sz w:val="16"/>
              </w:rPr>
              <w:t>得分</w:t>
            </w:r>
          </w:p>
        </w:tc>
      </w:tr>
      <w:tr w14:paraId="66A3845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7D33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A498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2225E">
            <w:pPr>
              <w:jc w:val="center"/>
            </w:pPr>
            <w:r>
              <w:rPr>
                <w:rFonts w:ascii="宋体" w:hAnsi="宋体" w:eastAsia="宋体"/>
                <w:sz w:val="16"/>
              </w:rPr>
              <w:t>新建基层工会数量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564FE">
            <w:pPr>
              <w:jc w:val="center"/>
            </w:pPr>
            <w:r>
              <w:rPr>
                <w:rFonts w:ascii="宋体" w:hAnsi="宋体" w:eastAsia="宋体"/>
                <w:sz w:val="16"/>
              </w:rPr>
              <w:t>&gt;=20家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35AE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4CA1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F9E7B5">
            <w:pPr>
              <w:jc w:val="center"/>
            </w:pPr>
            <w:r>
              <w:rPr>
                <w:rFonts w:ascii="宋体" w:hAnsi="宋体" w:eastAsia="宋体"/>
                <w:sz w:val="16"/>
              </w:rPr>
              <w:t>23家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E853F">
            <w:pPr>
              <w:jc w:val="center"/>
            </w:pPr>
            <w:r>
              <w:rPr>
                <w:rFonts w:ascii="宋体" w:hAnsi="宋体" w:eastAsia="宋体"/>
                <w:sz w:val="16"/>
              </w:rPr>
              <w:t>15</w:t>
            </w:r>
          </w:p>
        </w:tc>
      </w:tr>
      <w:tr w14:paraId="4C76B7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ECC3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F522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70C09">
            <w:pPr>
              <w:jc w:val="center"/>
            </w:pPr>
            <w:r>
              <w:rPr>
                <w:rFonts w:ascii="宋体" w:hAnsi="宋体" w:eastAsia="宋体"/>
                <w:sz w:val="16"/>
              </w:rPr>
              <w:t>开展“四送”慰问活动次数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29D8D">
            <w:pPr>
              <w:jc w:val="center"/>
            </w:pPr>
            <w:r>
              <w:rPr>
                <w:rFonts w:ascii="宋体" w:hAnsi="宋体" w:eastAsia="宋体"/>
                <w:sz w:val="16"/>
              </w:rPr>
              <w:t>&gt;=15次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0BA5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6564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11B76">
            <w:pPr>
              <w:jc w:val="center"/>
            </w:pPr>
            <w:r>
              <w:rPr>
                <w:rFonts w:ascii="宋体" w:hAnsi="宋体" w:eastAsia="宋体"/>
                <w:sz w:val="16"/>
              </w:rPr>
              <w:t>9次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E704F">
            <w:pPr>
              <w:jc w:val="center"/>
            </w:pPr>
            <w:r>
              <w:rPr>
                <w:rFonts w:ascii="宋体" w:hAnsi="宋体" w:eastAsia="宋体"/>
                <w:sz w:val="16"/>
              </w:rPr>
              <w:t>15</w:t>
            </w:r>
          </w:p>
        </w:tc>
      </w:tr>
      <w:tr w14:paraId="5BA4D4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68EBB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42B2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0242C">
            <w:pPr>
              <w:jc w:val="center"/>
            </w:pPr>
            <w:r>
              <w:rPr>
                <w:rFonts w:ascii="宋体" w:hAnsi="宋体" w:eastAsia="宋体"/>
                <w:sz w:val="16"/>
              </w:rPr>
              <w:t>开展劳动和技能大赛活动场次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340A1">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013A3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2D4F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4C5DB">
            <w:pPr>
              <w:jc w:val="center"/>
            </w:pPr>
            <w:r>
              <w:rPr>
                <w:rFonts w:ascii="宋体" w:hAnsi="宋体" w:eastAsia="宋体"/>
                <w:sz w:val="16"/>
              </w:rPr>
              <w:t>26次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28506">
            <w:pPr>
              <w:jc w:val="center"/>
            </w:pPr>
            <w:r>
              <w:rPr>
                <w:rFonts w:ascii="宋体" w:hAnsi="宋体" w:eastAsia="宋体"/>
                <w:sz w:val="16"/>
              </w:rPr>
              <w:t>15</w:t>
            </w:r>
          </w:p>
        </w:tc>
      </w:tr>
      <w:tr w14:paraId="578BD5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15FA9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DE61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C92D8">
            <w:pPr>
              <w:jc w:val="center"/>
            </w:pPr>
            <w:r>
              <w:rPr>
                <w:rFonts w:ascii="宋体" w:hAnsi="宋体" w:eastAsia="宋体"/>
                <w:sz w:val="16"/>
              </w:rPr>
              <w:t>开展</w:t>
            </w:r>
            <w:r>
              <w:rPr>
                <w:rFonts w:hint="eastAsia" w:ascii="宋体" w:hAnsi="宋体"/>
                <w:sz w:val="16"/>
                <w:lang w:eastAsia="zh-CN"/>
              </w:rPr>
              <w:t>党的二十大</w:t>
            </w:r>
            <w:r>
              <w:rPr>
                <w:rFonts w:ascii="宋体" w:hAnsi="宋体" w:eastAsia="宋体"/>
                <w:sz w:val="16"/>
              </w:rPr>
              <w:t>宣讲次数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7428D">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23B7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438E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B6C45">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77E0D">
            <w:pPr>
              <w:jc w:val="center"/>
            </w:pPr>
            <w:r>
              <w:rPr>
                <w:rFonts w:ascii="宋体" w:hAnsi="宋体" w:eastAsia="宋体"/>
                <w:sz w:val="16"/>
              </w:rPr>
              <w:t>15</w:t>
            </w:r>
          </w:p>
        </w:tc>
      </w:tr>
      <w:tr w14:paraId="557ACC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EA3AA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D7E8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7635D">
            <w:pPr>
              <w:jc w:val="center"/>
            </w:pPr>
            <w:r>
              <w:rPr>
                <w:rFonts w:ascii="宋体" w:hAnsi="宋体" w:eastAsia="宋体"/>
                <w:sz w:val="16"/>
              </w:rPr>
              <w:t>建设基层工会职工服务阵地数量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95DB3">
            <w:pPr>
              <w:jc w:val="center"/>
            </w:pPr>
            <w:r>
              <w:rPr>
                <w:rFonts w:ascii="宋体" w:hAnsi="宋体" w:eastAsia="宋体"/>
                <w:sz w:val="16"/>
              </w:rPr>
              <w:t>&gt;=5家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29C9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CF46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84E6A">
            <w:pPr>
              <w:jc w:val="center"/>
            </w:pPr>
            <w:r>
              <w:rPr>
                <w:rFonts w:ascii="宋体" w:hAnsi="宋体" w:eastAsia="宋体"/>
                <w:sz w:val="16"/>
              </w:rPr>
              <w:t>9家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EBD52">
            <w:pPr>
              <w:jc w:val="center"/>
            </w:pPr>
            <w:r>
              <w:rPr>
                <w:rFonts w:ascii="宋体" w:hAnsi="宋体" w:eastAsia="宋体"/>
                <w:sz w:val="16"/>
              </w:rPr>
              <w:t>15</w:t>
            </w:r>
          </w:p>
        </w:tc>
      </w:tr>
      <w:tr w14:paraId="64F342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46375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DD978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3141A">
            <w:pPr>
              <w:jc w:val="center"/>
            </w:pPr>
            <w:r>
              <w:rPr>
                <w:rFonts w:ascii="宋体" w:hAnsi="宋体" w:eastAsia="宋体"/>
                <w:sz w:val="16"/>
              </w:rPr>
              <w:t>职工开展五小创新活动项目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0FFB5">
            <w:pPr>
              <w:jc w:val="center"/>
            </w:pPr>
            <w:r>
              <w:rPr>
                <w:rFonts w:ascii="宋体" w:hAnsi="宋体" w:eastAsia="宋体"/>
                <w:sz w:val="16"/>
              </w:rPr>
              <w:t>&gt;=100项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24CD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4CEE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BD02A">
            <w:pPr>
              <w:jc w:val="center"/>
            </w:pPr>
            <w:r>
              <w:rPr>
                <w:rFonts w:ascii="宋体" w:hAnsi="宋体" w:eastAsia="宋体"/>
                <w:sz w:val="16"/>
              </w:rPr>
              <w:t>119项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AA46B">
            <w:pPr>
              <w:jc w:val="center"/>
            </w:pPr>
            <w:r>
              <w:rPr>
                <w:rFonts w:ascii="宋体" w:hAnsi="宋体" w:eastAsia="宋体"/>
                <w:sz w:val="16"/>
              </w:rPr>
              <w:t>15</w:t>
            </w:r>
          </w:p>
        </w:tc>
      </w:tr>
    </w:tbl>
    <w:p w14:paraId="7B3C86B9">
      <w:r>
        <w:br w:type="page"/>
      </w:r>
    </w:p>
    <w:tbl>
      <w:tblPr>
        <w:tblStyle w:val="9"/>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6"/>
        <w:gridCol w:w="495"/>
        <w:gridCol w:w="549"/>
        <w:gridCol w:w="620"/>
        <w:gridCol w:w="844"/>
        <w:gridCol w:w="1040"/>
        <w:gridCol w:w="848"/>
        <w:gridCol w:w="764"/>
        <w:gridCol w:w="684"/>
        <w:gridCol w:w="445"/>
        <w:gridCol w:w="438"/>
        <w:gridCol w:w="453"/>
        <w:gridCol w:w="423"/>
        <w:gridCol w:w="913"/>
      </w:tblGrid>
      <w:tr w14:paraId="3EA9D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gridSpan w:val="14"/>
            <w:tcBorders>
              <w:top w:val="nil"/>
              <w:left w:val="nil"/>
              <w:bottom w:val="nil"/>
              <w:right w:val="nil"/>
            </w:tcBorders>
            <w:shd w:val="clear" w:color="auto" w:fill="auto"/>
            <w:vAlign w:val="center"/>
          </w:tcPr>
          <w:p w14:paraId="381F51A5">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772D5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B9DB0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04E3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B3F5C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2684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工会2024年实有资金收入</w:t>
            </w:r>
          </w:p>
        </w:tc>
      </w:tr>
      <w:tr w14:paraId="4E189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87688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8EA7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霍尔果斯市总工会</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AEF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14B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霍尔果斯市总工会</w:t>
            </w:r>
          </w:p>
        </w:tc>
      </w:tr>
      <w:tr w14:paraId="4DB9E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693B8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AE01B">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561FD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6DF6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D58FB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D57E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72DD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61F0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24F9E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F95AE">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B22B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A79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275.23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88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275.23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56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189.57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546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947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C50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r>
      <w:tr w14:paraId="3EF79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6C8C1">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01369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ECA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9F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AEB19">
            <w:pPr>
              <w:jc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A9D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3DE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678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BD5C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915FC">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8B4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AB8D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275.23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F700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275.23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F37EF">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189.57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E5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A3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841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839B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A760F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B9256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F1589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788E7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0469B">
            <w:pPr>
              <w:jc w:val="center"/>
              <w:rPr>
                <w:rFonts w:hint="eastAsia" w:ascii="宋体" w:hAnsi="宋体" w:eastAsia="宋体" w:cs="宋体"/>
                <w:b/>
                <w:bCs/>
                <w:i w:val="0"/>
                <w:iCs w:val="0"/>
                <w:color w:val="000000"/>
                <w:sz w:val="18"/>
                <w:szCs w:val="18"/>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F97A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着力维护职工群众劳动经济权益。完善职工工资决定、合理增长、支付保障机制，健全技术工人薪酬激励机制，促进企业内部分配进一步向一线职工、技术工人倾斜，助力实现共同富裕。大力开展服务帮扶。积极推进职工服务阵地建设，建好用好工人文化宫、职工书屋、职工之家、服务中心等服务阵地。积极开展“十送”活动，帮助职工，温暖职工。</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38CC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2024年市总工会发挥工人文化宫作用，组织职工开展各类文体活动12场次，打造阵地7个，办公采购次数次，完善职工工资决定、合理增长、支付保障机制，健全技术工人薪酬激励机制，促进企业内部分配进一步向一线职工、技术工人倾斜，助力实现共同富裕</w:t>
            </w:r>
          </w:p>
        </w:tc>
      </w:tr>
      <w:tr w14:paraId="21E3D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00BB88">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D5F94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2A18E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9B20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2DFC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B61E2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B21C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7279E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979D1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729F9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D5C70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6067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C5E9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4DDAA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264D0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C721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180CB">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10A23">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4D768">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0E54E">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8977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6FFA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05C8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17A8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4198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4E8A4">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ACB4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E23E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73D85">
            <w:pPr>
              <w:jc w:val="center"/>
              <w:rPr>
                <w:rFonts w:hint="eastAsia" w:ascii="宋体" w:hAnsi="宋体" w:eastAsia="宋体" w:cs="宋体"/>
                <w:b/>
                <w:bCs/>
                <w:i w:val="0"/>
                <w:iCs w:val="0"/>
                <w:color w:val="000000"/>
                <w:sz w:val="18"/>
                <w:szCs w:val="18"/>
                <w:u w:val="none"/>
              </w:rPr>
            </w:pPr>
          </w:p>
        </w:tc>
      </w:tr>
      <w:tr w14:paraId="63168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A8606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9E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41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D7E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开展活动次数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C67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1A91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3C2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E66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C07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900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E18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EAF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D13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09449B">
            <w:pPr>
              <w:jc w:val="center"/>
              <w:rPr>
                <w:rFonts w:hint="eastAsia" w:ascii="宋体" w:hAnsi="宋体" w:eastAsia="宋体" w:cs="宋体"/>
                <w:i w:val="0"/>
                <w:iCs w:val="0"/>
                <w:color w:val="000000"/>
                <w:sz w:val="18"/>
                <w:szCs w:val="18"/>
                <w:u w:val="none"/>
              </w:rPr>
            </w:pPr>
          </w:p>
        </w:tc>
      </w:tr>
      <w:tr w14:paraId="739EF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B6FD8">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D821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DB3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8E1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打造阵地个数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CBD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AF8D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&gt;=7个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06C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FA1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A05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9EC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DDF8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2F0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5DA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F7ABE6">
            <w:pPr>
              <w:jc w:val="center"/>
              <w:rPr>
                <w:rFonts w:hint="eastAsia" w:ascii="宋体" w:hAnsi="宋体" w:eastAsia="宋体" w:cs="宋体"/>
                <w:i w:val="0"/>
                <w:iCs w:val="0"/>
                <w:color w:val="000000"/>
                <w:sz w:val="18"/>
                <w:szCs w:val="18"/>
                <w:u w:val="none"/>
              </w:rPr>
            </w:pPr>
          </w:p>
        </w:tc>
      </w:tr>
      <w:tr w14:paraId="796D4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3ABC7">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A0DB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3C8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A3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采购办公用品批次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C41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200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C7B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A66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EDB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B66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CB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351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5F4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7F17B7">
            <w:pPr>
              <w:jc w:val="center"/>
              <w:rPr>
                <w:rFonts w:hint="eastAsia" w:ascii="宋体" w:hAnsi="宋体" w:eastAsia="宋体" w:cs="宋体"/>
                <w:i w:val="0"/>
                <w:iCs w:val="0"/>
                <w:color w:val="000000"/>
                <w:sz w:val="18"/>
                <w:szCs w:val="18"/>
                <w:u w:val="none"/>
              </w:rPr>
            </w:pPr>
          </w:p>
        </w:tc>
      </w:tr>
      <w:tr w14:paraId="77577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E5975">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38FB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FFE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24D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活动出勤率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86C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9F5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532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0B2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177B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88ED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70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24D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DBF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757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职工参与活动的积极性远超预期</w:t>
            </w:r>
          </w:p>
        </w:tc>
      </w:tr>
      <w:tr w14:paraId="7A8C7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A956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C4B3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569C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A15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阵地打造验收合格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3397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7BE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31A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A0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533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076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4DC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720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8434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8FB3D0">
            <w:pPr>
              <w:jc w:val="center"/>
              <w:rPr>
                <w:rFonts w:hint="eastAsia" w:ascii="宋体" w:hAnsi="宋体" w:eastAsia="宋体" w:cs="宋体"/>
                <w:i w:val="0"/>
                <w:iCs w:val="0"/>
                <w:color w:val="000000"/>
                <w:sz w:val="18"/>
                <w:szCs w:val="18"/>
                <w:u w:val="none"/>
              </w:rPr>
            </w:pPr>
          </w:p>
        </w:tc>
      </w:tr>
      <w:tr w14:paraId="1F253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17074">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5F46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0DB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C2D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8AC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A75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807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18E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DB1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4B8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756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850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B41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17034E">
            <w:pPr>
              <w:jc w:val="center"/>
              <w:rPr>
                <w:rFonts w:hint="eastAsia" w:ascii="宋体" w:hAnsi="宋体" w:eastAsia="宋体" w:cs="宋体"/>
                <w:i w:val="0"/>
                <w:iCs w:val="0"/>
                <w:color w:val="000000"/>
                <w:sz w:val="18"/>
                <w:szCs w:val="18"/>
                <w:u w:val="none"/>
              </w:rPr>
            </w:pPr>
          </w:p>
        </w:tc>
      </w:tr>
      <w:tr w14:paraId="103D1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AAFD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02BBF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D22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B51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采购办公用品质量合格率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80F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067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FA3F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6EF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71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37D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B5A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078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7F64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83BC8">
            <w:pPr>
              <w:jc w:val="center"/>
              <w:rPr>
                <w:rFonts w:hint="eastAsia" w:ascii="宋体" w:hAnsi="宋体" w:eastAsia="宋体" w:cs="宋体"/>
                <w:i w:val="0"/>
                <w:iCs w:val="0"/>
                <w:color w:val="000000"/>
                <w:sz w:val="18"/>
                <w:szCs w:val="18"/>
                <w:u w:val="none"/>
              </w:rPr>
            </w:pPr>
          </w:p>
        </w:tc>
      </w:tr>
      <w:tr w14:paraId="6823E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D821E">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390C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EC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4E9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活动完成及时率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5B7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EC7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A01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801C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788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3F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9B9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367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CE3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9BC3CD">
            <w:pPr>
              <w:jc w:val="center"/>
              <w:rPr>
                <w:rFonts w:hint="eastAsia" w:ascii="宋体" w:hAnsi="宋体" w:eastAsia="宋体" w:cs="宋体"/>
                <w:i w:val="0"/>
                <w:iCs w:val="0"/>
                <w:color w:val="000000"/>
                <w:sz w:val="18"/>
                <w:szCs w:val="18"/>
                <w:u w:val="none"/>
              </w:rPr>
            </w:pPr>
          </w:p>
        </w:tc>
      </w:tr>
      <w:tr w14:paraId="247BB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2FEB10">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520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3E3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1867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维权支出费用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A69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0F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&lt;=147.35万元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E5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112.32万元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F00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295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086D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CFC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B3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761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167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原因实际维权活动支出费用少于预算金额；改进措施：在今后的预算编制工作中做到更加精准</w:t>
            </w:r>
          </w:p>
        </w:tc>
      </w:tr>
      <w:tr w14:paraId="74317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F06EE">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6489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9F8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0A2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办公保障支出费用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E0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A5F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&lt;=9.78万元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943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63FB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54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990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363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616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080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78A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原因实际办公活动支出费用少于预算金额；改进措施：在今后的预算编制工作中做到更加精准</w:t>
            </w:r>
          </w:p>
        </w:tc>
      </w:tr>
      <w:tr w14:paraId="485B9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B2D9A">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F7AE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2CF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8127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组宣支出费用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DD9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AF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&lt;=118.1万元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467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71.43万元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86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873D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090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7A7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7D3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BC89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C30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实际组宣支出费用少于预算金额；改进措施：在今后的预算编制工作中做到更加精准</w:t>
            </w:r>
          </w:p>
        </w:tc>
      </w:tr>
      <w:tr w14:paraId="553FB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1B403">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3BAB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00B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9D466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D7134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A57EE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C93AC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2601A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E6D36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1C4C3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45F6C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03E72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B4DB5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022852">
            <w:pPr>
              <w:jc w:val="center"/>
              <w:rPr>
                <w:rFonts w:hint="eastAsia" w:ascii="宋体" w:hAnsi="宋体" w:eastAsia="宋体" w:cs="宋体"/>
                <w:i w:val="0"/>
                <w:iCs w:val="0"/>
                <w:color w:val="000000"/>
                <w:sz w:val="18"/>
                <w:szCs w:val="18"/>
                <w:u w:val="none"/>
              </w:rPr>
            </w:pPr>
          </w:p>
        </w:tc>
      </w:tr>
      <w:tr w14:paraId="74D5A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17345">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D9CB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59B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4E78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F2830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17A61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7CFA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BB7FA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88609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F2ECA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D3DC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E725C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E4B38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BC6E04">
            <w:pPr>
              <w:jc w:val="center"/>
              <w:rPr>
                <w:rFonts w:hint="eastAsia" w:ascii="宋体" w:hAnsi="宋体" w:eastAsia="宋体" w:cs="宋体"/>
                <w:i w:val="0"/>
                <w:iCs w:val="0"/>
                <w:color w:val="000000"/>
                <w:sz w:val="18"/>
                <w:szCs w:val="18"/>
                <w:u w:val="none"/>
              </w:rPr>
            </w:pPr>
          </w:p>
        </w:tc>
      </w:tr>
      <w:tr w14:paraId="1C18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3708B">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24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55E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9852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2715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FDAF6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03933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9EC21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E20FD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E434F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58B8E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21CEA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414BA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5BCBD9">
            <w:pPr>
              <w:jc w:val="center"/>
              <w:rPr>
                <w:rFonts w:hint="eastAsia" w:ascii="宋体" w:hAnsi="宋体" w:eastAsia="宋体" w:cs="宋体"/>
                <w:i w:val="0"/>
                <w:iCs w:val="0"/>
                <w:color w:val="000000"/>
                <w:sz w:val="18"/>
                <w:szCs w:val="18"/>
                <w:u w:val="none"/>
              </w:rPr>
            </w:pPr>
          </w:p>
        </w:tc>
      </w:tr>
      <w:tr w14:paraId="3FA67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DD095">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A7CB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9D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BC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提高霍尔果斯市职工幸福感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46C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880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83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有所提高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730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C5CB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E83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D8A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79D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083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670CF2">
            <w:pPr>
              <w:jc w:val="center"/>
              <w:rPr>
                <w:rFonts w:hint="eastAsia" w:ascii="宋体" w:hAnsi="宋体" w:eastAsia="宋体" w:cs="宋体"/>
                <w:i w:val="0"/>
                <w:iCs w:val="0"/>
                <w:color w:val="000000"/>
                <w:sz w:val="18"/>
                <w:szCs w:val="18"/>
                <w:u w:val="none"/>
              </w:rPr>
            </w:pPr>
          </w:p>
        </w:tc>
      </w:tr>
      <w:tr w14:paraId="20800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08FB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FDD8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F9E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C88BE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43872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7BCF8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540AA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760F7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B14FA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CEAAE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F6816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E3E0A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3D8C5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FC06C9">
            <w:pPr>
              <w:jc w:val="center"/>
              <w:rPr>
                <w:rFonts w:hint="eastAsia" w:ascii="宋体" w:hAnsi="宋体" w:eastAsia="宋体" w:cs="宋体"/>
                <w:i w:val="0"/>
                <w:iCs w:val="0"/>
                <w:color w:val="000000"/>
                <w:sz w:val="18"/>
                <w:szCs w:val="18"/>
                <w:u w:val="none"/>
              </w:rPr>
            </w:pPr>
          </w:p>
        </w:tc>
      </w:tr>
      <w:tr w14:paraId="1C31F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480A9">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CD1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FC2E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4B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受益人员满意度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A6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455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3F88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3B14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38F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71C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289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88D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FF9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48AA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原因在开展职工活动时服务意识不够高；改进措施：在今后的职工活动中加强服务意识，提高活动满意程度</w:t>
            </w:r>
          </w:p>
        </w:tc>
      </w:tr>
      <w:tr w14:paraId="46BE1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14:paraId="078F1D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9D8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nil"/>
              <w:bottom w:val="single" w:color="000000" w:sz="4" w:space="0"/>
              <w:right w:val="single" w:color="000000" w:sz="4" w:space="0"/>
            </w:tcBorders>
            <w:shd w:val="clear" w:color="auto" w:fill="auto"/>
            <w:vAlign w:val="center"/>
          </w:tcPr>
          <w:p w14:paraId="41FBF66B">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ECC11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03C37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303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85.36分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9A0F25">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D8428">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223EC">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A6FB23">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1C9F06">
            <w:pPr>
              <w:rPr>
                <w:rFonts w:hint="eastAsia" w:ascii="宋体" w:hAnsi="宋体" w:eastAsia="宋体" w:cs="宋体"/>
                <w:i w:val="0"/>
                <w:iCs w:val="0"/>
                <w:color w:val="000000"/>
                <w:sz w:val="18"/>
                <w:szCs w:val="18"/>
                <w:u w:val="none"/>
              </w:rPr>
            </w:pPr>
          </w:p>
        </w:tc>
      </w:tr>
    </w:tbl>
    <w:p w14:paraId="29404AEA">
      <w:r>
        <w:br w:type="page"/>
      </w:r>
    </w:p>
    <w:p w14:paraId="3CE803AA">
      <w:pPr>
        <w:spacing w:line="640" w:lineRule="exact"/>
        <w:ind w:firstLine="640"/>
        <w:jc w:val="both"/>
        <w:outlineLvl w:val="2"/>
      </w:pPr>
      <w:r>
        <w:rPr>
          <w:rFonts w:ascii="黑体" w:hAnsi="黑体" w:eastAsia="黑体"/>
          <w:sz w:val="32"/>
        </w:rPr>
        <w:t>十二、其他需说明的事项</w:t>
      </w:r>
    </w:p>
    <w:p w14:paraId="38E97524">
      <w:pPr>
        <w:spacing w:line="580" w:lineRule="exact"/>
        <w:ind w:firstLine="640"/>
        <w:jc w:val="both"/>
      </w:pPr>
      <w:r>
        <w:rPr>
          <w:rFonts w:ascii="仿宋_GB2312" w:hAnsi="仿宋_GB2312" w:eastAsia="仿宋_GB2312"/>
          <w:b w:val="0"/>
          <w:sz w:val="32"/>
        </w:rPr>
        <w:t>本单位无其他需说明的事项。</w:t>
      </w:r>
    </w:p>
    <w:p w14:paraId="58BB141E">
      <w:r>
        <w:br w:type="page"/>
      </w:r>
    </w:p>
    <w:p w14:paraId="78ABB532">
      <w:pPr>
        <w:spacing w:line="240" w:lineRule="auto"/>
        <w:jc w:val="center"/>
        <w:outlineLvl w:val="1"/>
      </w:pPr>
      <w:r>
        <w:rPr>
          <w:rFonts w:ascii="黑体" w:hAnsi="黑体" w:eastAsia="黑体"/>
          <w:sz w:val="32"/>
        </w:rPr>
        <w:t>第三部分 专业名词解释</w:t>
      </w:r>
    </w:p>
    <w:p w14:paraId="6EB26E9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8B4FD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834EBD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ECFE1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5AF37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31919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F1B614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72C73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D158F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D7CCC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A6501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D33AD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0BBD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39F6F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B1456AE">
      <w:r>
        <w:br w:type="page"/>
      </w:r>
    </w:p>
    <w:p w14:paraId="53912254">
      <w:pPr>
        <w:spacing w:line="240" w:lineRule="auto"/>
        <w:jc w:val="center"/>
        <w:outlineLvl w:val="1"/>
      </w:pPr>
      <w:r>
        <w:rPr>
          <w:rFonts w:ascii="黑体" w:hAnsi="黑体" w:eastAsia="黑体"/>
          <w:sz w:val="32"/>
        </w:rPr>
        <w:t>第四部分 部门决算报表（见附表）</w:t>
      </w:r>
    </w:p>
    <w:p w14:paraId="60CDBF80">
      <w:pPr>
        <w:spacing w:line="240" w:lineRule="auto"/>
        <w:ind w:firstLine="640"/>
        <w:jc w:val="both"/>
      </w:pPr>
      <w:r>
        <w:rPr>
          <w:rFonts w:ascii="仿宋_GB2312" w:hAnsi="仿宋_GB2312" w:eastAsia="仿宋_GB2312"/>
          <w:b w:val="0"/>
          <w:sz w:val="32"/>
        </w:rPr>
        <w:t>一、《收入支出决算总表》</w:t>
      </w:r>
    </w:p>
    <w:p w14:paraId="78368050">
      <w:pPr>
        <w:spacing w:line="240" w:lineRule="auto"/>
        <w:ind w:firstLine="640"/>
        <w:jc w:val="both"/>
      </w:pPr>
      <w:r>
        <w:rPr>
          <w:rFonts w:ascii="仿宋_GB2312" w:hAnsi="仿宋_GB2312" w:eastAsia="仿宋_GB2312"/>
          <w:b w:val="0"/>
          <w:sz w:val="32"/>
        </w:rPr>
        <w:t>二、《收入决算表》</w:t>
      </w:r>
    </w:p>
    <w:p w14:paraId="66CCAE29">
      <w:pPr>
        <w:spacing w:line="240" w:lineRule="auto"/>
        <w:ind w:firstLine="640"/>
        <w:jc w:val="both"/>
      </w:pPr>
      <w:r>
        <w:rPr>
          <w:rFonts w:ascii="仿宋_GB2312" w:hAnsi="仿宋_GB2312" w:eastAsia="仿宋_GB2312"/>
          <w:b w:val="0"/>
          <w:sz w:val="32"/>
        </w:rPr>
        <w:t>三、《支出决算表》</w:t>
      </w:r>
    </w:p>
    <w:p w14:paraId="6BE0455E">
      <w:pPr>
        <w:spacing w:line="240" w:lineRule="auto"/>
        <w:ind w:firstLine="640"/>
        <w:jc w:val="both"/>
      </w:pPr>
      <w:r>
        <w:rPr>
          <w:rFonts w:ascii="仿宋_GB2312" w:hAnsi="仿宋_GB2312" w:eastAsia="仿宋_GB2312"/>
          <w:b w:val="0"/>
          <w:sz w:val="32"/>
        </w:rPr>
        <w:t>四、《财政拨款收入支出决算总表》</w:t>
      </w:r>
    </w:p>
    <w:p w14:paraId="6959FF76">
      <w:pPr>
        <w:spacing w:line="240" w:lineRule="auto"/>
        <w:ind w:firstLine="640"/>
        <w:jc w:val="both"/>
      </w:pPr>
      <w:r>
        <w:rPr>
          <w:rFonts w:ascii="仿宋_GB2312" w:hAnsi="仿宋_GB2312" w:eastAsia="仿宋_GB2312"/>
          <w:b w:val="0"/>
          <w:sz w:val="32"/>
        </w:rPr>
        <w:t>五、《一般公共预算财政拨款支出决算表》</w:t>
      </w:r>
    </w:p>
    <w:p w14:paraId="58FD69C8">
      <w:pPr>
        <w:spacing w:line="240" w:lineRule="auto"/>
        <w:ind w:firstLine="640"/>
        <w:jc w:val="both"/>
      </w:pPr>
      <w:r>
        <w:rPr>
          <w:rFonts w:ascii="仿宋_GB2312" w:hAnsi="仿宋_GB2312" w:eastAsia="仿宋_GB2312"/>
          <w:b w:val="0"/>
          <w:sz w:val="32"/>
        </w:rPr>
        <w:t>六、《一般公共预算财政拨款基本支出决算表》</w:t>
      </w:r>
    </w:p>
    <w:p w14:paraId="43856E27">
      <w:pPr>
        <w:spacing w:line="240" w:lineRule="auto"/>
        <w:ind w:firstLine="640"/>
        <w:jc w:val="both"/>
      </w:pPr>
      <w:r>
        <w:rPr>
          <w:rFonts w:ascii="仿宋_GB2312" w:hAnsi="仿宋_GB2312" w:eastAsia="仿宋_GB2312"/>
          <w:b w:val="0"/>
          <w:sz w:val="32"/>
        </w:rPr>
        <w:t>七、《政府性基金预算财政拨款收入支出决算表》</w:t>
      </w:r>
    </w:p>
    <w:p w14:paraId="62C5A26D">
      <w:pPr>
        <w:spacing w:line="240" w:lineRule="auto"/>
        <w:ind w:firstLine="640"/>
        <w:jc w:val="both"/>
      </w:pPr>
      <w:r>
        <w:rPr>
          <w:rFonts w:ascii="仿宋_GB2312" w:hAnsi="仿宋_GB2312" w:eastAsia="仿宋_GB2312"/>
          <w:b w:val="0"/>
          <w:sz w:val="32"/>
        </w:rPr>
        <w:t>八、《国有资本经营预算财政拨款收入支出决算表》</w:t>
      </w:r>
    </w:p>
    <w:p w14:paraId="41AAEAF6">
      <w:pPr>
        <w:spacing w:line="240" w:lineRule="auto"/>
        <w:ind w:firstLine="640"/>
        <w:jc w:val="both"/>
      </w:pPr>
      <w:r>
        <w:rPr>
          <w:rFonts w:ascii="仿宋_GB2312" w:hAnsi="仿宋_GB2312" w:eastAsia="仿宋_GB2312"/>
          <w:b w:val="0"/>
          <w:sz w:val="32"/>
        </w:rPr>
        <w:t>九、《财政拨款“三公”经费支出决算表》</w:t>
      </w:r>
    </w:p>
    <w:p w14:paraId="2F9833B9">
      <w:pPr>
        <w:spacing w:line="240" w:lineRule="auto"/>
        <w:ind w:firstLine="640"/>
        <w:jc w:val="both"/>
      </w:pPr>
    </w:p>
    <w:p w14:paraId="3D36F365">
      <w:pPr>
        <w:spacing w:line="240" w:lineRule="auto"/>
        <w:ind w:firstLine="640"/>
        <w:jc w:val="both"/>
      </w:pPr>
    </w:p>
    <w:p w14:paraId="69851D24">
      <w:pPr>
        <w:spacing w:line="240" w:lineRule="auto"/>
        <w:ind w:firstLine="640"/>
        <w:jc w:val="both"/>
      </w:pPr>
    </w:p>
    <w:p w14:paraId="4FEFD1CB">
      <w:pPr>
        <w:spacing w:line="240" w:lineRule="auto"/>
        <w:ind w:firstLine="640"/>
        <w:jc w:val="both"/>
      </w:pPr>
    </w:p>
    <w:p w14:paraId="7546A02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13186D-A10B-45A9-9A49-C30B6E62E2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A1DC993-99DC-4055-AB48-367CAC310F84}"/>
  </w:font>
  <w:font w:name="仿宋_GB2312">
    <w:panose1 w:val="02010609030101010101"/>
    <w:charset w:val="86"/>
    <w:family w:val="modern"/>
    <w:pitch w:val="default"/>
    <w:sig w:usb0="00000001" w:usb1="080E0000" w:usb2="00000000" w:usb3="00000000" w:csb0="00040000" w:csb1="00000000"/>
    <w:embedRegular r:id="rId3" w:fontKey="{D4C45688-E722-46ED-A7F8-A5D87F32F345}"/>
  </w:font>
  <w:font w:name="楷体_GB2312">
    <w:panose1 w:val="02010609030101010101"/>
    <w:charset w:val="86"/>
    <w:family w:val="auto"/>
    <w:pitch w:val="default"/>
    <w:sig w:usb0="00000001" w:usb1="080E0000" w:usb2="00000000" w:usb3="00000000" w:csb0="00040000" w:csb1="00000000"/>
    <w:embedRegular r:id="rId4" w:fontKey="{17E332EC-E063-4CC2-A36C-19EEC42B54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96086E"/>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533239"/>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F91CA4"/>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A23D29"/>
    <w:rsid w:val="65D97752"/>
    <w:rsid w:val="664C500C"/>
    <w:rsid w:val="67D111AB"/>
    <w:rsid w:val="68DB0208"/>
    <w:rsid w:val="68DF36D5"/>
    <w:rsid w:val="69846A0E"/>
    <w:rsid w:val="69AD798C"/>
    <w:rsid w:val="6B68175F"/>
    <w:rsid w:val="6B8B5C99"/>
    <w:rsid w:val="6BEC46B6"/>
    <w:rsid w:val="6CA7198F"/>
    <w:rsid w:val="6D8919A8"/>
    <w:rsid w:val="6E0F7A08"/>
    <w:rsid w:val="6E801ABC"/>
    <w:rsid w:val="71473612"/>
    <w:rsid w:val="718F7F65"/>
    <w:rsid w:val="721E646B"/>
    <w:rsid w:val="73423603"/>
    <w:rsid w:val="737A5923"/>
    <w:rsid w:val="73DE4104"/>
    <w:rsid w:val="73FB6630"/>
    <w:rsid w:val="74CE04EC"/>
    <w:rsid w:val="74E76DCD"/>
    <w:rsid w:val="76660D7C"/>
    <w:rsid w:val="7712247A"/>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4549</Words>
  <Characters>5162</Characters>
  <Lines>0</Lines>
  <Paragraphs>0</Paragraphs>
  <TotalTime>1</TotalTime>
  <ScaleCrop>false</ScaleCrop>
  <LinksUpToDate>false</LinksUpToDate>
  <CharactersWithSpaces>5170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2025-12-05T03:23:34Z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