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FC7145E">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霍尔果斯市国有资产监督管理局2024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9DC49E9">
      <w:r>
        <w:br w:type="page"/>
      </w:r>
    </w:p>
    <w:p w14:paraId="2869F003">
      <w:pPr>
        <w:spacing w:line="640" w:lineRule="exact"/>
        <w:jc w:val="center"/>
        <w:outlineLvl w:val="1"/>
      </w:pPr>
      <w:r>
        <w:rPr>
          <w:rFonts w:ascii="黑体" w:hAnsi="黑体" w:eastAsia="黑体"/>
          <w:sz w:val="32"/>
        </w:rPr>
        <w:t>第一部分 单位概况</w:t>
      </w:r>
    </w:p>
    <w:p w14:paraId="0DDE884A">
      <w:pPr>
        <w:spacing w:line="640" w:lineRule="exact"/>
        <w:ind w:firstLine="640"/>
        <w:jc w:val="both"/>
        <w:outlineLvl w:val="2"/>
      </w:pPr>
      <w:r>
        <w:rPr>
          <w:rFonts w:ascii="黑体" w:hAnsi="黑体" w:eastAsia="黑体"/>
          <w:sz w:val="32"/>
        </w:rPr>
        <w:t>一、主要职能</w:t>
      </w:r>
    </w:p>
    <w:p w14:paraId="6824BFBA">
      <w:pPr>
        <w:spacing w:line="580" w:lineRule="exact"/>
        <w:ind w:firstLine="640"/>
        <w:jc w:val="both"/>
      </w:pPr>
      <w:r>
        <w:rPr>
          <w:rFonts w:ascii="仿宋_GB2312" w:hAnsi="仿宋_GB2312" w:eastAsia="仿宋_GB2312"/>
          <w:sz w:val="32"/>
        </w:rPr>
        <w:t>（一）指导所监管企业党的建设工作，研究提出加强和改进企业党建工作的意见和建议；负责所监管企业和党组织关系归口国资局管理企业党的组织建设和党员教育管理工作；承担对所监管企业党建工作的日常管理工作。</w:t>
      </w:r>
    </w:p>
    <w:p w14:paraId="56EE1DFC">
      <w:pPr>
        <w:spacing w:line="580" w:lineRule="exact"/>
        <w:ind w:firstLine="640"/>
        <w:jc w:val="both"/>
      </w:pPr>
      <w:r>
        <w:rPr>
          <w:rFonts w:ascii="仿宋_GB2312" w:hAnsi="仿宋_GB2312" w:eastAsia="仿宋_GB2312"/>
          <w:sz w:val="32"/>
        </w:rPr>
        <w:t>（二）指导所监管企业的全面从严治党工作；负责指导所监管企业和党组织关系归口国资局管理企业党的思想建设、精神文明建设、宣传工作、意识形态及企业文化建设工作。</w:t>
      </w:r>
    </w:p>
    <w:p w14:paraId="5455986D">
      <w:pPr>
        <w:spacing w:line="580" w:lineRule="exact"/>
        <w:ind w:firstLine="640"/>
        <w:jc w:val="both"/>
      </w:pPr>
      <w:r>
        <w:rPr>
          <w:rFonts w:ascii="仿宋_GB2312" w:hAnsi="仿宋_GB2312" w:eastAsia="仿宋_GB2312"/>
          <w:sz w:val="32"/>
        </w:rPr>
        <w:t>（三）负责所监管企业领导班子建设和领导人员管理工作；指导监管企业人才工作和教育培训工作；承办局机关和国有企业人事管理、机构编制管理等工作。</w:t>
      </w:r>
    </w:p>
    <w:p w14:paraId="6AEF2DF8">
      <w:pPr>
        <w:spacing w:line="580" w:lineRule="exact"/>
        <w:ind w:firstLine="640"/>
        <w:jc w:val="both"/>
      </w:pPr>
      <w:r>
        <w:rPr>
          <w:rFonts w:ascii="仿宋_GB2312" w:hAnsi="仿宋_GB2312" w:eastAsia="仿宋_GB2312"/>
          <w:sz w:val="32"/>
        </w:rPr>
        <w:t>（四）承办所监管企业财务预决算工作，监督财务预算执行情况；综合分析霍尔果斯国有经济和所监管企业的运行状况；承担所监管企业清产核资和资产损失核销管理工作。</w:t>
      </w:r>
    </w:p>
    <w:p w14:paraId="38482AFA">
      <w:pPr>
        <w:spacing w:line="580" w:lineRule="exact"/>
        <w:ind w:firstLine="640"/>
        <w:jc w:val="both"/>
      </w:pPr>
      <w:r>
        <w:rPr>
          <w:rFonts w:ascii="仿宋_GB2312" w:hAnsi="仿宋_GB2312" w:eastAsia="仿宋_GB2312"/>
          <w:sz w:val="32"/>
        </w:rPr>
        <w:t>（五）指导所监管企业做好风险管控工作；建立总会计师委派制度，督促总会计师报告企业重要经营事项和重大风险，研究提出处理意见建议。</w:t>
      </w:r>
    </w:p>
    <w:p w14:paraId="1D8F18C8">
      <w:pPr>
        <w:spacing w:line="580" w:lineRule="exact"/>
        <w:ind w:firstLine="640"/>
        <w:jc w:val="both"/>
      </w:pPr>
      <w:r>
        <w:rPr>
          <w:rFonts w:ascii="仿宋_GB2312" w:hAnsi="仿宋_GB2312" w:eastAsia="仿宋_GB2312"/>
          <w:sz w:val="32"/>
        </w:rPr>
        <w:t>（六）承担企业国有资产统计分析评价工作；依法向市人民政府报告企业国有资产监管运营情况。</w:t>
      </w:r>
    </w:p>
    <w:p w14:paraId="5BDA2935">
      <w:pPr>
        <w:spacing w:line="580" w:lineRule="exact"/>
        <w:ind w:firstLine="640"/>
        <w:jc w:val="both"/>
      </w:pPr>
      <w:r>
        <w:rPr>
          <w:rFonts w:ascii="仿宋_GB2312" w:hAnsi="仿宋_GB2312" w:eastAsia="仿宋_GB2312"/>
          <w:sz w:val="32"/>
        </w:rPr>
        <w:t>（七）分类完善所监管企业负责人经营业绩考核制度；对所监管企业负责人进行年度和任期考核；调控所监管企业工资分配总体水平，提出企业负责人薪酬制度和激励办法并组织实施和监督检查；规范所监管企业负责人履职待遇、业务支出和职工福利保障；提出国有企业收入分配制度改革的指导意见。</w:t>
      </w:r>
    </w:p>
    <w:p w14:paraId="42C4D806">
      <w:pPr>
        <w:spacing w:line="580" w:lineRule="exact"/>
        <w:ind w:firstLine="640"/>
        <w:jc w:val="both"/>
      </w:pPr>
      <w:r>
        <w:rPr>
          <w:rFonts w:ascii="仿宋_GB2312" w:hAnsi="仿宋_GB2312" w:eastAsia="仿宋_GB2312"/>
          <w:sz w:val="32"/>
        </w:rPr>
        <w:t>（八）组织所监管企业上交国有资本收益；制定所监管企业国有资本经营预算有关制度；承办所监管企业</w:t>
      </w:r>
      <w:r>
        <w:rPr>
          <w:rFonts w:hint="eastAsia" w:ascii="仿宋_GB2312" w:hAnsi="仿宋_GB2312" w:eastAsia="仿宋_GB2312"/>
          <w:sz w:val="32"/>
          <w:lang w:eastAsia="zh-CN"/>
        </w:rPr>
        <w:t>国有资本经营预算</w:t>
      </w:r>
      <w:r>
        <w:rPr>
          <w:rFonts w:ascii="仿宋_GB2312" w:hAnsi="仿宋_GB2312" w:eastAsia="仿宋_GB2312"/>
          <w:sz w:val="32"/>
        </w:rPr>
        <w:t>编制、执行有关工作。</w:t>
      </w:r>
    </w:p>
    <w:p w14:paraId="69AEC38D">
      <w:pPr>
        <w:spacing w:line="580" w:lineRule="exact"/>
        <w:ind w:firstLine="640"/>
        <w:jc w:val="both"/>
      </w:pPr>
      <w:r>
        <w:rPr>
          <w:rFonts w:ascii="仿宋_GB2312" w:hAnsi="仿宋_GB2312" w:eastAsia="仿宋_GB2312"/>
          <w:sz w:val="32"/>
        </w:rPr>
        <w:t>（九）负责起草国有资产监督管理的地方性法规和政府规章草案；研究提出霍尔果斯市国有经济布局和结构战略性调整政策建议，指导所监管企业布局和结构调整；研究提出完善国有产权管理建议，拟订企业国有产权管理的规章制度和管理办法。</w:t>
      </w:r>
    </w:p>
    <w:p w14:paraId="076A39B9">
      <w:pPr>
        <w:spacing w:line="580" w:lineRule="exact"/>
        <w:ind w:firstLine="640"/>
        <w:jc w:val="both"/>
      </w:pPr>
      <w:r>
        <w:rPr>
          <w:rFonts w:ascii="仿宋_GB2312" w:hAnsi="仿宋_GB2312" w:eastAsia="仿宋_GB2312"/>
          <w:sz w:val="32"/>
        </w:rPr>
        <w:t>（十）承担所监管企业国有产权界定、登记、转让、划转、处置及产权纠纷调处等工作；承担所监管企业资产评估项目的核准和备案工作；审核所监管企业资本金变动，股权管理及发债方案等；监督、规范企业国有产权交易。</w:t>
      </w:r>
    </w:p>
    <w:p w14:paraId="082F977A">
      <w:pPr>
        <w:spacing w:line="580" w:lineRule="exact"/>
        <w:ind w:firstLine="640"/>
        <w:jc w:val="both"/>
      </w:pPr>
      <w:r>
        <w:rPr>
          <w:rFonts w:ascii="仿宋_GB2312" w:hAnsi="仿宋_GB2312" w:eastAsia="仿宋_GB2312"/>
          <w:sz w:val="32"/>
        </w:rPr>
        <w:t>（十一）指导所监管企业建立现代企业制度，完善法人治理结构；拟订所监管企业合并、股份制改造、上市、合资等重组方案；指导审核监管企业混合所有制改革方案。</w:t>
      </w:r>
    </w:p>
    <w:p w14:paraId="22BD5840">
      <w:pPr>
        <w:spacing w:line="580" w:lineRule="exact"/>
        <w:ind w:firstLine="640"/>
        <w:jc w:val="both"/>
      </w:pPr>
      <w:r>
        <w:rPr>
          <w:rFonts w:ascii="仿宋_GB2312" w:hAnsi="仿宋_GB2312" w:eastAsia="仿宋_GB2312"/>
          <w:sz w:val="32"/>
        </w:rPr>
        <w:t>（十二）承办所出资企业公司章程审核工作；指导国有企业剥离办社会职能和解决历史遗留问题，推进经营性国有资产监管运营情况。</w:t>
      </w:r>
    </w:p>
    <w:p w14:paraId="189464B0">
      <w:pPr>
        <w:spacing w:line="580" w:lineRule="exact"/>
        <w:ind w:firstLine="640"/>
        <w:jc w:val="both"/>
      </w:pPr>
      <w:r>
        <w:rPr>
          <w:rFonts w:ascii="仿宋_GB2312" w:hAnsi="仿宋_GB2312" w:eastAsia="仿宋_GB2312"/>
          <w:sz w:val="32"/>
        </w:rPr>
        <w:t>（十三）研究起草加强国有企业领导班子建设有关政策；负责所监管企业董事会及董事队伍建设，外部董事日常管理。</w:t>
      </w:r>
    </w:p>
    <w:p w14:paraId="629212C9">
      <w:pPr>
        <w:spacing w:line="580" w:lineRule="exact"/>
        <w:ind w:firstLine="640"/>
        <w:jc w:val="both"/>
      </w:pPr>
      <w:r>
        <w:rPr>
          <w:rFonts w:ascii="仿宋_GB2312" w:hAnsi="仿宋_GB2312" w:eastAsia="仿宋_GB2312"/>
          <w:sz w:val="32"/>
        </w:rPr>
        <w:t>（十四）承办开发区党工委（市委）、管委会（政府）领导交办的其他工作。</w:t>
      </w:r>
    </w:p>
    <w:p w14:paraId="53379868">
      <w:pPr>
        <w:spacing w:line="640" w:lineRule="exact"/>
        <w:ind w:firstLine="640"/>
        <w:jc w:val="both"/>
        <w:outlineLvl w:val="2"/>
      </w:pPr>
      <w:r>
        <w:rPr>
          <w:rFonts w:ascii="黑体" w:hAnsi="黑体" w:eastAsia="黑体"/>
          <w:sz w:val="32"/>
        </w:rPr>
        <w:t>二、机构设置及人员情况</w:t>
      </w:r>
    </w:p>
    <w:p w14:paraId="3B1615EE">
      <w:pPr>
        <w:spacing w:line="580" w:lineRule="exact"/>
        <w:ind w:firstLine="640"/>
        <w:jc w:val="both"/>
      </w:pPr>
      <w:r>
        <w:rPr>
          <w:rFonts w:ascii="仿宋_GB2312" w:hAnsi="仿宋_GB2312" w:eastAsia="仿宋_GB2312"/>
          <w:sz w:val="32"/>
        </w:rPr>
        <w:t>霍尔果斯市国有资产监督管理局2024年度，实有人数1人，其中：在职人员1人，减少1人；离休人员0人，增加0人；退休人员0人,增加0人。</w:t>
      </w:r>
    </w:p>
    <w:p w14:paraId="527CEFEC">
      <w:pPr>
        <w:spacing w:line="580" w:lineRule="exact"/>
        <w:ind w:firstLine="640"/>
        <w:jc w:val="both"/>
      </w:pPr>
      <w:r>
        <w:rPr>
          <w:rFonts w:ascii="仿宋_GB2312" w:hAnsi="仿宋_GB2312" w:eastAsia="仿宋_GB2312"/>
          <w:sz w:val="32"/>
        </w:rPr>
        <w:t>霍尔果斯市国有资产监督管理局无下属预算单位，下设3个科室，分别是：综合办公室、产权管理科、财务与绩效考核科。</w:t>
      </w:r>
    </w:p>
    <w:p w14:paraId="70D60982">
      <w:r>
        <w:br w:type="page"/>
      </w:r>
    </w:p>
    <w:p w14:paraId="03ADE7D4">
      <w:pPr>
        <w:spacing w:line="240" w:lineRule="auto"/>
        <w:jc w:val="center"/>
        <w:outlineLvl w:val="1"/>
      </w:pPr>
      <w:r>
        <w:rPr>
          <w:rFonts w:ascii="黑体" w:hAnsi="黑体" w:eastAsia="黑体"/>
          <w:sz w:val="32"/>
        </w:rPr>
        <w:t>第二部分 部门决算情况说明</w:t>
      </w:r>
    </w:p>
    <w:p w14:paraId="70C47055">
      <w:pPr>
        <w:spacing w:line="640" w:lineRule="exact"/>
        <w:ind w:firstLine="640"/>
        <w:jc w:val="both"/>
        <w:outlineLvl w:val="2"/>
      </w:pPr>
      <w:r>
        <w:rPr>
          <w:rFonts w:ascii="黑体" w:hAnsi="黑体" w:eastAsia="黑体"/>
          <w:sz w:val="32"/>
        </w:rPr>
        <w:t>一、收入支出决算总体情况说明</w:t>
      </w:r>
    </w:p>
    <w:p w14:paraId="7654D79B">
      <w:pPr>
        <w:spacing w:line="580" w:lineRule="exact"/>
        <w:ind w:firstLine="640"/>
        <w:jc w:val="both"/>
      </w:pPr>
      <w:r>
        <w:rPr>
          <w:rFonts w:ascii="仿宋_GB2312" w:hAnsi="仿宋_GB2312" w:eastAsia="仿宋_GB2312"/>
          <w:b/>
          <w:sz w:val="32"/>
        </w:rPr>
        <w:t>2024年度收入总计54,424.06万元，</w:t>
      </w:r>
      <w:r>
        <w:rPr>
          <w:rFonts w:ascii="仿宋_GB2312" w:hAnsi="仿宋_GB2312" w:eastAsia="仿宋_GB2312"/>
          <w:b w:val="0"/>
          <w:sz w:val="32"/>
        </w:rPr>
        <w:t>其中：本年收入合计54,424.06万元，使用非财政拨款结余（含专用结余）0.00万元，年初结转和结余0.00万元。</w:t>
      </w:r>
    </w:p>
    <w:p w14:paraId="5DCF6B7B">
      <w:pPr>
        <w:spacing w:line="580" w:lineRule="exact"/>
        <w:ind w:firstLine="640"/>
        <w:jc w:val="both"/>
      </w:pPr>
      <w:r>
        <w:rPr>
          <w:rFonts w:ascii="仿宋_GB2312" w:hAnsi="仿宋_GB2312" w:eastAsia="仿宋_GB2312"/>
          <w:b/>
          <w:sz w:val="32"/>
        </w:rPr>
        <w:t>2024年度支出总计54,424.06万元，</w:t>
      </w:r>
      <w:r>
        <w:rPr>
          <w:rFonts w:ascii="仿宋_GB2312" w:hAnsi="仿宋_GB2312" w:eastAsia="仿宋_GB2312"/>
          <w:b w:val="0"/>
          <w:sz w:val="32"/>
        </w:rPr>
        <w:t>其中：本年支出合计54,424.06万元，结余分配0.00万元，年末结转和结余0.00万元。</w:t>
      </w:r>
    </w:p>
    <w:p w14:paraId="22F46576">
      <w:pPr>
        <w:spacing w:line="580" w:lineRule="exact"/>
        <w:ind w:firstLine="640"/>
        <w:jc w:val="both"/>
      </w:pPr>
      <w:r>
        <w:rPr>
          <w:rFonts w:ascii="仿宋_GB2312" w:hAnsi="仿宋_GB2312" w:eastAsia="仿宋_GB2312"/>
          <w:b w:val="0"/>
          <w:sz w:val="32"/>
        </w:rPr>
        <w:t>收入支出总体与上年相比，减少228,290.51万元，下降80.75%，主要原因是：本年减少注册资本金：文旅集团、资产运营管理公司、城投集团、人才集团项目、中小企业发展资金、国有企业培训费、开建集团运营补贴等项目。</w:t>
      </w:r>
    </w:p>
    <w:p w14:paraId="25D0CF8E">
      <w:pPr>
        <w:spacing w:line="640" w:lineRule="exact"/>
        <w:ind w:firstLine="640"/>
        <w:jc w:val="both"/>
        <w:outlineLvl w:val="2"/>
      </w:pPr>
      <w:r>
        <w:rPr>
          <w:rFonts w:ascii="黑体" w:hAnsi="黑体" w:eastAsia="黑体"/>
          <w:sz w:val="32"/>
        </w:rPr>
        <w:t>二、收入决算情况说明</w:t>
      </w:r>
    </w:p>
    <w:p w14:paraId="50097EAC">
      <w:pPr>
        <w:spacing w:line="580" w:lineRule="exact"/>
        <w:ind w:firstLine="640"/>
        <w:jc w:val="both"/>
      </w:pPr>
      <w:r>
        <w:rPr>
          <w:rFonts w:ascii="仿宋_GB2312" w:hAnsi="仿宋_GB2312" w:eastAsia="仿宋_GB2312"/>
          <w:b/>
          <w:sz w:val="32"/>
        </w:rPr>
        <w:t>本年收入54,424.06万元，</w:t>
      </w:r>
      <w:r>
        <w:rPr>
          <w:rFonts w:ascii="仿宋_GB2312" w:hAnsi="仿宋_GB2312" w:eastAsia="仿宋_GB2312"/>
          <w:b w:val="0"/>
          <w:sz w:val="32"/>
        </w:rPr>
        <w:t>其中：财政拨款收入54,424.06万元，占100.00%；上级补助收入0.00万元，占0.00%；事业收入0.00万元，占0.00%；经营收入0.00万元，占0.00%；附属单位上缴收入0.00万元，占0.00%；其他收入0.00万元，占0.00%。</w:t>
      </w:r>
    </w:p>
    <w:p w14:paraId="450BF430">
      <w:pPr>
        <w:spacing w:line="640" w:lineRule="exact"/>
        <w:ind w:firstLine="640"/>
        <w:jc w:val="both"/>
        <w:outlineLvl w:val="2"/>
      </w:pPr>
      <w:r>
        <w:rPr>
          <w:rFonts w:ascii="黑体" w:hAnsi="黑体" w:eastAsia="黑体"/>
          <w:sz w:val="32"/>
        </w:rPr>
        <w:t>三、支出决算情况说明</w:t>
      </w:r>
    </w:p>
    <w:p w14:paraId="1433416F">
      <w:pPr>
        <w:spacing w:line="580" w:lineRule="exact"/>
        <w:ind w:firstLine="640"/>
        <w:jc w:val="both"/>
      </w:pPr>
      <w:r>
        <w:rPr>
          <w:rFonts w:ascii="仿宋_GB2312" w:hAnsi="仿宋_GB2312" w:eastAsia="仿宋_GB2312"/>
          <w:b/>
          <w:sz w:val="32"/>
        </w:rPr>
        <w:t>本年支出54,424.06万元，</w:t>
      </w:r>
      <w:r>
        <w:rPr>
          <w:rFonts w:ascii="仿宋_GB2312" w:hAnsi="仿宋_GB2312" w:eastAsia="仿宋_GB2312"/>
          <w:b w:val="0"/>
          <w:sz w:val="32"/>
        </w:rPr>
        <w:t>其中：基本支出106.66万元，占0.20%；项目支出54,317.40万元，占99.80%；上缴上级支出0.00万元，占0.00%；经营支出0.00万元，占0.00%；对附属单位补助支出0.00万元，占0.00%。</w:t>
      </w:r>
    </w:p>
    <w:p w14:paraId="5DA9683A">
      <w:pPr>
        <w:spacing w:line="640" w:lineRule="exact"/>
        <w:ind w:firstLine="640"/>
        <w:jc w:val="both"/>
        <w:outlineLvl w:val="2"/>
      </w:pPr>
      <w:r>
        <w:rPr>
          <w:rFonts w:ascii="黑体" w:hAnsi="黑体" w:eastAsia="黑体"/>
          <w:sz w:val="32"/>
        </w:rPr>
        <w:t>四、财政拨款收入支出决算总体情况说明</w:t>
      </w:r>
    </w:p>
    <w:p w14:paraId="144065EE">
      <w:pPr>
        <w:spacing w:line="580" w:lineRule="exact"/>
        <w:ind w:firstLine="640"/>
        <w:jc w:val="both"/>
      </w:pPr>
      <w:r>
        <w:rPr>
          <w:rFonts w:ascii="仿宋_GB2312" w:hAnsi="仿宋_GB2312" w:eastAsia="仿宋_GB2312"/>
          <w:b/>
          <w:sz w:val="32"/>
        </w:rPr>
        <w:t>2024年度财政拨款收入总计54,424.06万元，</w:t>
      </w:r>
      <w:r>
        <w:rPr>
          <w:rFonts w:ascii="仿宋_GB2312" w:hAnsi="仿宋_GB2312" w:eastAsia="仿宋_GB2312"/>
          <w:b w:val="0"/>
          <w:sz w:val="32"/>
        </w:rPr>
        <w:t>其中：年初财政拨款结转和结余0.00万元，本年财政拨款收入54,424.06万元。</w:t>
      </w:r>
      <w:r>
        <w:rPr>
          <w:rFonts w:ascii="仿宋_GB2312" w:hAnsi="仿宋_GB2312" w:eastAsia="仿宋_GB2312"/>
          <w:b/>
          <w:sz w:val="32"/>
        </w:rPr>
        <w:t>财政拨款支出总计54,424.06万元，</w:t>
      </w:r>
      <w:r>
        <w:rPr>
          <w:rFonts w:ascii="仿宋_GB2312" w:hAnsi="仿宋_GB2312" w:eastAsia="仿宋_GB2312"/>
          <w:b w:val="0"/>
          <w:sz w:val="32"/>
        </w:rPr>
        <w:t>其中：年末财政拨款结转和结余0.00万元，本年财政拨款支出54,424.06万元。</w:t>
      </w:r>
    </w:p>
    <w:p w14:paraId="52F8D0A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减少193,290.51万元，下降78.03%，主要原因是：本年减少注册资本金：文旅集团、资产运营管理公司、城投集团、人才集团项目、中小企业发展资金、国有企业培训费等项目。</w:t>
      </w:r>
      <w:r>
        <w:rPr>
          <w:rFonts w:ascii="仿宋_GB2312" w:hAnsi="仿宋_GB2312" w:eastAsia="仿宋_GB2312"/>
          <w:b/>
          <w:sz w:val="32"/>
        </w:rPr>
        <w:t>与年初预算相比，</w:t>
      </w:r>
      <w:r>
        <w:rPr>
          <w:rFonts w:ascii="仿宋_GB2312" w:hAnsi="仿宋_GB2312" w:eastAsia="仿宋_GB2312"/>
          <w:b w:val="0"/>
          <w:sz w:val="32"/>
        </w:rPr>
        <w:t>年初预算数161.33万元，决算数54,424.06万元，预决算差异率33634.62%，主要原因是：年中追加中小企业发展资金项目、注册资本金农科集团项目，导致预决算存在差异。</w:t>
      </w:r>
    </w:p>
    <w:p w14:paraId="61D31803">
      <w:pPr>
        <w:spacing w:line="640" w:lineRule="exact"/>
        <w:ind w:firstLine="640"/>
        <w:jc w:val="both"/>
        <w:outlineLvl w:val="2"/>
      </w:pPr>
      <w:r>
        <w:rPr>
          <w:rFonts w:ascii="黑体" w:hAnsi="黑体" w:eastAsia="黑体"/>
          <w:sz w:val="32"/>
        </w:rPr>
        <w:t>五、一般公共预算财政拨款支出决算情况说明</w:t>
      </w:r>
    </w:p>
    <w:p w14:paraId="0F25E1DE">
      <w:pPr>
        <w:spacing w:line="640" w:lineRule="exact"/>
        <w:ind w:firstLine="640"/>
        <w:jc w:val="both"/>
        <w:outlineLvl w:val="3"/>
      </w:pPr>
      <w:r>
        <w:rPr>
          <w:rFonts w:ascii="楷体_GB2312" w:hAnsi="楷体_GB2312" w:eastAsia="楷体_GB2312"/>
          <w:b/>
          <w:sz w:val="32"/>
        </w:rPr>
        <w:t>（一）一般公共预算财政拨款支出决算总体情况</w:t>
      </w:r>
    </w:p>
    <w:p w14:paraId="6BD0C73E">
      <w:pPr>
        <w:spacing w:line="580" w:lineRule="exact"/>
        <w:ind w:firstLine="640"/>
        <w:jc w:val="both"/>
      </w:pPr>
      <w:r>
        <w:rPr>
          <w:rFonts w:ascii="仿宋_GB2312" w:hAnsi="仿宋_GB2312" w:eastAsia="仿宋_GB2312"/>
          <w:b/>
          <w:sz w:val="32"/>
        </w:rPr>
        <w:t>2024年度一般公共预算财政拨款支出54,424.06万元，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减少193,290.51万元，下降78.03%，主要原因是：</w:t>
      </w:r>
      <w:bookmarkStart w:id="0" w:name="_GoBack"/>
      <w:bookmarkEnd w:id="0"/>
      <w:r>
        <w:rPr>
          <w:rFonts w:ascii="仿宋_GB2312" w:hAnsi="仿宋_GB2312" w:eastAsia="仿宋_GB2312"/>
          <w:b w:val="0"/>
          <w:sz w:val="32"/>
        </w:rPr>
        <w:t>本年减少注册资本金：文旅集团、资产运营管理公司、城投集团、人才集团项目、中小企业发展资金、国有企业培训费等项目。</w:t>
      </w:r>
      <w:r>
        <w:rPr>
          <w:rFonts w:ascii="仿宋_GB2312" w:hAnsi="仿宋_GB2312" w:eastAsia="仿宋_GB2312"/>
          <w:b/>
          <w:sz w:val="32"/>
        </w:rPr>
        <w:t>与年初预算相比,</w:t>
      </w:r>
      <w:r>
        <w:rPr>
          <w:rFonts w:ascii="仿宋_GB2312" w:hAnsi="仿宋_GB2312" w:eastAsia="仿宋_GB2312"/>
          <w:b w:val="0"/>
          <w:sz w:val="32"/>
        </w:rPr>
        <w:t>年初预算数161.33万元，决算数54,424.06万元，预决算差异率33634.62%，主要原因是：年中追加中小企业发展资金项目、注册资本金农科集团项目，导致预决算存在差异。</w:t>
      </w:r>
    </w:p>
    <w:p w14:paraId="010E7540">
      <w:pPr>
        <w:spacing w:line="640" w:lineRule="exact"/>
        <w:ind w:firstLine="640"/>
        <w:jc w:val="both"/>
        <w:outlineLvl w:val="3"/>
      </w:pPr>
      <w:r>
        <w:rPr>
          <w:rFonts w:ascii="楷体_GB2312" w:hAnsi="楷体_GB2312" w:eastAsia="楷体_GB2312"/>
          <w:b/>
          <w:sz w:val="32"/>
        </w:rPr>
        <w:t>（二）一般公共预算财政拨款支出决算结构情况</w:t>
      </w:r>
    </w:p>
    <w:p w14:paraId="1AAC77E8">
      <w:pPr>
        <w:spacing w:line="580" w:lineRule="exact"/>
        <w:ind w:firstLine="640"/>
        <w:jc w:val="both"/>
      </w:pPr>
      <w:r>
        <w:rPr>
          <w:rFonts w:ascii="仿宋_GB2312" w:hAnsi="仿宋_GB2312" w:eastAsia="仿宋_GB2312"/>
          <w:b w:val="0"/>
          <w:sz w:val="32"/>
        </w:rPr>
        <w:t>1.科学技术支出(类)645.00万元,占1.19%。</w:t>
      </w:r>
    </w:p>
    <w:p w14:paraId="04DF4911">
      <w:pPr>
        <w:spacing w:line="580" w:lineRule="exact"/>
        <w:ind w:firstLine="640"/>
        <w:jc w:val="both"/>
      </w:pPr>
      <w:r>
        <w:rPr>
          <w:rFonts w:ascii="仿宋_GB2312" w:hAnsi="仿宋_GB2312" w:eastAsia="仿宋_GB2312"/>
          <w:b w:val="0"/>
          <w:sz w:val="32"/>
        </w:rPr>
        <w:t>2.社会保障和就业支出(类)13.71万元,占0.03%。</w:t>
      </w:r>
    </w:p>
    <w:p w14:paraId="01F31276">
      <w:pPr>
        <w:spacing w:line="580" w:lineRule="exact"/>
        <w:ind w:firstLine="640"/>
        <w:jc w:val="both"/>
      </w:pPr>
      <w:r>
        <w:rPr>
          <w:rFonts w:ascii="仿宋_GB2312" w:hAnsi="仿宋_GB2312" w:eastAsia="仿宋_GB2312"/>
          <w:b w:val="0"/>
          <w:sz w:val="32"/>
        </w:rPr>
        <w:t>3.城乡社区支出(类)53,642.00万元,占98.56%。</w:t>
      </w:r>
    </w:p>
    <w:p w14:paraId="0B41CC8C">
      <w:pPr>
        <w:spacing w:line="580" w:lineRule="exact"/>
        <w:ind w:firstLine="640"/>
        <w:jc w:val="both"/>
      </w:pPr>
      <w:r>
        <w:rPr>
          <w:rFonts w:ascii="仿宋_GB2312" w:hAnsi="仿宋_GB2312" w:eastAsia="仿宋_GB2312"/>
          <w:b w:val="0"/>
          <w:sz w:val="32"/>
        </w:rPr>
        <w:t>4.资源勘探工业信息等支出(类)115.11万元,占0.21%。</w:t>
      </w:r>
    </w:p>
    <w:p w14:paraId="5698D506">
      <w:pPr>
        <w:spacing w:line="580" w:lineRule="exact"/>
        <w:ind w:firstLine="640"/>
        <w:jc w:val="both"/>
      </w:pPr>
      <w:r>
        <w:rPr>
          <w:rFonts w:ascii="仿宋_GB2312" w:hAnsi="仿宋_GB2312" w:eastAsia="仿宋_GB2312"/>
          <w:b w:val="0"/>
          <w:sz w:val="32"/>
        </w:rPr>
        <w:t>5.住房保障支出(类)8.23万元,占0.02%。</w:t>
      </w:r>
    </w:p>
    <w:p w14:paraId="10D54239">
      <w:pPr>
        <w:spacing w:line="640" w:lineRule="exact"/>
        <w:ind w:firstLine="640"/>
        <w:jc w:val="both"/>
        <w:outlineLvl w:val="3"/>
      </w:pPr>
      <w:r>
        <w:rPr>
          <w:rFonts w:ascii="楷体_GB2312" w:hAnsi="楷体_GB2312" w:eastAsia="楷体_GB2312"/>
          <w:b/>
          <w:sz w:val="32"/>
        </w:rPr>
        <w:t>（三）一般公共预算财政拨款支出决算具体情况</w:t>
      </w:r>
    </w:p>
    <w:p w14:paraId="31F75732">
      <w:pPr>
        <w:spacing w:line="580" w:lineRule="exact"/>
        <w:ind w:firstLine="640"/>
        <w:jc w:val="both"/>
      </w:pPr>
      <w:r>
        <w:rPr>
          <w:rFonts w:ascii="仿宋_GB2312" w:hAnsi="仿宋_GB2312" w:eastAsia="仿宋_GB2312"/>
          <w:b w:val="0"/>
          <w:sz w:val="32"/>
        </w:rPr>
        <w:t>1.科学技术支出(类)其他科学技术支出(款)其他科学技术支出(项):支出决算数为645.00万元，比上年决算增加145.00万元，增长29.00%,主要原因是：本年农业科技发展集团有限公司注册资本金增加，导致经费较上年增加。</w:t>
      </w:r>
    </w:p>
    <w:p w14:paraId="440C2600">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10.39万元，比上年决算增加0.72万元，增长7.45%,主要原因是：本年在职人员工资基数调增，养老缴费基数上涨，相应支出增加。</w:t>
      </w:r>
    </w:p>
    <w:p w14:paraId="15906576">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3.33万元，比上年决算增加3.33万元，增长100.00%,主要原因是：本年功能科目调整，机关事业单位职业年金缴费上年度在主科目列支，本年单独列支，导致经费较上年增加。</w:t>
      </w:r>
    </w:p>
    <w:p w14:paraId="3973FAE7">
      <w:pPr>
        <w:spacing w:line="580" w:lineRule="exact"/>
        <w:ind w:firstLine="640"/>
        <w:jc w:val="both"/>
      </w:pPr>
      <w:r>
        <w:rPr>
          <w:rFonts w:ascii="仿宋_GB2312" w:hAnsi="仿宋_GB2312" w:eastAsia="仿宋_GB2312"/>
          <w:b w:val="0"/>
          <w:sz w:val="32"/>
        </w:rPr>
        <w:t>4.城乡社区支出(类)城乡社区公共设施(款)其他城乡社区公共设施支出(项):支出决算数为53,642.00万元，比上年决算减少193,439.00万元，下降78.29%,主要原因是：本年减少注册资本金：文旅集团、资产运营管理公司、城投集团、人才集团项目、中小企业发展资金项目，导致经费较上年减少。</w:t>
      </w:r>
    </w:p>
    <w:p w14:paraId="167EA7CE">
      <w:pPr>
        <w:spacing w:line="580" w:lineRule="exact"/>
        <w:ind w:firstLine="640"/>
        <w:jc w:val="both"/>
      </w:pPr>
      <w:r>
        <w:rPr>
          <w:rFonts w:ascii="仿宋_GB2312" w:hAnsi="仿宋_GB2312" w:eastAsia="仿宋_GB2312"/>
          <w:b w:val="0"/>
          <w:sz w:val="32"/>
        </w:rPr>
        <w:t>5.资源勘探工业信息等支出(类)国有资产监管(款)行政运行(项):支出决算数为84.71万元，比上年决算增加4.46万元，增长5.56%,主要原因是：本年在职人员工资调增，导致相关人员经费较上年有所增加。</w:t>
      </w:r>
    </w:p>
    <w:p w14:paraId="0EF1AF94">
      <w:pPr>
        <w:spacing w:line="580" w:lineRule="exact"/>
        <w:ind w:firstLine="640"/>
        <w:jc w:val="both"/>
      </w:pPr>
      <w:r>
        <w:rPr>
          <w:rFonts w:ascii="仿宋_GB2312" w:hAnsi="仿宋_GB2312" w:eastAsia="仿宋_GB2312"/>
          <w:b w:val="0"/>
          <w:sz w:val="32"/>
        </w:rPr>
        <w:t>6.资源勘探工业信息等支出(类)国有资产监管(款)一般行政管理事务(项):支出决算数为30.40万元，比上年决算减少5.78万元，下降15.98%,主要原因是：本年减少国有企业培训费项目，导致经费较上年有所减少。</w:t>
      </w:r>
    </w:p>
    <w:p w14:paraId="08691A23">
      <w:pPr>
        <w:spacing w:line="580" w:lineRule="exact"/>
        <w:ind w:firstLine="640"/>
        <w:jc w:val="both"/>
      </w:pPr>
      <w:r>
        <w:rPr>
          <w:rFonts w:ascii="仿宋_GB2312" w:hAnsi="仿宋_GB2312" w:eastAsia="仿宋_GB2312"/>
          <w:b w:val="0"/>
          <w:sz w:val="32"/>
        </w:rPr>
        <w:t>7.住房保障支出(类)住房改革支出(款)住房公积金(项):支出决算数为8.23万元，比上年决算增加0.76万元，增长10.17%,主要原因是：本年在职人员工资基数调增，公积金缴费基数上涨，相应支出增加。</w:t>
      </w:r>
    </w:p>
    <w:p w14:paraId="3664E9B5">
      <w:pPr>
        <w:spacing w:line="640" w:lineRule="exact"/>
        <w:ind w:firstLine="640"/>
        <w:jc w:val="both"/>
        <w:outlineLvl w:val="2"/>
      </w:pPr>
      <w:r>
        <w:rPr>
          <w:rFonts w:ascii="黑体" w:hAnsi="黑体" w:eastAsia="黑体"/>
          <w:sz w:val="32"/>
        </w:rPr>
        <w:t>六、一般公共预算财政拨款基本支出决算情况说明</w:t>
      </w:r>
    </w:p>
    <w:p w14:paraId="08AC8E02">
      <w:pPr>
        <w:spacing w:line="580" w:lineRule="exact"/>
        <w:ind w:firstLine="640"/>
        <w:jc w:val="both"/>
      </w:pPr>
      <w:r>
        <w:rPr>
          <w:rFonts w:ascii="仿宋_GB2312" w:hAnsi="仿宋_GB2312" w:eastAsia="仿宋_GB2312"/>
          <w:b w:val="0"/>
          <w:sz w:val="32"/>
        </w:rPr>
        <w:t>2024年度一般公共预算财政拨款基本支出106.66万元，其中：</w:t>
      </w:r>
      <w:r>
        <w:rPr>
          <w:rFonts w:ascii="仿宋_GB2312" w:hAnsi="仿宋_GB2312" w:eastAsia="仿宋_GB2312"/>
          <w:b/>
          <w:sz w:val="32"/>
        </w:rPr>
        <w:t>人员经费102.55万元，</w:t>
      </w:r>
      <w:r>
        <w:rPr>
          <w:rFonts w:ascii="仿宋_GB2312" w:hAnsi="仿宋_GB2312" w:eastAsia="仿宋_GB2312"/>
          <w:b w:val="0"/>
          <w:sz w:val="32"/>
        </w:rPr>
        <w:t>包括：基本工资、津贴补贴、机关事业单位基本养老保险缴费、职业年金缴费、职工基本医疗保险缴费、公务员医疗补助缴费、其他社会保障缴费、住房公积金、其他工资福利支出。</w:t>
      </w:r>
    </w:p>
    <w:p w14:paraId="0F0B869F">
      <w:pPr>
        <w:spacing w:line="580" w:lineRule="exact"/>
        <w:ind w:firstLine="640"/>
        <w:jc w:val="both"/>
      </w:pPr>
      <w:r>
        <w:rPr>
          <w:rFonts w:ascii="仿宋_GB2312" w:hAnsi="仿宋_GB2312" w:eastAsia="仿宋_GB2312"/>
          <w:b/>
          <w:sz w:val="32"/>
        </w:rPr>
        <w:t>公用经费4.12万元，</w:t>
      </w:r>
      <w:r>
        <w:rPr>
          <w:rFonts w:ascii="仿宋_GB2312" w:hAnsi="仿宋_GB2312" w:eastAsia="仿宋_GB2312"/>
          <w:b w:val="0"/>
          <w:sz w:val="32"/>
        </w:rPr>
        <w:t>包括：办公费、差旅费、工会经费。</w:t>
      </w:r>
    </w:p>
    <w:p w14:paraId="0004DF13">
      <w:pPr>
        <w:spacing w:line="640" w:lineRule="exact"/>
        <w:ind w:firstLine="640"/>
        <w:jc w:val="both"/>
        <w:outlineLvl w:val="2"/>
      </w:pPr>
      <w:r>
        <w:rPr>
          <w:rFonts w:ascii="黑体" w:hAnsi="黑体" w:eastAsia="黑体"/>
          <w:sz w:val="32"/>
        </w:rPr>
        <w:t>七、政府性基金预算财政拨款收入支出决算情况说明</w:t>
      </w:r>
    </w:p>
    <w:p w14:paraId="4BFD27A4">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FFB3D45">
      <w:pPr>
        <w:spacing w:line="640" w:lineRule="exact"/>
        <w:ind w:firstLine="640"/>
        <w:jc w:val="both"/>
        <w:outlineLvl w:val="2"/>
      </w:pPr>
      <w:r>
        <w:rPr>
          <w:rFonts w:ascii="黑体" w:hAnsi="黑体" w:eastAsia="黑体"/>
          <w:sz w:val="32"/>
        </w:rPr>
        <w:t>八、国有资本经营预算财政拨款收入支出决算情况说明</w:t>
      </w:r>
    </w:p>
    <w:p w14:paraId="340CAD5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F5D372C">
      <w:pPr>
        <w:spacing w:line="640" w:lineRule="exact"/>
        <w:ind w:firstLine="640"/>
        <w:jc w:val="both"/>
        <w:outlineLvl w:val="2"/>
      </w:pPr>
      <w:r>
        <w:rPr>
          <w:rFonts w:ascii="黑体" w:hAnsi="黑体" w:eastAsia="黑体"/>
          <w:sz w:val="32"/>
        </w:rPr>
        <w:t>九、财政拨款“三公”经费支出决算情况说明</w:t>
      </w:r>
    </w:p>
    <w:p w14:paraId="38B5EFB6">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减少0.25万元，下降100.00%，主要原因是：本年未安排公务接待工作，导致公务接待费较上年减少。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减少0.25万元，下降100.00%，主要原因是：本年未安排公务接待工作，导致公务接待费较上年减少。</w:t>
      </w:r>
    </w:p>
    <w:p w14:paraId="114B7777">
      <w:pPr>
        <w:spacing w:line="580" w:lineRule="exact"/>
        <w:ind w:firstLine="640"/>
        <w:jc w:val="both"/>
      </w:pPr>
      <w:r>
        <w:rPr>
          <w:rFonts w:ascii="仿宋_GB2312" w:hAnsi="仿宋_GB2312" w:eastAsia="仿宋_GB2312"/>
          <w:b/>
          <w:sz w:val="32"/>
        </w:rPr>
        <w:t>具体情况如下：</w:t>
      </w:r>
    </w:p>
    <w:p w14:paraId="5AC06A7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1B5AB62">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4A3FCC8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10F698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054EC026">
      <w:pPr>
        <w:spacing w:line="640" w:lineRule="exact"/>
        <w:ind w:firstLine="640"/>
        <w:jc w:val="both"/>
        <w:outlineLvl w:val="2"/>
      </w:pPr>
      <w:r>
        <w:rPr>
          <w:rFonts w:ascii="黑体" w:hAnsi="黑体" w:eastAsia="黑体"/>
          <w:sz w:val="32"/>
        </w:rPr>
        <w:t>十、其他重要事项的情况说明</w:t>
      </w:r>
    </w:p>
    <w:p w14:paraId="61F54E55">
      <w:pPr>
        <w:spacing w:line="640" w:lineRule="exact"/>
        <w:ind w:firstLine="640"/>
        <w:jc w:val="both"/>
        <w:outlineLvl w:val="3"/>
      </w:pPr>
      <w:r>
        <w:rPr>
          <w:rFonts w:ascii="楷体_GB2312" w:hAnsi="楷体_GB2312" w:eastAsia="楷体_GB2312"/>
          <w:b/>
          <w:sz w:val="32"/>
        </w:rPr>
        <w:t>（一）机关运行经费及公用经费支出情况</w:t>
      </w:r>
    </w:p>
    <w:p w14:paraId="2D40EDC7">
      <w:pPr>
        <w:spacing w:line="580" w:lineRule="exact"/>
        <w:ind w:firstLine="640"/>
        <w:jc w:val="both"/>
      </w:pPr>
      <w:r>
        <w:rPr>
          <w:rFonts w:ascii="仿宋_GB2312" w:hAnsi="仿宋_GB2312" w:eastAsia="仿宋_GB2312"/>
          <w:b w:val="0"/>
          <w:sz w:val="32"/>
        </w:rPr>
        <w:t>2024年度霍尔果斯市国有资产监督管理局（行政单位和参照公务员法管理事业单位）机关运行经费支出4.12万元，比上年增加0.18万元，增长4.57%，主要原因是：本年购置办公用品，导致机关运行经费较上年增加。</w:t>
      </w:r>
    </w:p>
    <w:p w14:paraId="31E13662">
      <w:pPr>
        <w:spacing w:line="640" w:lineRule="exact"/>
        <w:ind w:firstLine="640"/>
        <w:jc w:val="both"/>
        <w:outlineLvl w:val="3"/>
      </w:pPr>
      <w:r>
        <w:rPr>
          <w:rFonts w:ascii="楷体_GB2312" w:hAnsi="楷体_GB2312" w:eastAsia="楷体_GB2312"/>
          <w:b/>
          <w:sz w:val="32"/>
        </w:rPr>
        <w:t>（二）政府采购情况</w:t>
      </w:r>
    </w:p>
    <w:p w14:paraId="4A707025">
      <w:pPr>
        <w:spacing w:line="580" w:lineRule="exact"/>
        <w:ind w:firstLine="640"/>
        <w:jc w:val="both"/>
      </w:pPr>
      <w:r>
        <w:rPr>
          <w:rFonts w:ascii="仿宋_GB2312" w:hAnsi="仿宋_GB2312" w:eastAsia="仿宋_GB2312"/>
          <w:b w:val="0"/>
          <w:sz w:val="32"/>
        </w:rPr>
        <w:t>2024年度政府采购支出总额19.81万元，其中：政府采购货物支出2.91万元、政府采购工程支出0.00万元、政府采购服务支出16.90万元。</w:t>
      </w:r>
    </w:p>
    <w:p w14:paraId="375CA523">
      <w:pPr>
        <w:spacing w:line="580" w:lineRule="exact"/>
        <w:ind w:firstLine="640"/>
        <w:jc w:val="both"/>
      </w:pPr>
      <w:r>
        <w:rPr>
          <w:rFonts w:ascii="仿宋_GB2312" w:hAnsi="仿宋_GB2312" w:eastAsia="仿宋_GB2312"/>
          <w:b w:val="0"/>
          <w:sz w:val="32"/>
        </w:rPr>
        <w:t>授予中小企业合同金额17.99万元，占政府采购支出总额的90.81%，其中：授予小微企业合同金额17.99万元，占政府采购支出总额的90.81%。</w:t>
      </w:r>
    </w:p>
    <w:p w14:paraId="25D2AC4B">
      <w:pPr>
        <w:spacing w:line="640" w:lineRule="exact"/>
        <w:ind w:firstLine="640"/>
        <w:jc w:val="both"/>
        <w:outlineLvl w:val="3"/>
      </w:pPr>
      <w:r>
        <w:rPr>
          <w:rFonts w:ascii="楷体_GB2312" w:hAnsi="楷体_GB2312" w:eastAsia="楷体_GB2312"/>
          <w:b/>
          <w:sz w:val="32"/>
        </w:rPr>
        <w:t>（三）国有资产占用情况说明</w:t>
      </w:r>
    </w:p>
    <w:p w14:paraId="4F6CFF0E">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4D262047">
      <w:pPr>
        <w:spacing w:line="640" w:lineRule="exact"/>
        <w:ind w:firstLine="640"/>
        <w:jc w:val="both"/>
        <w:outlineLvl w:val="2"/>
      </w:pPr>
      <w:r>
        <w:rPr>
          <w:rFonts w:ascii="黑体" w:hAnsi="黑体" w:eastAsia="黑体"/>
          <w:sz w:val="32"/>
        </w:rPr>
        <w:t>十一、预算绩效的情况说明</w:t>
      </w:r>
    </w:p>
    <w:p w14:paraId="4822FF0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54,424.06万元，实际执行总额54,424.06万元；预算绩效评价项目1个，全年预算数30.40万元，全年执行数30.40万元。预算绩效管理取得的成效：</w:t>
      </w:r>
      <w:r>
        <w:rPr>
          <w:rFonts w:hint="eastAsia" w:ascii="仿宋_GB2312" w:hAnsi="仿宋_GB2312" w:eastAsia="仿宋_GB2312"/>
          <w:b w:val="0"/>
          <w:sz w:val="32"/>
        </w:rPr>
        <w:t>开展绩效评价，提高了绩效工作管理水平，科学制定目标，促进了绩效目标顺利实现，提高了项目资金使用的绩效意识，以便项目实施完成，进行跟踪问效评价，对下一年此类项目预算编制提供参考。</w:t>
      </w:r>
      <w:r>
        <w:rPr>
          <w:rFonts w:ascii="仿宋_GB2312" w:hAnsi="仿宋_GB2312" w:eastAsia="仿宋_GB2312"/>
          <w:b w:val="0"/>
          <w:sz w:val="32"/>
        </w:rPr>
        <w:t>发现的问题及原因：1.相关绩效管理方面专业知识的系统性学习有待加强。各项指标的设置要进一步优化、完善，主要在细化、量化上改进。在绩效自评过程中，</w:t>
      </w:r>
      <w:r>
        <w:rPr>
          <w:rFonts w:hint="eastAsia" w:ascii="仿宋_GB2312" w:hAnsi="仿宋_GB2312" w:eastAsia="仿宋_GB2312"/>
          <w:b w:val="0"/>
          <w:sz w:val="32"/>
          <w:lang w:eastAsia="zh-CN"/>
        </w:rPr>
        <w:t>由于</w:t>
      </w:r>
      <w:r>
        <w:rPr>
          <w:rFonts w:ascii="仿宋_GB2312" w:hAnsi="仿宋_GB2312" w:eastAsia="仿宋_GB2312"/>
          <w:b w:val="0"/>
          <w:sz w:val="32"/>
        </w:rPr>
        <w:t>部分人员缺乏相关绩效管理专业知识，自评价工作还存在自我审定的局限性，影响评价质量。2.对项目支出绩效工作的认识</w:t>
      </w:r>
      <w:r>
        <w:rPr>
          <w:rFonts w:hint="eastAsia" w:ascii="仿宋_GB2312" w:hAnsi="仿宋_GB2312" w:eastAsia="仿宋_GB2312"/>
          <w:b w:val="0"/>
          <w:sz w:val="32"/>
          <w:lang w:eastAsia="zh-CN"/>
        </w:rPr>
        <w:t>有待</w:t>
      </w:r>
      <w:r>
        <w:rPr>
          <w:rFonts w:ascii="仿宋_GB2312" w:hAnsi="仿宋_GB2312" w:eastAsia="仿宋_GB2312"/>
          <w:b w:val="0"/>
          <w:sz w:val="32"/>
        </w:rPr>
        <w:t>提高，绩效目标设置需要进一步加强编制的合理性，在编制绩效目标支出绩效工作过程中，预算编制工作有待细化，预算编制不够明确和细化，整体绩效预算编制的合理性需要提高，预算执行力</w:t>
      </w:r>
      <w:r>
        <w:rPr>
          <w:rFonts w:hint="eastAsia" w:ascii="仿宋_GB2312" w:hAnsi="仿宋_GB2312" w:eastAsia="仿宋_GB2312"/>
          <w:b w:val="0"/>
          <w:sz w:val="32"/>
          <w:lang w:eastAsia="zh-CN"/>
        </w:rPr>
        <w:t>度</w:t>
      </w:r>
      <w:r>
        <w:rPr>
          <w:rFonts w:ascii="仿宋_GB2312" w:hAnsi="仿宋_GB2312" w:eastAsia="仿宋_GB2312"/>
          <w:b w:val="0"/>
          <w:sz w:val="32"/>
        </w:rPr>
        <w:t>还要进一步加强。绩效管理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缺乏科学、统一、完整的财政绩效评价指标体系，绩效管理缺乏约束和制度保障。下一步改进措施：1.多进行有关绩效管理工作方面的培训。积极组织第三方开展绩效管理工作培训，进一步夯实业务基础，提高</w:t>
      </w:r>
      <w:r>
        <w:rPr>
          <w:rFonts w:hint="eastAsia" w:ascii="仿宋_GB2312" w:hAnsi="仿宋_GB2312" w:eastAsia="仿宋_GB2312"/>
          <w:b w:val="0"/>
          <w:sz w:val="32"/>
          <w:lang w:eastAsia="zh-CN"/>
        </w:rPr>
        <w:t>本单位</w:t>
      </w:r>
      <w:r>
        <w:rPr>
          <w:rFonts w:ascii="仿宋_GB2312" w:hAnsi="仿宋_GB2312" w:eastAsia="仿宋_GB2312"/>
          <w:b w:val="0"/>
          <w:sz w:val="32"/>
        </w:rPr>
        <w:t>绩效人员水平。2.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3.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具体附整体支出绩效自评表，项目支出绩效自评表和评价报告。</w:t>
      </w:r>
    </w:p>
    <w:p w14:paraId="40E66A8C">
      <w:r>
        <w:br w:type="page"/>
      </w:r>
    </w:p>
    <w:tbl>
      <w:tblPr>
        <w:tblStyle w:val="9"/>
        <w:tblW w:w="0" w:type="auto"/>
        <w:tblInd w:w="0" w:type="dxa"/>
        <w:tblLayout w:type="fixed"/>
        <w:tblCellMar>
          <w:top w:w="0" w:type="dxa"/>
          <w:left w:w="108" w:type="dxa"/>
          <w:bottom w:w="0" w:type="dxa"/>
          <w:right w:w="108" w:type="dxa"/>
        </w:tblCellMar>
      </w:tblPr>
      <w:tblGrid>
        <w:gridCol w:w="1105"/>
        <w:gridCol w:w="1105"/>
        <w:gridCol w:w="1105"/>
        <w:gridCol w:w="1137"/>
        <w:gridCol w:w="576"/>
        <w:gridCol w:w="497"/>
        <w:gridCol w:w="1105"/>
        <w:gridCol w:w="1105"/>
        <w:gridCol w:w="1105"/>
      </w:tblGrid>
      <w:tr w14:paraId="349C24AF">
        <w:tblPrEx>
          <w:tblCellMar>
            <w:top w:w="0" w:type="dxa"/>
            <w:left w:w="108" w:type="dxa"/>
            <w:bottom w:w="0" w:type="dxa"/>
            <w:right w:w="108" w:type="dxa"/>
          </w:tblCellMar>
        </w:tblPrEx>
        <w:tc>
          <w:tcPr>
            <w:tcW w:w="8840" w:type="dxa"/>
            <w:gridSpan w:val="9"/>
            <w:vAlign w:val="center"/>
          </w:tcPr>
          <w:p w14:paraId="643CF629">
            <w:pPr>
              <w:jc w:val="center"/>
            </w:pPr>
            <w:r>
              <w:rPr>
                <w:rFonts w:ascii="宋体" w:hAnsi="宋体" w:eastAsia="宋体"/>
                <w:sz w:val="24"/>
              </w:rPr>
              <w:t>单位整体支出绩效自评表</w:t>
            </w:r>
          </w:p>
        </w:tc>
      </w:tr>
      <w:tr w14:paraId="70B70650">
        <w:tblPrEx>
          <w:tblCellMar>
            <w:top w:w="0" w:type="dxa"/>
            <w:left w:w="108" w:type="dxa"/>
            <w:bottom w:w="0" w:type="dxa"/>
            <w:right w:w="108" w:type="dxa"/>
          </w:tblCellMar>
        </w:tblPrEx>
        <w:tc>
          <w:tcPr>
            <w:tcW w:w="8840" w:type="dxa"/>
            <w:gridSpan w:val="9"/>
            <w:vAlign w:val="center"/>
          </w:tcPr>
          <w:p w14:paraId="4784B7CD">
            <w:pPr>
              <w:jc w:val="center"/>
            </w:pPr>
            <w:r>
              <w:rPr>
                <w:rFonts w:ascii="宋体" w:hAnsi="宋体" w:eastAsia="宋体"/>
                <w:sz w:val="24"/>
              </w:rPr>
              <w:t>（2024年度）</w:t>
            </w:r>
          </w:p>
        </w:tc>
      </w:tr>
      <w:tr w14:paraId="04CC725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28AD90">
            <w:pPr>
              <w:jc w:val="center"/>
            </w:pPr>
            <w:r>
              <w:rPr>
                <w:rFonts w:ascii="宋体" w:hAnsi="宋体" w:eastAsia="宋体"/>
                <w:sz w:val="16"/>
              </w:rPr>
              <w:t>单位名称</w:t>
            </w:r>
          </w:p>
        </w:tc>
        <w:tc>
          <w:tcPr>
            <w:tcW w:w="7735"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5B02D07">
            <w:pPr>
              <w:jc w:val="center"/>
            </w:pPr>
            <w:r>
              <w:rPr>
                <w:rFonts w:ascii="宋体" w:hAnsi="宋体" w:eastAsia="宋体"/>
                <w:sz w:val="16"/>
              </w:rPr>
              <w:t>霍尔果斯市国有资产监督管理局</w:t>
            </w:r>
          </w:p>
        </w:tc>
      </w:tr>
      <w:tr w14:paraId="50A8498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6C2FC9">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DD17B5">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95C5DF">
            <w:pPr>
              <w:jc w:val="center"/>
            </w:pPr>
            <w:r>
              <w:rPr>
                <w:rFonts w:ascii="宋体" w:hAnsi="宋体" w:eastAsia="宋体"/>
                <w:sz w:val="16"/>
              </w:rPr>
              <w:t>年初预算数</w:t>
            </w:r>
          </w:p>
        </w:tc>
        <w:tc>
          <w:tcPr>
            <w:tcW w:w="1137" w:type="dxa"/>
            <w:tcBorders>
              <w:top w:val="single" w:color="auto" w:sz="10" w:space="0"/>
              <w:left w:val="single" w:color="auto" w:sz="10" w:space="0"/>
              <w:bottom w:val="single" w:color="auto" w:sz="10" w:space="0"/>
              <w:right w:val="single" w:color="auto" w:sz="10" w:space="0"/>
              <w:insideV w:val="single" w:sz="10" w:space="0"/>
            </w:tcBorders>
            <w:vAlign w:val="center"/>
          </w:tcPr>
          <w:p w14:paraId="46486F66">
            <w:pPr>
              <w:jc w:val="center"/>
            </w:pPr>
            <w:r>
              <w:rPr>
                <w:rFonts w:ascii="宋体" w:hAnsi="宋体" w:eastAsia="宋体"/>
                <w:sz w:val="16"/>
              </w:rPr>
              <w:t>全年预算数</w:t>
            </w:r>
          </w:p>
        </w:tc>
        <w:tc>
          <w:tcPr>
            <w:tcW w:w="10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54004">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E384F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BE316F">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97C931">
            <w:pPr>
              <w:jc w:val="center"/>
            </w:pPr>
            <w:r>
              <w:rPr>
                <w:rFonts w:ascii="宋体" w:hAnsi="宋体" w:eastAsia="宋体"/>
                <w:sz w:val="16"/>
              </w:rPr>
              <w:t>得分</w:t>
            </w:r>
          </w:p>
        </w:tc>
      </w:tr>
      <w:tr w14:paraId="1FBB23E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E802C6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C4631D">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D5C56E">
            <w:pPr>
              <w:jc w:val="center"/>
            </w:pPr>
            <w:r>
              <w:rPr>
                <w:rFonts w:ascii="宋体" w:hAnsi="宋体" w:eastAsia="宋体"/>
                <w:sz w:val="16"/>
              </w:rPr>
              <w:t>161.33</w:t>
            </w:r>
          </w:p>
        </w:tc>
        <w:tc>
          <w:tcPr>
            <w:tcW w:w="1137" w:type="dxa"/>
            <w:tcBorders>
              <w:top w:val="single" w:color="auto" w:sz="10" w:space="0"/>
              <w:left w:val="single" w:color="auto" w:sz="10" w:space="0"/>
              <w:bottom w:val="single" w:color="auto" w:sz="10" w:space="0"/>
              <w:right w:val="single" w:color="auto" w:sz="10" w:space="0"/>
              <w:insideV w:val="single" w:sz="10" w:space="0"/>
            </w:tcBorders>
            <w:vAlign w:val="center"/>
          </w:tcPr>
          <w:p w14:paraId="2EAEC42A">
            <w:pPr>
              <w:jc w:val="center"/>
            </w:pPr>
            <w:r>
              <w:rPr>
                <w:rFonts w:ascii="宋体" w:hAnsi="宋体" w:eastAsia="宋体"/>
                <w:sz w:val="16"/>
              </w:rPr>
              <w:t>54,424.06</w:t>
            </w:r>
          </w:p>
        </w:tc>
        <w:tc>
          <w:tcPr>
            <w:tcW w:w="10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63608">
            <w:pPr>
              <w:jc w:val="center"/>
            </w:pPr>
            <w:r>
              <w:rPr>
                <w:rFonts w:ascii="宋体" w:hAnsi="宋体" w:eastAsia="宋体"/>
                <w:sz w:val="16"/>
              </w:rPr>
              <w:t>54,424.06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3AFA71">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5F19EB">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38B15E">
            <w:pPr>
              <w:jc w:val="center"/>
            </w:pPr>
            <w:r>
              <w:rPr>
                <w:rFonts w:ascii="宋体" w:hAnsi="宋体" w:eastAsia="宋体"/>
                <w:sz w:val="16"/>
              </w:rPr>
              <w:t>10</w:t>
            </w:r>
          </w:p>
        </w:tc>
      </w:tr>
      <w:tr w14:paraId="5E44A0E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AC96AA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E722C2">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04AC69">
            <w:pPr>
              <w:jc w:val="center"/>
            </w:pPr>
            <w:r>
              <w:rPr>
                <w:rFonts w:ascii="宋体" w:hAnsi="宋体" w:eastAsia="宋体"/>
                <w:sz w:val="16"/>
              </w:rPr>
              <w:t>0.00</w:t>
            </w:r>
          </w:p>
        </w:tc>
        <w:tc>
          <w:tcPr>
            <w:tcW w:w="1137" w:type="dxa"/>
            <w:tcBorders>
              <w:top w:val="single" w:color="auto" w:sz="10" w:space="0"/>
              <w:left w:val="single" w:color="auto" w:sz="10" w:space="0"/>
              <w:bottom w:val="single" w:color="auto" w:sz="10" w:space="0"/>
              <w:right w:val="single" w:color="auto" w:sz="10" w:space="0"/>
              <w:insideV w:val="single" w:sz="10" w:space="0"/>
            </w:tcBorders>
            <w:vAlign w:val="center"/>
          </w:tcPr>
          <w:p w14:paraId="15A10798">
            <w:pPr>
              <w:jc w:val="center"/>
            </w:pPr>
            <w:r>
              <w:rPr>
                <w:rFonts w:ascii="宋体" w:hAnsi="宋体" w:eastAsia="宋体"/>
                <w:sz w:val="16"/>
              </w:rPr>
              <w:t>0.00</w:t>
            </w:r>
          </w:p>
        </w:tc>
        <w:tc>
          <w:tcPr>
            <w:tcW w:w="10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89BB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42D42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DA423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0CAB3F">
            <w:pPr>
              <w:jc w:val="center"/>
            </w:pPr>
            <w:r>
              <w:rPr>
                <w:rFonts w:ascii="宋体" w:hAnsi="宋体" w:eastAsia="宋体"/>
                <w:sz w:val="16"/>
              </w:rPr>
              <w:t>-</w:t>
            </w:r>
          </w:p>
        </w:tc>
      </w:tr>
      <w:tr w14:paraId="4562946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17DD37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0A4E0E">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4C4E09">
            <w:pPr>
              <w:jc w:val="center"/>
            </w:pPr>
            <w:r>
              <w:rPr>
                <w:rFonts w:ascii="宋体" w:hAnsi="宋体" w:eastAsia="宋体"/>
                <w:sz w:val="16"/>
              </w:rPr>
              <w:t>161.33</w:t>
            </w:r>
          </w:p>
        </w:tc>
        <w:tc>
          <w:tcPr>
            <w:tcW w:w="1137" w:type="dxa"/>
            <w:tcBorders>
              <w:top w:val="single" w:color="auto" w:sz="10" w:space="0"/>
              <w:left w:val="single" w:color="auto" w:sz="10" w:space="0"/>
              <w:bottom w:val="single" w:color="auto" w:sz="10" w:space="0"/>
              <w:right w:val="single" w:color="auto" w:sz="10" w:space="0"/>
              <w:insideV w:val="single" w:sz="10" w:space="0"/>
            </w:tcBorders>
            <w:vAlign w:val="center"/>
          </w:tcPr>
          <w:p w14:paraId="3E96E278">
            <w:pPr>
              <w:jc w:val="center"/>
            </w:pPr>
            <w:r>
              <w:rPr>
                <w:rFonts w:ascii="宋体" w:hAnsi="宋体" w:eastAsia="宋体"/>
                <w:sz w:val="16"/>
              </w:rPr>
              <w:t>54,424.06</w:t>
            </w:r>
          </w:p>
        </w:tc>
        <w:tc>
          <w:tcPr>
            <w:tcW w:w="10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9DEAF">
            <w:pPr>
              <w:jc w:val="center"/>
            </w:pPr>
            <w:r>
              <w:rPr>
                <w:rFonts w:ascii="宋体" w:hAnsi="宋体" w:eastAsia="宋体"/>
                <w:sz w:val="16"/>
              </w:rPr>
              <w:t>54,424.06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3AFAC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D98EC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BBC8C0">
            <w:pPr>
              <w:jc w:val="center"/>
            </w:pPr>
            <w:r>
              <w:rPr>
                <w:rFonts w:ascii="宋体" w:hAnsi="宋体" w:eastAsia="宋体"/>
                <w:sz w:val="16"/>
              </w:rPr>
              <w:t>-</w:t>
            </w:r>
          </w:p>
        </w:tc>
      </w:tr>
      <w:tr w14:paraId="302C761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86F5C1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38926B">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3B409D">
            <w:pPr>
              <w:jc w:val="center"/>
            </w:pPr>
            <w:r>
              <w:rPr>
                <w:rFonts w:ascii="宋体" w:hAnsi="宋体" w:eastAsia="宋体"/>
                <w:sz w:val="16"/>
              </w:rPr>
              <w:t>0.00</w:t>
            </w:r>
          </w:p>
        </w:tc>
        <w:tc>
          <w:tcPr>
            <w:tcW w:w="1137" w:type="dxa"/>
            <w:tcBorders>
              <w:top w:val="single" w:color="auto" w:sz="10" w:space="0"/>
              <w:left w:val="single" w:color="auto" w:sz="10" w:space="0"/>
              <w:bottom w:val="single" w:color="auto" w:sz="10" w:space="0"/>
              <w:right w:val="single" w:color="auto" w:sz="10" w:space="0"/>
              <w:insideV w:val="single" w:sz="10" w:space="0"/>
            </w:tcBorders>
            <w:vAlign w:val="center"/>
          </w:tcPr>
          <w:p w14:paraId="0FD583CE">
            <w:pPr>
              <w:jc w:val="center"/>
            </w:pPr>
            <w:r>
              <w:rPr>
                <w:rFonts w:ascii="宋体" w:hAnsi="宋体" w:eastAsia="宋体"/>
                <w:sz w:val="16"/>
              </w:rPr>
              <w:t>0.00</w:t>
            </w:r>
          </w:p>
        </w:tc>
        <w:tc>
          <w:tcPr>
            <w:tcW w:w="10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B1C2C">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9110A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BF861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44514D">
            <w:pPr>
              <w:jc w:val="center"/>
            </w:pPr>
            <w:r>
              <w:rPr>
                <w:rFonts w:ascii="宋体" w:hAnsi="宋体" w:eastAsia="宋体"/>
                <w:sz w:val="16"/>
              </w:rPr>
              <w:t>-</w:t>
            </w:r>
          </w:p>
        </w:tc>
      </w:tr>
      <w:tr w14:paraId="67019B4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77133B">
            <w:pPr>
              <w:jc w:val="center"/>
            </w:pPr>
            <w:r>
              <w:rPr>
                <w:rFonts w:ascii="宋体" w:hAnsi="宋体" w:eastAsia="宋体"/>
                <w:sz w:val="16"/>
              </w:rPr>
              <w:t>年度总体目标</w:t>
            </w:r>
          </w:p>
        </w:tc>
        <w:tc>
          <w:tcPr>
            <w:tcW w:w="334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3DA49F5">
            <w:pPr>
              <w:jc w:val="center"/>
            </w:pPr>
            <w:r>
              <w:rPr>
                <w:rFonts w:ascii="宋体" w:hAnsi="宋体" w:eastAsia="宋体"/>
                <w:sz w:val="16"/>
              </w:rPr>
              <w:t>预期目标</w:t>
            </w:r>
          </w:p>
        </w:tc>
        <w:tc>
          <w:tcPr>
            <w:tcW w:w="438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FB6F5A">
            <w:pPr>
              <w:jc w:val="center"/>
            </w:pPr>
            <w:r>
              <w:rPr>
                <w:rFonts w:ascii="宋体" w:hAnsi="宋体" w:eastAsia="宋体"/>
                <w:sz w:val="16"/>
              </w:rPr>
              <w:t>实际完成情况</w:t>
            </w:r>
          </w:p>
        </w:tc>
      </w:tr>
      <w:tr w14:paraId="1D66633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934C3F4"/>
        </w:tc>
        <w:tc>
          <w:tcPr>
            <w:tcW w:w="3923"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51A428">
            <w:pPr>
              <w:jc w:val="both"/>
            </w:pPr>
            <w:r>
              <w:rPr>
                <w:rFonts w:ascii="宋体" w:hAnsi="宋体" w:eastAsia="宋体"/>
                <w:sz w:val="16"/>
              </w:rPr>
              <w:t>市国有资产监督管理局代表市人民政府履行出资人职责的直属特设机构。履行国有企业出资人职责、专司国有资产监管职责、负责国有企业党的建设工作职责。推动国有企业发展、深化国有企业改革、加强国有资产监管、抓好党的领</w:t>
            </w:r>
            <w:r>
              <w:rPr>
                <w:rFonts w:hint="eastAsia" w:ascii="宋体" w:hAnsi="宋体"/>
                <w:sz w:val="16"/>
                <w:lang w:eastAsia="zh-CN"/>
              </w:rPr>
              <w:t>导和</w:t>
            </w:r>
            <w:r>
              <w:rPr>
                <w:rFonts w:ascii="宋体" w:hAnsi="宋体" w:eastAsia="宋体"/>
                <w:sz w:val="16"/>
              </w:rPr>
              <w:t>党的建设。市国资局机关核定内设科室3个（综合办公室、财务与绩效考核科、产权〈股权〉管理科），实有6人；核定领导职数2名，实有2名。2023年总体目标有：</w:t>
            </w:r>
            <w:r>
              <w:rPr>
                <w:rFonts w:ascii="宋体" w:hAnsi="宋体" w:eastAsia="宋体"/>
                <w:sz w:val="16"/>
              </w:rPr>
              <w:br w:type="textWrapping"/>
            </w:r>
            <w:r>
              <w:rPr>
                <w:rFonts w:ascii="宋体" w:hAnsi="宋体" w:eastAsia="宋体"/>
                <w:sz w:val="16"/>
              </w:rPr>
              <w:t>基本支出：运转保障支出,商品和服务支出等保障性支出6.32万元，保障日常工作运转、提高工作效率和质量。为提高企业员工的综合素质，激发全体员工的积极性、创造性，增强全体员工对企</w:t>
            </w:r>
            <w:r>
              <w:rPr>
                <w:rFonts w:hint="eastAsia" w:ascii="宋体" w:hAnsi="宋体"/>
                <w:sz w:val="16"/>
                <w:lang w:eastAsia="zh-CN"/>
              </w:rPr>
              <w:t>业的</w:t>
            </w:r>
            <w:r>
              <w:rPr>
                <w:rFonts w:ascii="宋体" w:hAnsi="宋体" w:eastAsia="宋体"/>
                <w:sz w:val="16"/>
              </w:rPr>
              <w:t>使命感和职责心，更好</w:t>
            </w:r>
            <w:r>
              <w:rPr>
                <w:rFonts w:hint="eastAsia" w:ascii="宋体" w:hAnsi="宋体"/>
                <w:sz w:val="16"/>
                <w:lang w:eastAsia="zh-CN"/>
              </w:rPr>
              <w:t>地</w:t>
            </w:r>
            <w:r>
              <w:rPr>
                <w:rFonts w:ascii="宋体" w:hAnsi="宋体" w:eastAsia="宋体"/>
                <w:sz w:val="16"/>
              </w:rPr>
              <w:t>适应市场变化和企业管理要求；主要用于国有企业员工培训，预计培训人数50人左右，全年大概培训2场次，提升企业员工综合素质。为促进国有资产的有效使用和合理流动，保障资产在运营中达到结构优化配置，提高资产整体效益，合理处置行政事业单位资产减少国有资产的流失，本项目主要用于国有企业专项审计，能够清楚</w:t>
            </w:r>
            <w:r>
              <w:rPr>
                <w:rFonts w:hint="eastAsia" w:ascii="宋体" w:hAnsi="宋体"/>
                <w:sz w:val="16"/>
                <w:lang w:eastAsia="zh-CN"/>
              </w:rPr>
              <w:t>地</w:t>
            </w:r>
            <w:r>
              <w:rPr>
                <w:rFonts w:ascii="宋体" w:hAnsi="宋体" w:eastAsia="宋体"/>
                <w:sz w:val="16"/>
              </w:rPr>
              <w:t>展现企业运营情况，确保国有资产保值增值。</w:t>
            </w:r>
          </w:p>
        </w:tc>
        <w:tc>
          <w:tcPr>
            <w:tcW w:w="381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B40C6E">
            <w:pPr>
              <w:jc w:val="both"/>
            </w:pPr>
            <w:r>
              <w:rPr>
                <w:rFonts w:ascii="宋体" w:hAnsi="宋体" w:eastAsia="宋体"/>
                <w:sz w:val="16"/>
              </w:rPr>
              <w:t>完成2024年重点工作：一是国有企业员工培训，预计培训人数50人左右，全年大概培训2场次，为提高企业员工的综合素质，激发全体员工的积极性、创造性，增强全体员工对企业使命感和职责心，</w:t>
            </w:r>
            <w:r>
              <w:rPr>
                <w:rFonts w:hint="eastAsia" w:ascii="宋体" w:hAnsi="宋体"/>
                <w:sz w:val="16"/>
                <w:lang w:eastAsia="zh-CN"/>
              </w:rPr>
              <w:t>更好地</w:t>
            </w:r>
            <w:r>
              <w:rPr>
                <w:rFonts w:ascii="宋体" w:hAnsi="宋体" w:eastAsia="宋体"/>
                <w:sz w:val="16"/>
              </w:rPr>
              <w:t>适应市场变化和企业管理要求。二是国有企业专项审计项目，合同价30.4万元。主要</w:t>
            </w:r>
            <w:r>
              <w:rPr>
                <w:rFonts w:hint="eastAsia" w:ascii="宋体" w:hAnsi="宋体"/>
                <w:sz w:val="16"/>
                <w:lang w:eastAsia="zh-CN"/>
              </w:rPr>
              <w:t>用于</w:t>
            </w:r>
            <w:r>
              <w:rPr>
                <w:rFonts w:ascii="宋体" w:hAnsi="宋体" w:eastAsia="宋体"/>
                <w:sz w:val="16"/>
              </w:rPr>
              <w:t>促进国有资产的有效使用和合理流动，保障资产在运营中达到结构优化配置，提高资产整体效益，合理处置行政事业单位资产减少国有资产的流失，能够清楚</w:t>
            </w:r>
            <w:r>
              <w:rPr>
                <w:rFonts w:hint="eastAsia" w:ascii="宋体" w:hAnsi="宋体"/>
                <w:sz w:val="16"/>
                <w:lang w:eastAsia="zh-CN"/>
              </w:rPr>
              <w:t>地</w:t>
            </w:r>
            <w:r>
              <w:rPr>
                <w:rFonts w:ascii="宋体" w:hAnsi="宋体" w:eastAsia="宋体"/>
                <w:sz w:val="16"/>
              </w:rPr>
              <w:t>展现企业运营情况，确保国有资产保值增值。</w:t>
            </w:r>
          </w:p>
        </w:tc>
      </w:tr>
      <w:tr w14:paraId="7BEA6F4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973B18">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BBC961">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F81D47">
            <w:pPr>
              <w:jc w:val="center"/>
            </w:pPr>
            <w:r>
              <w:rPr>
                <w:rFonts w:ascii="宋体" w:hAnsi="宋体" w:eastAsia="宋体"/>
                <w:sz w:val="16"/>
              </w:rPr>
              <w:t>三级指标</w:t>
            </w:r>
          </w:p>
        </w:tc>
        <w:tc>
          <w:tcPr>
            <w:tcW w:w="1137" w:type="dxa"/>
            <w:tcBorders>
              <w:top w:val="single" w:color="auto" w:sz="10" w:space="0"/>
              <w:left w:val="single" w:color="auto" w:sz="10" w:space="0"/>
              <w:bottom w:val="single" w:color="auto" w:sz="10" w:space="0"/>
              <w:right w:val="single" w:color="auto" w:sz="10" w:space="0"/>
              <w:insideV w:val="single" w:sz="10" w:space="0"/>
            </w:tcBorders>
            <w:vAlign w:val="center"/>
          </w:tcPr>
          <w:p w14:paraId="325924D5">
            <w:pPr>
              <w:jc w:val="center"/>
            </w:pPr>
            <w:r>
              <w:rPr>
                <w:rFonts w:ascii="宋体" w:hAnsi="宋体" w:eastAsia="宋体"/>
                <w:sz w:val="16"/>
              </w:rPr>
              <w:t>预期指标值</w:t>
            </w:r>
          </w:p>
        </w:tc>
        <w:tc>
          <w:tcPr>
            <w:tcW w:w="10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CCD4F">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C22E69">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639A42">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C18B24">
            <w:pPr>
              <w:jc w:val="center"/>
            </w:pPr>
            <w:r>
              <w:rPr>
                <w:rFonts w:ascii="宋体" w:hAnsi="宋体" w:eastAsia="宋体"/>
                <w:sz w:val="16"/>
              </w:rPr>
              <w:t>得分</w:t>
            </w:r>
          </w:p>
        </w:tc>
      </w:tr>
      <w:tr w14:paraId="3599A3D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B7A81A">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8C3273">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687FEF">
            <w:pPr>
              <w:jc w:val="center"/>
            </w:pPr>
            <w:r>
              <w:rPr>
                <w:rFonts w:ascii="宋体" w:hAnsi="宋体" w:eastAsia="宋体"/>
                <w:sz w:val="16"/>
              </w:rPr>
              <w:t>国资监管企业数量</w:t>
            </w:r>
          </w:p>
        </w:tc>
        <w:tc>
          <w:tcPr>
            <w:tcW w:w="1137" w:type="dxa"/>
            <w:tcBorders>
              <w:top w:val="single" w:color="auto" w:sz="10" w:space="0"/>
              <w:left w:val="single" w:color="auto" w:sz="10" w:space="0"/>
              <w:bottom w:val="single" w:color="auto" w:sz="10" w:space="0"/>
              <w:right w:val="single" w:color="auto" w:sz="10" w:space="0"/>
              <w:insideV w:val="single" w:sz="10" w:space="0"/>
            </w:tcBorders>
            <w:vAlign w:val="center"/>
          </w:tcPr>
          <w:p w14:paraId="0DFB225F">
            <w:pPr>
              <w:jc w:val="center"/>
            </w:pPr>
            <w:r>
              <w:rPr>
                <w:rFonts w:ascii="宋体" w:hAnsi="宋体" w:eastAsia="宋体"/>
                <w:sz w:val="16"/>
              </w:rPr>
              <w:t>=6家</w:t>
            </w:r>
          </w:p>
        </w:tc>
        <w:tc>
          <w:tcPr>
            <w:tcW w:w="10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77DB2">
            <w:pPr>
              <w:jc w:val="center"/>
            </w:pPr>
            <w:r>
              <w:rPr>
                <w:rFonts w:ascii="宋体" w:hAnsi="宋体" w:eastAsia="宋体"/>
                <w:sz w:val="16"/>
              </w:rPr>
              <w:t>霍尔果斯市国资局工作职责</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001A24">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1DCC03">
            <w:pPr>
              <w:jc w:val="center"/>
            </w:pPr>
            <w:r>
              <w:rPr>
                <w:rFonts w:ascii="宋体" w:hAnsi="宋体" w:eastAsia="宋体"/>
                <w:sz w:val="16"/>
              </w:rPr>
              <w:t>6家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6AFA43">
            <w:pPr>
              <w:jc w:val="center"/>
            </w:pPr>
            <w:r>
              <w:rPr>
                <w:rFonts w:ascii="宋体" w:hAnsi="宋体" w:eastAsia="宋体"/>
                <w:sz w:val="16"/>
              </w:rPr>
              <w:t>25</w:t>
            </w:r>
          </w:p>
        </w:tc>
      </w:tr>
      <w:tr w14:paraId="6A33E07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6793D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3AE3B4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5FC4C3">
            <w:pPr>
              <w:jc w:val="center"/>
            </w:pPr>
            <w:r>
              <w:rPr>
                <w:rFonts w:ascii="宋体" w:hAnsi="宋体" w:eastAsia="宋体"/>
                <w:sz w:val="16"/>
              </w:rPr>
              <w:t>国企员工培训次数</w:t>
            </w:r>
          </w:p>
        </w:tc>
        <w:tc>
          <w:tcPr>
            <w:tcW w:w="1137" w:type="dxa"/>
            <w:tcBorders>
              <w:top w:val="single" w:color="auto" w:sz="10" w:space="0"/>
              <w:left w:val="single" w:color="auto" w:sz="10" w:space="0"/>
              <w:bottom w:val="single" w:color="auto" w:sz="10" w:space="0"/>
              <w:right w:val="single" w:color="auto" w:sz="10" w:space="0"/>
              <w:insideV w:val="single" w:sz="10" w:space="0"/>
            </w:tcBorders>
            <w:vAlign w:val="center"/>
          </w:tcPr>
          <w:p w14:paraId="743084DB">
            <w:pPr>
              <w:jc w:val="center"/>
            </w:pPr>
            <w:r>
              <w:rPr>
                <w:rFonts w:ascii="宋体" w:hAnsi="宋体" w:eastAsia="宋体"/>
                <w:sz w:val="16"/>
              </w:rPr>
              <w:t>&gt;=2次</w:t>
            </w:r>
          </w:p>
        </w:tc>
        <w:tc>
          <w:tcPr>
            <w:tcW w:w="10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C1963">
            <w:pPr>
              <w:jc w:val="center"/>
            </w:pPr>
            <w:r>
              <w:rPr>
                <w:rFonts w:ascii="宋体" w:hAnsi="宋体" w:eastAsia="宋体"/>
                <w:sz w:val="16"/>
              </w:rPr>
              <w:t>霍尔果斯市国有资产监督管理局2023年2024年工作计划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DB225A">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AF2224">
            <w:pPr>
              <w:jc w:val="center"/>
            </w:pPr>
            <w:r>
              <w:rPr>
                <w:rFonts w:ascii="宋体" w:hAnsi="宋体" w:eastAsia="宋体"/>
                <w:sz w:val="16"/>
              </w:rPr>
              <w: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4F7C8A">
            <w:pPr>
              <w:jc w:val="center"/>
            </w:pPr>
            <w:r>
              <w:rPr>
                <w:rFonts w:ascii="宋体" w:hAnsi="宋体" w:eastAsia="宋体"/>
                <w:sz w:val="16"/>
              </w:rPr>
              <w:t>25</w:t>
            </w:r>
          </w:p>
        </w:tc>
      </w:tr>
      <w:tr w14:paraId="62A1B73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B2B0D3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3D1152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05C51A">
            <w:pPr>
              <w:jc w:val="center"/>
            </w:pPr>
            <w:r>
              <w:rPr>
                <w:rFonts w:ascii="宋体" w:hAnsi="宋体" w:eastAsia="宋体"/>
                <w:sz w:val="16"/>
              </w:rPr>
              <w:t>完成企业专项项目审计率</w:t>
            </w:r>
          </w:p>
        </w:tc>
        <w:tc>
          <w:tcPr>
            <w:tcW w:w="1137" w:type="dxa"/>
            <w:tcBorders>
              <w:top w:val="single" w:color="auto" w:sz="10" w:space="0"/>
              <w:left w:val="single" w:color="auto" w:sz="10" w:space="0"/>
              <w:bottom w:val="single" w:color="auto" w:sz="10" w:space="0"/>
              <w:right w:val="single" w:color="auto" w:sz="10" w:space="0"/>
              <w:insideV w:val="single" w:sz="10" w:space="0"/>
            </w:tcBorders>
            <w:vAlign w:val="center"/>
          </w:tcPr>
          <w:p w14:paraId="08C4F2E9">
            <w:pPr>
              <w:jc w:val="center"/>
            </w:pPr>
            <w:r>
              <w:rPr>
                <w:rFonts w:ascii="宋体" w:hAnsi="宋体" w:eastAsia="宋体"/>
                <w:sz w:val="16"/>
              </w:rPr>
              <w:t>=100%</w:t>
            </w:r>
          </w:p>
        </w:tc>
        <w:tc>
          <w:tcPr>
            <w:tcW w:w="10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7F3EE">
            <w:pPr>
              <w:jc w:val="center"/>
            </w:pPr>
            <w:r>
              <w:rPr>
                <w:rFonts w:ascii="宋体" w:hAnsi="宋体" w:eastAsia="宋体"/>
                <w:sz w:val="16"/>
              </w:rPr>
              <w:t>霍尔果斯市国有资产监督管理局2023年2024年工作计划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B35DA2">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169E74">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14D2F6">
            <w:pPr>
              <w:jc w:val="center"/>
            </w:pPr>
            <w:r>
              <w:rPr>
                <w:rFonts w:ascii="宋体" w:hAnsi="宋体" w:eastAsia="宋体"/>
                <w:sz w:val="16"/>
              </w:rPr>
              <w:t>15</w:t>
            </w:r>
          </w:p>
        </w:tc>
      </w:tr>
      <w:tr w14:paraId="1EB44AE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061E45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5BF790">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C095D4">
            <w:pPr>
              <w:jc w:val="center"/>
            </w:pPr>
            <w:r>
              <w:rPr>
                <w:rFonts w:ascii="宋体" w:hAnsi="宋体" w:eastAsia="宋体"/>
                <w:sz w:val="16"/>
              </w:rPr>
              <w:t>修订完善</w:t>
            </w:r>
            <w:r>
              <w:rPr>
                <w:rFonts w:hint="eastAsia" w:ascii="宋体" w:hAnsi="宋体"/>
                <w:sz w:val="16"/>
                <w:lang w:eastAsia="zh-CN"/>
              </w:rPr>
              <w:t>国有资产监督管理</w:t>
            </w:r>
            <w:r>
              <w:rPr>
                <w:rFonts w:ascii="宋体" w:hAnsi="宋体" w:eastAsia="宋体"/>
                <w:sz w:val="16"/>
              </w:rPr>
              <w:t>办法数量</w:t>
            </w:r>
          </w:p>
        </w:tc>
        <w:tc>
          <w:tcPr>
            <w:tcW w:w="1137" w:type="dxa"/>
            <w:tcBorders>
              <w:top w:val="single" w:color="auto" w:sz="10" w:space="0"/>
              <w:left w:val="single" w:color="auto" w:sz="10" w:space="0"/>
              <w:bottom w:val="single" w:color="auto" w:sz="10" w:space="0"/>
              <w:right w:val="single" w:color="auto" w:sz="10" w:space="0"/>
              <w:insideV w:val="single" w:sz="10" w:space="0"/>
            </w:tcBorders>
            <w:vAlign w:val="center"/>
          </w:tcPr>
          <w:p w14:paraId="3A7692F8">
            <w:pPr>
              <w:jc w:val="center"/>
            </w:pPr>
            <w:r>
              <w:rPr>
                <w:rFonts w:ascii="宋体" w:hAnsi="宋体" w:eastAsia="宋体"/>
                <w:sz w:val="16"/>
              </w:rPr>
              <w:t>=1个</w:t>
            </w:r>
          </w:p>
        </w:tc>
        <w:tc>
          <w:tcPr>
            <w:tcW w:w="10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81CF8">
            <w:pPr>
              <w:jc w:val="center"/>
            </w:pPr>
            <w:r>
              <w:rPr>
                <w:rFonts w:ascii="宋体" w:hAnsi="宋体" w:eastAsia="宋体"/>
                <w:sz w:val="16"/>
              </w:rPr>
              <w:t>霍尔果斯市国有资产监督管理局2023年2024年工作计划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73EE5E">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C3FC65">
            <w:pPr>
              <w:jc w:val="center"/>
            </w:pPr>
            <w:r>
              <w:rPr>
                <w:rFonts w:ascii="宋体" w:hAnsi="宋体" w:eastAsia="宋体"/>
                <w:sz w:val="16"/>
              </w:rPr>
              <w: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0132DE">
            <w:pPr>
              <w:jc w:val="center"/>
            </w:pPr>
            <w:r>
              <w:rPr>
                <w:rFonts w:ascii="宋体" w:hAnsi="宋体" w:eastAsia="宋体"/>
                <w:sz w:val="16"/>
              </w:rPr>
              <w:t>25</w:t>
            </w:r>
          </w:p>
        </w:tc>
      </w:tr>
    </w:tbl>
    <w:p w14:paraId="7C0DD1EF">
      <w:r>
        <w:br w:type="page"/>
      </w:r>
    </w:p>
    <w:tbl>
      <w:tblPr>
        <w:tblStyle w:val="9"/>
        <w:tblW w:w="0" w:type="auto"/>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54"/>
        <w:gridCol w:w="504"/>
        <w:gridCol w:w="563"/>
        <w:gridCol w:w="1046"/>
        <w:gridCol w:w="764"/>
        <w:gridCol w:w="914"/>
        <w:gridCol w:w="740"/>
        <w:gridCol w:w="519"/>
        <w:gridCol w:w="531"/>
        <w:gridCol w:w="481"/>
        <w:gridCol w:w="668"/>
        <w:gridCol w:w="528"/>
        <w:gridCol w:w="461"/>
        <w:gridCol w:w="789"/>
      </w:tblGrid>
      <w:tr w14:paraId="4CD28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20" w:hRule="atLeast"/>
        </w:trPr>
        <w:tc>
          <w:tcPr>
            <w:tcW w:w="0" w:type="auto"/>
            <w:gridSpan w:val="14"/>
            <w:tcBorders>
              <w:top w:val="nil"/>
              <w:left w:val="nil"/>
              <w:bottom w:val="nil"/>
              <w:right w:val="nil"/>
            </w:tcBorders>
            <w:shd w:val="clear" w:color="auto" w:fill="auto"/>
            <w:vAlign w:val="center"/>
          </w:tcPr>
          <w:p w14:paraId="2033CDB8">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1EBD8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1FABCB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7F3C75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4BB44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项目名称</w:t>
            </w:r>
          </w:p>
        </w:tc>
        <w:tc>
          <w:tcPr>
            <w:tcW w:w="0" w:type="auto"/>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D8653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国资国企改革项目和2023年年度审计项目</w:t>
            </w:r>
          </w:p>
        </w:tc>
      </w:tr>
      <w:tr w14:paraId="2F055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2BD9B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FB710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霍尔果斯市国有资产监督管理局</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9DD45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实施单位</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D9987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霍尔果斯市国有资产监督管理局</w:t>
            </w:r>
          </w:p>
        </w:tc>
      </w:tr>
      <w:tr w14:paraId="14B001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99BF4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项目资金</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（万元）</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8DE683">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C74C8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045DC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F8471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全年执行数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49EA7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E8F67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B5C34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r>
      <w:tr w14:paraId="48A9E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431C69">
            <w:pPr>
              <w:jc w:val="center"/>
              <w:rPr>
                <w:rFonts w:hint="eastAsia" w:ascii="宋体" w:hAnsi="宋体" w:eastAsia="宋体" w:cs="宋体"/>
                <w:b/>
                <w:bCs/>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9D94D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9FDC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A1DE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30.4</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344B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30.40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094A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7B21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D789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w:t>
            </w:r>
          </w:p>
        </w:tc>
      </w:tr>
      <w:tr w14:paraId="26AB3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1DCD62">
            <w:pPr>
              <w:jc w:val="center"/>
              <w:rPr>
                <w:rFonts w:hint="eastAsia" w:ascii="宋体" w:hAnsi="宋体" w:eastAsia="宋体" w:cs="宋体"/>
                <w:b/>
                <w:bCs/>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44B17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其中：当年财政拨款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36E6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56DA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30.4</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E250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30.4</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9E4E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3E30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DF72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55E7FD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2C73E7">
            <w:pPr>
              <w:jc w:val="center"/>
              <w:rPr>
                <w:rFonts w:hint="eastAsia" w:ascii="宋体" w:hAnsi="宋体" w:eastAsia="宋体" w:cs="宋体"/>
                <w:b/>
                <w:bCs/>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02397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  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0DD8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AE30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7BDAC4">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B8BE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211E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154F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428ADD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5C504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年度总体目标</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3FAC2D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预期目标</w:t>
            </w:r>
          </w:p>
        </w:tc>
        <w:tc>
          <w:tcPr>
            <w:tcW w:w="0" w:type="auto"/>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7CE595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实际完成情况</w:t>
            </w:r>
          </w:p>
        </w:tc>
      </w:tr>
      <w:tr w14:paraId="2FC5C3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9F3A57">
            <w:pPr>
              <w:jc w:val="center"/>
              <w:rPr>
                <w:rFonts w:hint="eastAsia" w:ascii="宋体" w:hAnsi="宋体" w:eastAsia="宋体" w:cs="宋体"/>
                <w:b/>
                <w:bCs/>
                <w:i w:val="0"/>
                <w:iCs w:val="0"/>
                <w:color w:val="000000"/>
                <w:sz w:val="18"/>
                <w:szCs w:val="18"/>
                <w:u w:val="none"/>
              </w:rPr>
            </w:pP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24D91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为提高企业员工的综合素质，激发全体员工的积极性、创造性，增强全体员工对企业使命感和职责心，更好地适应市场变化和企业管理要求；主要用于国有企业员工培训，全年大概培训2场次，提升企业员工综合素质。为促进国有资产的有效使用和合理流动，保障资产在运营中达到结构优化配置，提高资产整体效益，合理处置行政事业单位资产减少国有资产的流失，本项目主要用于国有企业评估、清算、专项审计项目等，能够清楚地展现企业运营情况，确保国有资产保值增值。</w:t>
            </w:r>
          </w:p>
        </w:tc>
        <w:tc>
          <w:tcPr>
            <w:tcW w:w="0" w:type="auto"/>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654B1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是国有企业专项审计工作已全部完成；二是本年国有企业员工培训已全部完成，全年共培训2场次，培训人数达到50人左右，提高企业员工的综合素质，激发全体员工的积极性、创造性，增强全体员工对企业使命感和职责心。</w:t>
            </w:r>
          </w:p>
        </w:tc>
      </w:tr>
      <w:tr w14:paraId="033BD0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656A20">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76908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CCE22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FFE0C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D4EF1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权重</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D77E5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目标值</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5CE4D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业绩值</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1D4BE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完成率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6CB2A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指标得分</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47FCE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指标值设定依据</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56C0C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上年完成情况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507E3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赋分规则</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74511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佐证资料</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5437A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偏差原因分析及改进措施</w:t>
            </w:r>
          </w:p>
        </w:tc>
      </w:tr>
      <w:tr w14:paraId="6A24AA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65327D">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AC102B">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0D666A">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3B8DFC">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E5FCE6">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7C23F1">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7A1730">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290B09">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AE6CC7">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AA61A5">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D09B31">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86EBBE">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D67E49">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D45B18">
            <w:pPr>
              <w:jc w:val="center"/>
              <w:rPr>
                <w:rFonts w:hint="eastAsia" w:ascii="宋体" w:hAnsi="宋体" w:eastAsia="宋体" w:cs="宋体"/>
                <w:b/>
                <w:bCs/>
                <w:i w:val="0"/>
                <w:iCs w:val="0"/>
                <w:color w:val="000000"/>
                <w:sz w:val="18"/>
                <w:szCs w:val="18"/>
                <w:u w:val="none"/>
              </w:rPr>
            </w:pPr>
          </w:p>
        </w:tc>
      </w:tr>
      <w:tr w14:paraId="3ABF5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8C943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年度绩效指标完成情况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755B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0589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B01A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监测工作人员业务培训次数（个）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E4F7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D948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&gt;=2次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30E1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CD53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1AB8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0AA4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E6DE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FDA5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A937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C0B7D3">
            <w:pPr>
              <w:jc w:val="center"/>
              <w:rPr>
                <w:rFonts w:hint="eastAsia" w:ascii="宋体" w:hAnsi="宋体" w:eastAsia="宋体" w:cs="宋体"/>
                <w:i w:val="0"/>
                <w:iCs w:val="0"/>
                <w:color w:val="000000"/>
                <w:sz w:val="18"/>
                <w:szCs w:val="18"/>
                <w:u w:val="none"/>
              </w:rPr>
            </w:pPr>
          </w:p>
        </w:tc>
      </w:tr>
      <w:tr w14:paraId="52E2D9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E001C8">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23D269">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0DD7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9E74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委托第三方机构数量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C667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A712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C68A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AB47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1BE9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AEC6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18EE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28BC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23C7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7D0DC0">
            <w:pPr>
              <w:jc w:val="center"/>
              <w:rPr>
                <w:rFonts w:hint="eastAsia" w:ascii="宋体" w:hAnsi="宋体" w:eastAsia="宋体" w:cs="宋体"/>
                <w:i w:val="0"/>
                <w:iCs w:val="0"/>
                <w:color w:val="000000"/>
                <w:sz w:val="18"/>
                <w:szCs w:val="18"/>
                <w:u w:val="none"/>
              </w:rPr>
            </w:pPr>
          </w:p>
        </w:tc>
      </w:tr>
      <w:tr w14:paraId="6D13E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3D2EEC">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3CF4A3">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4AD0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2022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参与培训人数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0B40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BA24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&gt;=50人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FBEB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1078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BA17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B3AA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33F0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87BC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C577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9825B2">
            <w:pPr>
              <w:jc w:val="center"/>
              <w:rPr>
                <w:rFonts w:hint="eastAsia" w:ascii="宋体" w:hAnsi="宋体" w:eastAsia="宋体" w:cs="宋体"/>
                <w:i w:val="0"/>
                <w:iCs w:val="0"/>
                <w:color w:val="000000"/>
                <w:sz w:val="18"/>
                <w:szCs w:val="18"/>
                <w:u w:val="none"/>
              </w:rPr>
            </w:pPr>
          </w:p>
        </w:tc>
      </w:tr>
      <w:tr w14:paraId="773653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06C08F">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C31DC3">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BB26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2B45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完成审计率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579D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B843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E3FC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8B96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3069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2633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F3B7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F711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588F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E75CE4">
            <w:pPr>
              <w:jc w:val="center"/>
              <w:rPr>
                <w:rFonts w:hint="eastAsia" w:ascii="宋体" w:hAnsi="宋体" w:eastAsia="宋体" w:cs="宋体"/>
                <w:i w:val="0"/>
                <w:iCs w:val="0"/>
                <w:color w:val="000000"/>
                <w:sz w:val="18"/>
                <w:szCs w:val="18"/>
                <w:u w:val="none"/>
              </w:rPr>
            </w:pPr>
          </w:p>
        </w:tc>
      </w:tr>
      <w:tr w14:paraId="5187CF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39E1A2">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109554">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B202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3582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培训出勤率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895B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1E93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AB72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3291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5E7D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7841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E831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8371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A73F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86DA7A">
            <w:pPr>
              <w:jc w:val="center"/>
              <w:rPr>
                <w:rFonts w:hint="eastAsia" w:ascii="宋体" w:hAnsi="宋体" w:eastAsia="宋体" w:cs="宋体"/>
                <w:i w:val="0"/>
                <w:iCs w:val="0"/>
                <w:color w:val="000000"/>
                <w:sz w:val="18"/>
                <w:szCs w:val="18"/>
                <w:u w:val="none"/>
              </w:rPr>
            </w:pPr>
          </w:p>
        </w:tc>
      </w:tr>
      <w:tr w14:paraId="4C2FEC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5F4E9B">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097F51">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FE01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2B29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培训按期完成率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D70F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F249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5D16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BE6C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F62E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C3B6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AE81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0F66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直接赋分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7ECC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CB341F">
            <w:pPr>
              <w:jc w:val="center"/>
              <w:rPr>
                <w:rFonts w:hint="eastAsia" w:ascii="宋体" w:hAnsi="宋体" w:eastAsia="宋体" w:cs="宋体"/>
                <w:i w:val="0"/>
                <w:iCs w:val="0"/>
                <w:color w:val="000000"/>
                <w:sz w:val="18"/>
                <w:szCs w:val="18"/>
                <w:u w:val="none"/>
              </w:rPr>
            </w:pPr>
          </w:p>
        </w:tc>
      </w:tr>
      <w:tr w14:paraId="509844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653CF8">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5DC2F4">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D90A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EA32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专项审计完成时间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0471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79EC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2024年12月20日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8060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2024年12月10日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19D2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CDA7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567B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42F4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2024年12月20日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43B0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直接赋分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AF8A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9A7842">
            <w:pPr>
              <w:jc w:val="center"/>
              <w:rPr>
                <w:rFonts w:hint="eastAsia" w:ascii="宋体" w:hAnsi="宋体" w:eastAsia="宋体" w:cs="宋体"/>
                <w:i w:val="0"/>
                <w:iCs w:val="0"/>
                <w:color w:val="000000"/>
                <w:sz w:val="18"/>
                <w:szCs w:val="18"/>
                <w:u w:val="none"/>
              </w:rPr>
            </w:pPr>
          </w:p>
        </w:tc>
      </w:tr>
      <w:tr w14:paraId="50B3BF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6B45E5">
            <w:pPr>
              <w:jc w:val="center"/>
              <w:rPr>
                <w:rFonts w:hint="eastAsia" w:ascii="宋体" w:hAnsi="宋体" w:eastAsia="宋体" w:cs="宋体"/>
                <w:b/>
                <w:bCs/>
                <w:i w:val="0"/>
                <w:iCs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CA3E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EE4B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66D1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国企第三方服务费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9D62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5AF1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&lt;=30.4万元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F76F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30.4万元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4AAC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2B38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874E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5BF0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813C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1EBE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2D1AD5">
            <w:pPr>
              <w:jc w:val="center"/>
              <w:rPr>
                <w:rFonts w:hint="eastAsia" w:ascii="宋体" w:hAnsi="宋体" w:eastAsia="宋体" w:cs="宋体"/>
                <w:i w:val="0"/>
                <w:iCs w:val="0"/>
                <w:color w:val="000000"/>
                <w:sz w:val="18"/>
                <w:szCs w:val="18"/>
                <w:u w:val="none"/>
              </w:rPr>
            </w:pPr>
          </w:p>
        </w:tc>
      </w:tr>
      <w:tr w14:paraId="529BCB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32D6E6">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40C44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7C5E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318FC5">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50C76D">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117257">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B7BBB9">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168DCD">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398E12">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4981B3">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7088D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94155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787279">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1CC042">
            <w:pPr>
              <w:jc w:val="center"/>
              <w:rPr>
                <w:rFonts w:hint="eastAsia" w:ascii="宋体" w:hAnsi="宋体" w:eastAsia="宋体" w:cs="宋体"/>
                <w:i w:val="0"/>
                <w:iCs w:val="0"/>
                <w:color w:val="000000"/>
                <w:sz w:val="18"/>
                <w:szCs w:val="18"/>
                <w:u w:val="none"/>
              </w:rPr>
            </w:pPr>
          </w:p>
        </w:tc>
      </w:tr>
      <w:tr w14:paraId="66A5F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B174EF">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22FBCF">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7B16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807042">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8046E2">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131384">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90DD8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1E9409">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2E451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7627D2">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860360">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C6CA5D">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4AD8A0">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393D90">
            <w:pPr>
              <w:jc w:val="center"/>
              <w:rPr>
                <w:rFonts w:hint="eastAsia" w:ascii="宋体" w:hAnsi="宋体" w:eastAsia="宋体" w:cs="宋体"/>
                <w:i w:val="0"/>
                <w:iCs w:val="0"/>
                <w:color w:val="000000"/>
                <w:sz w:val="18"/>
                <w:szCs w:val="18"/>
                <w:u w:val="none"/>
              </w:rPr>
            </w:pPr>
          </w:p>
        </w:tc>
      </w:tr>
      <w:tr w14:paraId="30B9A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5EF2A2">
            <w:pPr>
              <w:jc w:val="center"/>
              <w:rPr>
                <w:rFonts w:hint="eastAsia" w:ascii="宋体" w:hAnsi="宋体" w:eastAsia="宋体" w:cs="宋体"/>
                <w:b/>
                <w:bCs/>
                <w:i w:val="0"/>
                <w:iCs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1C76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08FD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7DB600">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FA6B5E">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3B2EC0">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05A041">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24BB7B">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ABF595">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23D8F3">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A0F48F">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26C909">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3F49D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369631">
            <w:pPr>
              <w:jc w:val="center"/>
              <w:rPr>
                <w:rFonts w:hint="eastAsia" w:ascii="宋体" w:hAnsi="宋体" w:eastAsia="宋体" w:cs="宋体"/>
                <w:i w:val="0"/>
                <w:iCs w:val="0"/>
                <w:color w:val="000000"/>
                <w:sz w:val="18"/>
                <w:szCs w:val="18"/>
                <w:u w:val="none"/>
              </w:rPr>
            </w:pPr>
          </w:p>
        </w:tc>
      </w:tr>
      <w:tr w14:paraId="26ACB9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DC572F">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6CB5DB">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BD26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F1D8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提高企业员工综合素质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A655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B2D8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9043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有所提升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F40A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45D6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9AB8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3D30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0A1E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按评判等级赋分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5197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D7D82F">
            <w:pPr>
              <w:jc w:val="center"/>
              <w:rPr>
                <w:rFonts w:hint="eastAsia" w:ascii="宋体" w:hAnsi="宋体" w:eastAsia="宋体" w:cs="宋体"/>
                <w:i w:val="0"/>
                <w:iCs w:val="0"/>
                <w:color w:val="000000"/>
                <w:sz w:val="18"/>
                <w:szCs w:val="18"/>
                <w:u w:val="none"/>
              </w:rPr>
            </w:pPr>
          </w:p>
        </w:tc>
      </w:tr>
      <w:tr w14:paraId="119D04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93BDE0">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0822F4">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0C46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DD80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保障依法年审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9F4D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4AF8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有效保障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2C3B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有所保障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05FE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FECB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52BC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AC57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有效保障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BD41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按评判等级赋分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F601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DA04DB">
            <w:pPr>
              <w:jc w:val="center"/>
              <w:rPr>
                <w:rFonts w:hint="eastAsia" w:ascii="宋体" w:hAnsi="宋体" w:eastAsia="宋体" w:cs="宋体"/>
                <w:i w:val="0"/>
                <w:iCs w:val="0"/>
                <w:color w:val="000000"/>
                <w:sz w:val="18"/>
                <w:szCs w:val="18"/>
                <w:u w:val="none"/>
              </w:rPr>
            </w:pPr>
          </w:p>
        </w:tc>
      </w:tr>
      <w:tr w14:paraId="46736E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044DF1">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A4C30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C4BB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4F4E4C">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134CCD">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E8F802">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456235">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6BDB69">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A21C8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082DE1">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56C90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908340">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A756B5">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57973D">
            <w:pPr>
              <w:jc w:val="center"/>
              <w:rPr>
                <w:rFonts w:hint="eastAsia" w:ascii="宋体" w:hAnsi="宋体" w:eastAsia="宋体" w:cs="宋体"/>
                <w:i w:val="0"/>
                <w:iCs w:val="0"/>
                <w:color w:val="000000"/>
                <w:sz w:val="18"/>
                <w:szCs w:val="18"/>
                <w:u w:val="none"/>
              </w:rPr>
            </w:pPr>
          </w:p>
        </w:tc>
      </w:tr>
      <w:tr w14:paraId="78DE53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4D6C08">
            <w:pPr>
              <w:jc w:val="center"/>
              <w:rPr>
                <w:rFonts w:hint="eastAsia" w:ascii="宋体" w:hAnsi="宋体" w:eastAsia="宋体" w:cs="宋体"/>
                <w:b/>
                <w:bCs/>
                <w:i w:val="0"/>
                <w:iCs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C31E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30E2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DBA5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参加培训人员满意度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E338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FAD0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1B86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2192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BE11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673F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61D9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E52D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57F1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E932A6">
            <w:pPr>
              <w:jc w:val="center"/>
              <w:rPr>
                <w:rFonts w:hint="eastAsia" w:ascii="宋体" w:hAnsi="宋体" w:eastAsia="宋体" w:cs="宋体"/>
                <w:i w:val="0"/>
                <w:iCs w:val="0"/>
                <w:color w:val="000000"/>
                <w:sz w:val="18"/>
                <w:szCs w:val="18"/>
                <w:u w:val="none"/>
              </w:rPr>
            </w:pPr>
          </w:p>
        </w:tc>
      </w:tr>
      <w:tr w14:paraId="5EC43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85AB11">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8A03F3">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2732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587E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企业满意度指标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8D4A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597A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FD90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4AB3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CB14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1CED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5D10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5F0F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B612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06817D">
            <w:pPr>
              <w:jc w:val="center"/>
              <w:rPr>
                <w:rFonts w:hint="eastAsia" w:ascii="宋体" w:hAnsi="宋体" w:eastAsia="宋体" w:cs="宋体"/>
                <w:i w:val="0"/>
                <w:iCs w:val="0"/>
                <w:color w:val="000000"/>
                <w:sz w:val="18"/>
                <w:szCs w:val="18"/>
                <w:u w:val="none"/>
              </w:rPr>
            </w:pPr>
          </w:p>
        </w:tc>
      </w:tr>
      <w:tr w14:paraId="4CD2B2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gridSpan w:val="4"/>
            <w:tcBorders>
              <w:top w:val="single" w:color="000000" w:sz="4" w:space="0"/>
              <w:left w:val="single" w:color="000000" w:sz="4" w:space="0"/>
              <w:bottom w:val="single" w:color="000000" w:sz="4" w:space="0"/>
              <w:right w:val="nil"/>
            </w:tcBorders>
            <w:shd w:val="clear" w:color="auto" w:fill="auto"/>
            <w:vAlign w:val="center"/>
          </w:tcPr>
          <w:p w14:paraId="3F9FB47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2DCC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nil"/>
              <w:bottom w:val="single" w:color="000000" w:sz="4" w:space="0"/>
              <w:right w:val="single" w:color="000000" w:sz="4" w:space="0"/>
            </w:tcBorders>
            <w:shd w:val="clear" w:color="auto" w:fill="auto"/>
            <w:vAlign w:val="center"/>
          </w:tcPr>
          <w:p w14:paraId="587ACEF0">
            <w:pP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91552B">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6F3F1E">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DA72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EE2ED3">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28AC9F">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559CFB">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45E0D0">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936839">
            <w:pPr>
              <w:rPr>
                <w:rFonts w:hint="eastAsia" w:ascii="宋体" w:hAnsi="宋体" w:eastAsia="宋体" w:cs="宋体"/>
                <w:i w:val="0"/>
                <w:iCs w:val="0"/>
                <w:color w:val="000000"/>
                <w:sz w:val="18"/>
                <w:szCs w:val="18"/>
                <w:u w:val="none"/>
              </w:rPr>
            </w:pPr>
          </w:p>
        </w:tc>
      </w:tr>
    </w:tbl>
    <w:p w14:paraId="02C778BC">
      <w:r>
        <w:br w:type="page"/>
      </w:r>
    </w:p>
    <w:p w14:paraId="719B7546">
      <w:pPr>
        <w:spacing w:line="640" w:lineRule="exact"/>
        <w:ind w:firstLine="640"/>
        <w:jc w:val="both"/>
        <w:outlineLvl w:val="2"/>
      </w:pPr>
      <w:r>
        <w:rPr>
          <w:rFonts w:ascii="黑体" w:hAnsi="黑体" w:eastAsia="黑体"/>
          <w:sz w:val="32"/>
        </w:rPr>
        <w:t>十二、其他需说明的事项</w:t>
      </w:r>
    </w:p>
    <w:p w14:paraId="23A1E2FF">
      <w:pPr>
        <w:spacing w:line="580" w:lineRule="exact"/>
        <w:ind w:firstLine="640"/>
        <w:jc w:val="both"/>
      </w:pPr>
      <w:r>
        <w:rPr>
          <w:rFonts w:ascii="仿宋_GB2312" w:hAnsi="仿宋_GB2312" w:eastAsia="仿宋_GB2312"/>
          <w:b w:val="0"/>
          <w:sz w:val="32"/>
        </w:rPr>
        <w:t>本单位无其他需说明的事项。</w:t>
      </w:r>
    </w:p>
    <w:p w14:paraId="3677DADA">
      <w:r>
        <w:br w:type="page"/>
      </w:r>
    </w:p>
    <w:p w14:paraId="5054A830">
      <w:pPr>
        <w:spacing w:line="240" w:lineRule="auto"/>
        <w:jc w:val="center"/>
        <w:outlineLvl w:val="1"/>
      </w:pPr>
      <w:r>
        <w:rPr>
          <w:rFonts w:ascii="黑体" w:hAnsi="黑体" w:eastAsia="黑体"/>
          <w:sz w:val="32"/>
        </w:rPr>
        <w:t>第三部分 专业名词解释</w:t>
      </w:r>
    </w:p>
    <w:p w14:paraId="76C835B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4514BA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078D65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12A160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088356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06F753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CEF562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81289D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A6C8A4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D98E3F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A96FEB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84330C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E6F6C0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8113A1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57CF9F6">
      <w:r>
        <w:br w:type="page"/>
      </w:r>
    </w:p>
    <w:p w14:paraId="4ECBE810">
      <w:pPr>
        <w:spacing w:line="240" w:lineRule="auto"/>
        <w:jc w:val="center"/>
        <w:outlineLvl w:val="1"/>
      </w:pPr>
      <w:r>
        <w:rPr>
          <w:rFonts w:ascii="黑体" w:hAnsi="黑体" w:eastAsia="黑体"/>
          <w:sz w:val="32"/>
        </w:rPr>
        <w:t>第四部分 部门决算报表（见附表）</w:t>
      </w:r>
    </w:p>
    <w:p w14:paraId="661F27E5">
      <w:pPr>
        <w:spacing w:line="240" w:lineRule="auto"/>
        <w:ind w:firstLine="640"/>
        <w:jc w:val="both"/>
      </w:pPr>
      <w:r>
        <w:rPr>
          <w:rFonts w:ascii="仿宋_GB2312" w:hAnsi="仿宋_GB2312" w:eastAsia="仿宋_GB2312"/>
          <w:b w:val="0"/>
          <w:sz w:val="32"/>
        </w:rPr>
        <w:t>一、《收入支出决算总表》</w:t>
      </w:r>
    </w:p>
    <w:p w14:paraId="60E101D9">
      <w:pPr>
        <w:spacing w:line="240" w:lineRule="auto"/>
        <w:ind w:firstLine="640"/>
        <w:jc w:val="both"/>
      </w:pPr>
      <w:r>
        <w:rPr>
          <w:rFonts w:ascii="仿宋_GB2312" w:hAnsi="仿宋_GB2312" w:eastAsia="仿宋_GB2312"/>
          <w:b w:val="0"/>
          <w:sz w:val="32"/>
        </w:rPr>
        <w:t>二、《收入决算表》</w:t>
      </w:r>
    </w:p>
    <w:p w14:paraId="47C5099A">
      <w:pPr>
        <w:spacing w:line="240" w:lineRule="auto"/>
        <w:ind w:firstLine="640"/>
        <w:jc w:val="both"/>
      </w:pPr>
      <w:r>
        <w:rPr>
          <w:rFonts w:ascii="仿宋_GB2312" w:hAnsi="仿宋_GB2312" w:eastAsia="仿宋_GB2312"/>
          <w:b w:val="0"/>
          <w:sz w:val="32"/>
        </w:rPr>
        <w:t>三、《支出决算表》</w:t>
      </w:r>
    </w:p>
    <w:p w14:paraId="03163C20">
      <w:pPr>
        <w:spacing w:line="240" w:lineRule="auto"/>
        <w:ind w:firstLine="640"/>
        <w:jc w:val="both"/>
      </w:pPr>
      <w:r>
        <w:rPr>
          <w:rFonts w:ascii="仿宋_GB2312" w:hAnsi="仿宋_GB2312" w:eastAsia="仿宋_GB2312"/>
          <w:b w:val="0"/>
          <w:sz w:val="32"/>
        </w:rPr>
        <w:t>四、《财政拨款收入支出决算总表》</w:t>
      </w:r>
    </w:p>
    <w:p w14:paraId="61E48ABD">
      <w:pPr>
        <w:spacing w:line="240" w:lineRule="auto"/>
        <w:ind w:firstLine="640"/>
        <w:jc w:val="both"/>
      </w:pPr>
      <w:r>
        <w:rPr>
          <w:rFonts w:ascii="仿宋_GB2312" w:hAnsi="仿宋_GB2312" w:eastAsia="仿宋_GB2312"/>
          <w:b w:val="0"/>
          <w:sz w:val="32"/>
        </w:rPr>
        <w:t>五、《一般公共预算财政拨款支出决算表》</w:t>
      </w:r>
    </w:p>
    <w:p w14:paraId="5DEFC1D9">
      <w:pPr>
        <w:spacing w:line="240" w:lineRule="auto"/>
        <w:ind w:firstLine="640"/>
        <w:jc w:val="both"/>
      </w:pPr>
      <w:r>
        <w:rPr>
          <w:rFonts w:ascii="仿宋_GB2312" w:hAnsi="仿宋_GB2312" w:eastAsia="仿宋_GB2312"/>
          <w:b w:val="0"/>
          <w:sz w:val="32"/>
        </w:rPr>
        <w:t>六、《一般公共预算财政拨款基本支出决算表》</w:t>
      </w:r>
    </w:p>
    <w:p w14:paraId="1FE07878">
      <w:pPr>
        <w:spacing w:line="240" w:lineRule="auto"/>
        <w:ind w:firstLine="640"/>
        <w:jc w:val="both"/>
      </w:pPr>
      <w:r>
        <w:rPr>
          <w:rFonts w:ascii="仿宋_GB2312" w:hAnsi="仿宋_GB2312" w:eastAsia="仿宋_GB2312"/>
          <w:b w:val="0"/>
          <w:sz w:val="32"/>
        </w:rPr>
        <w:t>七、《政府性基金预算财政拨款收入支出决算表》</w:t>
      </w:r>
    </w:p>
    <w:p w14:paraId="5E18DCDF">
      <w:pPr>
        <w:spacing w:line="240" w:lineRule="auto"/>
        <w:ind w:firstLine="640"/>
        <w:jc w:val="both"/>
      </w:pPr>
      <w:r>
        <w:rPr>
          <w:rFonts w:ascii="仿宋_GB2312" w:hAnsi="仿宋_GB2312" w:eastAsia="仿宋_GB2312"/>
          <w:b w:val="0"/>
          <w:sz w:val="32"/>
        </w:rPr>
        <w:t>八、《国有资本经营预算财政拨款收入支出决算表》</w:t>
      </w:r>
    </w:p>
    <w:p w14:paraId="4B78DA1B">
      <w:pPr>
        <w:spacing w:line="240" w:lineRule="auto"/>
        <w:ind w:firstLine="640"/>
        <w:jc w:val="both"/>
      </w:pPr>
      <w:r>
        <w:rPr>
          <w:rFonts w:ascii="仿宋_GB2312" w:hAnsi="仿宋_GB2312" w:eastAsia="仿宋_GB2312"/>
          <w:b w:val="0"/>
          <w:sz w:val="32"/>
        </w:rPr>
        <w:t>九、《财政拨款“三公”经费支出决算表》</w:t>
      </w:r>
    </w:p>
    <w:p w14:paraId="6D4B08EE">
      <w:pPr>
        <w:spacing w:line="240" w:lineRule="auto"/>
        <w:ind w:firstLine="640"/>
        <w:jc w:val="both"/>
      </w:pPr>
    </w:p>
    <w:p w14:paraId="0819E8F1">
      <w:pPr>
        <w:spacing w:line="240" w:lineRule="auto"/>
        <w:ind w:firstLine="640"/>
        <w:jc w:val="both"/>
      </w:pPr>
    </w:p>
    <w:p w14:paraId="44E7D1B4">
      <w:pPr>
        <w:spacing w:line="240" w:lineRule="auto"/>
        <w:ind w:firstLine="640"/>
        <w:jc w:val="both"/>
      </w:pPr>
    </w:p>
    <w:p w14:paraId="7C70A8A4">
      <w:pPr>
        <w:spacing w:line="240" w:lineRule="auto"/>
        <w:ind w:firstLine="640"/>
        <w:jc w:val="both"/>
      </w:pPr>
    </w:p>
    <w:p w14:paraId="4F3A07A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1FCC5287"/>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B1C0F96"/>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05713C"/>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9F86560"/>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6841</Words>
  <Characters>7689</Characters>
  <Lines>0</Lines>
  <Paragraphs>0</Paragraphs>
  <TotalTime>10</TotalTime>
  <ScaleCrop>false</ScaleCrop>
  <LinksUpToDate>false</LinksUpToDate>
  <CharactersWithSpaces>7697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2025-12-05T04:44:16Z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eyJoZGlkIjoiN2E1ZDY0MDI5MTE3YjM0ZGMyMzg4N2EwMDI4ZjJiM2YiLCJ1c2VySWQiOiI0MzE2NzY3NzkifQ==</vt:lpwstr>
  </property>
</Properties>
</file>