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霍尔果斯市商务局2024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1EE37D">
      <w:r>
        <w:br w:type="page"/>
      </w:r>
    </w:p>
    <w:p w14:paraId="4A130C2F">
      <w:pPr>
        <w:spacing w:line="640" w:lineRule="exact"/>
        <w:jc w:val="center"/>
        <w:outlineLvl w:val="1"/>
      </w:pPr>
      <w:r>
        <w:rPr>
          <w:rFonts w:ascii="黑体" w:hAnsi="黑体" w:eastAsia="黑体"/>
          <w:sz w:val="32"/>
        </w:rPr>
        <w:t>第一部分 单位概况</w:t>
      </w:r>
    </w:p>
    <w:p w14:paraId="064CC7E2">
      <w:pPr>
        <w:spacing w:line="640" w:lineRule="exact"/>
        <w:ind w:firstLine="640"/>
        <w:jc w:val="both"/>
        <w:outlineLvl w:val="2"/>
      </w:pPr>
      <w:r>
        <w:rPr>
          <w:rFonts w:ascii="黑体" w:hAnsi="黑体" w:eastAsia="黑体"/>
          <w:sz w:val="32"/>
        </w:rPr>
        <w:t>一、主要职能</w:t>
      </w:r>
    </w:p>
    <w:p w14:paraId="1F6D433A">
      <w:pPr>
        <w:spacing w:line="580" w:lineRule="exact"/>
        <w:ind w:firstLine="640"/>
        <w:jc w:val="both"/>
      </w:pPr>
      <w:r>
        <w:rPr>
          <w:rFonts w:ascii="仿宋_GB2312" w:hAnsi="仿宋_GB2312" w:eastAsia="仿宋_GB2312"/>
          <w:sz w:val="32"/>
        </w:rPr>
        <w:t>（一）贯彻执行国家国内外贸易、国际经济合作的发展战略、政策以及自治区、自治州、市国内外贸易、招</w:t>
      </w:r>
      <w:r>
        <w:rPr>
          <w:rFonts w:hint="eastAsia" w:ascii="仿宋_GB2312" w:hAnsi="仿宋_GB2312" w:eastAsia="仿宋_GB2312"/>
          <w:sz w:val="32"/>
          <w:lang w:eastAsia="zh-CN"/>
        </w:rPr>
        <w:t>商引资</w:t>
      </w:r>
      <w:r>
        <w:rPr>
          <w:rFonts w:ascii="仿宋_GB2312" w:hAnsi="仿宋_GB2312" w:eastAsia="仿宋_GB2312"/>
          <w:sz w:val="32"/>
        </w:rPr>
        <w:t>、对外经济合作、外商投资、对外投资和对外援助的地方性法规、规章和有关政策措施。研究“一带一路”建设、区域经济合作、现代流通方式的发展趋势和流通体制改革并提出建议。</w:t>
      </w:r>
    </w:p>
    <w:p w14:paraId="119D86FB">
      <w:pPr>
        <w:spacing w:line="580" w:lineRule="exact"/>
        <w:ind w:firstLine="640"/>
        <w:jc w:val="both"/>
      </w:pPr>
      <w:r>
        <w:rPr>
          <w:rFonts w:ascii="仿宋_GB2312" w:hAnsi="仿宋_GB2312" w:eastAsia="仿宋_GB2312"/>
          <w:sz w:val="32"/>
        </w:rPr>
        <w:t>（二）负责推进流通产业结构调整，指导流通企业改革、商贸服务业和社区商业发展，提出促进商贸中小企业发展的政策建议，推动流通标准化和连锁经营、商业特许经营、物流配送等现代流通方式的发展。</w:t>
      </w:r>
    </w:p>
    <w:p w14:paraId="26B5125F">
      <w:pPr>
        <w:spacing w:line="580" w:lineRule="exact"/>
        <w:ind w:firstLine="640"/>
        <w:jc w:val="both"/>
      </w:pPr>
      <w:r>
        <w:rPr>
          <w:rFonts w:ascii="仿宋_GB2312" w:hAnsi="仿宋_GB2312" w:eastAsia="仿宋_GB2312"/>
          <w:sz w:val="32"/>
        </w:rPr>
        <w:t>（三）拟订贸易发展规划、年度计划并组织实施，促进城乡市场发展，执行引导国内外资金投向市场体系建设的政策，指导大宗产品批发市场规划和城市商业网点规划、商业体系建设工作，推进农村市场体系建设，完善农村现代流通网络。</w:t>
      </w:r>
    </w:p>
    <w:p w14:paraId="13B4DE51">
      <w:pPr>
        <w:spacing w:line="580" w:lineRule="exact"/>
        <w:ind w:firstLine="640"/>
        <w:jc w:val="both"/>
      </w:pPr>
      <w:r>
        <w:rPr>
          <w:rFonts w:ascii="仿宋_GB2312" w:hAnsi="仿宋_GB2312" w:eastAsia="仿宋_GB2312"/>
          <w:sz w:val="32"/>
        </w:rPr>
        <w:t>（四）承担牵头协调整顿和规范市场经济秩序工作的责任，执行落实国家、自治区规范市场运行、流通秩序的政策，推动商务领域诚信体系建设，指导商业信用销售。配合相关部门建立市场诚信公共服务平台，按照有关规定对特殊商贸流通行业进行监督管理。</w:t>
      </w:r>
    </w:p>
    <w:p w14:paraId="4AF3136B">
      <w:pPr>
        <w:spacing w:line="580" w:lineRule="exact"/>
        <w:ind w:firstLine="640"/>
        <w:jc w:val="both"/>
      </w:pPr>
      <w:r>
        <w:rPr>
          <w:rFonts w:ascii="仿宋_GB2312" w:hAnsi="仿宋_GB2312" w:eastAsia="仿宋_GB2312"/>
          <w:sz w:val="32"/>
        </w:rPr>
        <w:t>（五）负责重要消费品市场调控和重要生产资料流通管理。负责建立健全生活必需品市场供应应急管理机制，参与监测分析市场运行、商品供求状况，调查分析商品价格信息并进行预测预警和信息引导。按分工负责重要消费品储备管理和市场调控工作。按照有关规定对成品油零售环节进行监督管理。</w:t>
      </w:r>
    </w:p>
    <w:p w14:paraId="5558487C">
      <w:pPr>
        <w:spacing w:line="580" w:lineRule="exact"/>
        <w:ind w:firstLine="640"/>
        <w:jc w:val="both"/>
      </w:pPr>
      <w:r>
        <w:rPr>
          <w:rFonts w:ascii="仿宋_GB2312" w:hAnsi="仿宋_GB2312" w:eastAsia="仿宋_GB2312"/>
          <w:sz w:val="32"/>
        </w:rPr>
        <w:t>（六）组织实施国家进出口商品、加工贸易管理办法和进出口管理商品、技术目录以及自治区促进外贸增长方式转变的政策措施。组织实施重要工业品、原材料和重要农产品进出口自治区配额计划，会同有关部门执行大宗进出口商品政策，指导贸易促进活动和外贸促进体系建设。</w:t>
      </w:r>
    </w:p>
    <w:p w14:paraId="7827E9B9">
      <w:pPr>
        <w:spacing w:line="580" w:lineRule="exact"/>
        <w:ind w:firstLine="640"/>
        <w:jc w:val="both"/>
      </w:pPr>
      <w:r>
        <w:rPr>
          <w:rFonts w:ascii="仿宋_GB2312" w:hAnsi="仿宋_GB2312" w:eastAsia="仿宋_GB2312"/>
          <w:sz w:val="32"/>
        </w:rPr>
        <w:t>（七）组织实施国家对外技术贸易、出口管制以及鼓励技术和成套设备进出口的贸易政策，推进地方进出口贸易标准化工作。配合开展依法监督技术引进、设备进口、国家限制出口技术的工作。</w:t>
      </w:r>
    </w:p>
    <w:p w14:paraId="7B8BE29C">
      <w:pPr>
        <w:spacing w:line="580" w:lineRule="exact"/>
        <w:ind w:firstLine="640"/>
        <w:jc w:val="both"/>
      </w:pPr>
      <w:r>
        <w:rPr>
          <w:rFonts w:ascii="仿宋_GB2312" w:hAnsi="仿宋_GB2312" w:eastAsia="仿宋_GB2312"/>
          <w:sz w:val="32"/>
        </w:rPr>
        <w:t>（八）牵头拟订服务贸易发展规划并开展相关工作；负责会展业促进与管理工作。会同有关部门制定促进服务出口和服务外包的规划、政策并组织实施，推动服务外包平台建设。</w:t>
      </w:r>
    </w:p>
    <w:p w14:paraId="3DBAB2F2">
      <w:pPr>
        <w:spacing w:line="580" w:lineRule="exact"/>
        <w:ind w:firstLine="640"/>
        <w:jc w:val="both"/>
      </w:pPr>
      <w:r>
        <w:rPr>
          <w:rFonts w:ascii="仿宋_GB2312" w:hAnsi="仿宋_GB2312" w:eastAsia="仿宋_GB2312"/>
          <w:sz w:val="32"/>
        </w:rPr>
        <w:t>（九）组织实施国家和自治区、自治州有关边境贸易的各项政策。负责边境贸易有关经营资质的管理工作。负责边民互市贸易的相关协调工作，推进市场采购贸易方式试点。承担有关周边国家经贸合作地方协调机制的工作。推动协调企业同周边国家及中东欧国家多方面合作交流。</w:t>
      </w:r>
    </w:p>
    <w:p w14:paraId="0E5735DA">
      <w:pPr>
        <w:spacing w:line="580" w:lineRule="exact"/>
        <w:ind w:firstLine="640"/>
        <w:jc w:val="both"/>
      </w:pPr>
      <w:r>
        <w:rPr>
          <w:rFonts w:ascii="仿宋_GB2312" w:hAnsi="仿宋_GB2312" w:eastAsia="仿宋_GB2312"/>
          <w:sz w:val="32"/>
        </w:rPr>
        <w:t>（十）组织协调反倾销、反补贴、保障措施及其他与进出口公平贸易相关的工作。建立进出口公平贸易及产业损害预警机制。依法参与实施对外贸易调查和产业损害调查，指导协调产业安全应对工作，配合开展国外对市出口商品的反倾销、反补贴、保障措施的应诉工作。</w:t>
      </w:r>
    </w:p>
    <w:p w14:paraId="29944B46">
      <w:pPr>
        <w:spacing w:line="580" w:lineRule="exact"/>
        <w:ind w:firstLine="640"/>
        <w:jc w:val="both"/>
      </w:pPr>
      <w:r>
        <w:rPr>
          <w:rFonts w:ascii="仿宋_GB2312" w:hAnsi="仿宋_GB2312" w:eastAsia="仿宋_GB2312"/>
          <w:sz w:val="32"/>
        </w:rPr>
        <w:t>（十一）指导外商投资工作。参与拟订地方性外商投资政策并组织实施。依法监督检查外商投资企业执行有关</w:t>
      </w:r>
      <w:r>
        <w:rPr>
          <w:rFonts w:hint="eastAsia" w:ascii="仿宋_GB2312" w:hAnsi="仿宋_GB2312" w:eastAsia="仿宋_GB2312"/>
          <w:sz w:val="32"/>
          <w:lang w:eastAsia="zh-CN"/>
        </w:rPr>
        <w:t>法律法规</w:t>
      </w:r>
      <w:r>
        <w:rPr>
          <w:rFonts w:ascii="仿宋_GB2312" w:hAnsi="仿宋_GB2312" w:eastAsia="仿宋_GB2312"/>
          <w:sz w:val="32"/>
        </w:rPr>
        <w:t>、规章、合同章程的情况并协调解决有关问题。指导投资促进及外商投资企业备案登记工作，规范招商引资工作。协助经济开发区的有关工作。</w:t>
      </w:r>
    </w:p>
    <w:p w14:paraId="7ABFB54B">
      <w:pPr>
        <w:spacing w:line="580" w:lineRule="exact"/>
        <w:ind w:firstLine="640"/>
        <w:jc w:val="both"/>
      </w:pPr>
      <w:r>
        <w:rPr>
          <w:rFonts w:ascii="仿宋_GB2312" w:hAnsi="仿宋_GB2312" w:eastAsia="仿宋_GB2312"/>
          <w:sz w:val="32"/>
        </w:rPr>
        <w:t>（十二）负责对外经济合作工作。组织实施对外经济合作政策，依法管理和监督对外承包工程、对外劳务合作等。执行我国公民出境就业管理政策，负责协调外派劳务人员和境外就业人员的权益保护工作。落实执行国家、自治区、自治州境外投资管理办法和具体政策。负责境内企业对外投资开办企业备案（金融企业除外）。管理有关国际无偿援助事务。归口管理对外援助有关事务。</w:t>
      </w:r>
    </w:p>
    <w:p w14:paraId="5BB9D36B">
      <w:pPr>
        <w:spacing w:line="580" w:lineRule="exact"/>
        <w:ind w:firstLine="640"/>
        <w:jc w:val="both"/>
      </w:pPr>
      <w:r>
        <w:rPr>
          <w:rFonts w:ascii="仿宋_GB2312" w:hAnsi="仿宋_GB2312" w:eastAsia="仿宋_GB2312"/>
          <w:sz w:val="32"/>
        </w:rPr>
        <w:t>（十三）制定电子商务发展规划和政策措施并组织实施，指导企业信息化及运用电子商务开拓国内外市场。积极推进电子商务行业统计和评价体系建设，牵头推进电子商务支撑服务体系发展。</w:t>
      </w:r>
    </w:p>
    <w:p w14:paraId="202517FE">
      <w:pPr>
        <w:spacing w:line="580" w:lineRule="exact"/>
        <w:ind w:firstLine="640"/>
        <w:jc w:val="both"/>
      </w:pPr>
      <w:r>
        <w:rPr>
          <w:rFonts w:ascii="仿宋_GB2312" w:hAnsi="仿宋_GB2312" w:eastAsia="仿宋_GB2312"/>
          <w:sz w:val="32"/>
        </w:rPr>
        <w:t>（十四）执行招</w:t>
      </w:r>
      <w:r>
        <w:rPr>
          <w:rFonts w:hint="eastAsia" w:ascii="仿宋_GB2312" w:hAnsi="仿宋_GB2312" w:eastAsia="仿宋_GB2312"/>
          <w:sz w:val="32"/>
          <w:lang w:eastAsia="zh-CN"/>
        </w:rPr>
        <w:t>商引资</w:t>
      </w:r>
      <w:r>
        <w:rPr>
          <w:rFonts w:ascii="仿宋_GB2312" w:hAnsi="仿宋_GB2312" w:eastAsia="仿宋_GB2312"/>
          <w:sz w:val="32"/>
        </w:rPr>
        <w:t>方针政策，编制招</w:t>
      </w:r>
      <w:r>
        <w:rPr>
          <w:rFonts w:hint="eastAsia" w:ascii="仿宋_GB2312" w:hAnsi="仿宋_GB2312" w:eastAsia="仿宋_GB2312"/>
          <w:sz w:val="32"/>
          <w:lang w:eastAsia="zh-CN"/>
        </w:rPr>
        <w:t>商引资</w:t>
      </w:r>
      <w:r>
        <w:rPr>
          <w:rFonts w:ascii="仿宋_GB2312" w:hAnsi="仿宋_GB2312" w:eastAsia="仿宋_GB2312"/>
          <w:sz w:val="32"/>
        </w:rPr>
        <w:t>发展规划和年度计划，负责组织、协调、推进跨地区招</w:t>
      </w:r>
      <w:r>
        <w:rPr>
          <w:rFonts w:hint="eastAsia" w:ascii="仿宋_GB2312" w:hAnsi="仿宋_GB2312" w:eastAsia="仿宋_GB2312"/>
          <w:sz w:val="32"/>
          <w:lang w:eastAsia="zh-CN"/>
        </w:rPr>
        <w:t>商引资</w:t>
      </w:r>
      <w:r>
        <w:rPr>
          <w:rFonts w:ascii="仿宋_GB2312" w:hAnsi="仿宋_GB2312" w:eastAsia="仿宋_GB2312"/>
          <w:sz w:val="32"/>
        </w:rPr>
        <w:t>活动，联系指导各行业及开发区的有关招</w:t>
      </w:r>
      <w:r>
        <w:rPr>
          <w:rFonts w:hint="eastAsia" w:ascii="仿宋_GB2312" w:hAnsi="仿宋_GB2312" w:eastAsia="仿宋_GB2312"/>
          <w:sz w:val="32"/>
          <w:lang w:eastAsia="zh-CN"/>
        </w:rPr>
        <w:t>商引资</w:t>
      </w:r>
      <w:r>
        <w:rPr>
          <w:rFonts w:ascii="仿宋_GB2312" w:hAnsi="仿宋_GB2312" w:eastAsia="仿宋_GB2312"/>
          <w:sz w:val="32"/>
        </w:rPr>
        <w:t>工作。完善招</w:t>
      </w:r>
      <w:r>
        <w:rPr>
          <w:rFonts w:hint="eastAsia" w:ascii="仿宋_GB2312" w:hAnsi="仿宋_GB2312" w:eastAsia="仿宋_GB2312"/>
          <w:sz w:val="32"/>
          <w:lang w:eastAsia="zh-CN"/>
        </w:rPr>
        <w:t>商引资</w:t>
      </w:r>
      <w:r>
        <w:rPr>
          <w:rFonts w:ascii="仿宋_GB2312" w:hAnsi="仿宋_GB2312" w:eastAsia="仿宋_GB2312"/>
          <w:sz w:val="32"/>
        </w:rPr>
        <w:t>服务体系。负责招</w:t>
      </w:r>
      <w:r>
        <w:rPr>
          <w:rFonts w:hint="eastAsia" w:ascii="仿宋_GB2312" w:hAnsi="仿宋_GB2312" w:eastAsia="仿宋_GB2312"/>
          <w:sz w:val="32"/>
          <w:lang w:eastAsia="zh-CN"/>
        </w:rPr>
        <w:t>商引资</w:t>
      </w:r>
      <w:r>
        <w:rPr>
          <w:rFonts w:ascii="仿宋_GB2312" w:hAnsi="仿宋_GB2312" w:eastAsia="仿宋_GB2312"/>
          <w:sz w:val="32"/>
        </w:rPr>
        <w:t>信息收集、分析、发布等工作；负责招</w:t>
      </w:r>
      <w:r>
        <w:rPr>
          <w:rFonts w:hint="eastAsia" w:ascii="仿宋_GB2312" w:hAnsi="仿宋_GB2312" w:eastAsia="仿宋_GB2312"/>
          <w:sz w:val="32"/>
          <w:lang w:eastAsia="zh-CN"/>
        </w:rPr>
        <w:t>商引资</w:t>
      </w:r>
      <w:r>
        <w:rPr>
          <w:rFonts w:ascii="仿宋_GB2312" w:hAnsi="仿宋_GB2312" w:eastAsia="仿宋_GB2312"/>
          <w:sz w:val="32"/>
        </w:rPr>
        <w:t>统计工作。</w:t>
      </w:r>
    </w:p>
    <w:p w14:paraId="10669410">
      <w:pPr>
        <w:spacing w:line="580" w:lineRule="exact"/>
        <w:ind w:firstLine="640"/>
        <w:jc w:val="both"/>
      </w:pPr>
      <w:r>
        <w:rPr>
          <w:rFonts w:ascii="仿宋_GB2312" w:hAnsi="仿宋_GB2312" w:eastAsia="仿宋_GB2312"/>
          <w:sz w:val="32"/>
        </w:rPr>
        <w:t>（十五）负责外省（区、市）人民政府和大型企业驻霍办事机构管理工作。指导商务系统商（协）会的工作。归口管理外省（区、市）在霍各类企业联合会（商会）等社团组织。指导和管理贸易投资促进工作。</w:t>
      </w:r>
    </w:p>
    <w:p w14:paraId="4EEAFA76">
      <w:pPr>
        <w:spacing w:line="580" w:lineRule="exact"/>
        <w:ind w:firstLine="640"/>
        <w:jc w:val="both"/>
      </w:pPr>
      <w:r>
        <w:rPr>
          <w:rFonts w:ascii="仿宋_GB2312" w:hAnsi="仿宋_GB2312" w:eastAsia="仿宋_GB2312"/>
          <w:sz w:val="32"/>
        </w:rPr>
        <w:t>（十六）承担开发区相关职责。</w:t>
      </w:r>
    </w:p>
    <w:p w14:paraId="5DF2EF7D">
      <w:pPr>
        <w:spacing w:line="580" w:lineRule="exact"/>
        <w:ind w:firstLine="640"/>
        <w:jc w:val="both"/>
      </w:pPr>
      <w:r>
        <w:rPr>
          <w:rFonts w:ascii="仿宋_GB2312" w:hAnsi="仿宋_GB2312" w:eastAsia="仿宋_GB2312"/>
          <w:sz w:val="32"/>
        </w:rPr>
        <w:t>（十七）完成市委、市人民政府交办的其他任务。</w:t>
      </w:r>
    </w:p>
    <w:p w14:paraId="308CE1E0">
      <w:pPr>
        <w:spacing w:line="640" w:lineRule="exact"/>
        <w:ind w:firstLine="640"/>
        <w:jc w:val="both"/>
        <w:outlineLvl w:val="2"/>
      </w:pPr>
      <w:r>
        <w:rPr>
          <w:rFonts w:ascii="黑体" w:hAnsi="黑体" w:eastAsia="黑体"/>
          <w:sz w:val="32"/>
        </w:rPr>
        <w:t>二、机构设置及人员情况</w:t>
      </w:r>
    </w:p>
    <w:p w14:paraId="47E26361">
      <w:pPr>
        <w:spacing w:line="580" w:lineRule="exact"/>
        <w:ind w:firstLine="640"/>
        <w:jc w:val="both"/>
      </w:pPr>
      <w:r>
        <w:rPr>
          <w:rFonts w:ascii="仿宋_GB2312" w:hAnsi="仿宋_GB2312" w:eastAsia="仿宋_GB2312"/>
          <w:sz w:val="32"/>
        </w:rPr>
        <w:t>霍尔果斯市商务局2024年度，实有人数2人，其中：在职人员2人，减少1人；离休人员0人，增加0人；退休人员0人,增加0人。</w:t>
      </w:r>
    </w:p>
    <w:p w14:paraId="1F7A4071">
      <w:pPr>
        <w:spacing w:line="580" w:lineRule="exact"/>
        <w:ind w:firstLine="640"/>
        <w:jc w:val="both"/>
      </w:pPr>
      <w:r>
        <w:rPr>
          <w:rFonts w:ascii="仿宋_GB2312" w:hAnsi="仿宋_GB2312" w:eastAsia="仿宋_GB2312"/>
          <w:sz w:val="32"/>
        </w:rPr>
        <w:t>霍尔果斯市商务局无下属预算单位，下设6个科室，分别是：综合办公室、内贸处、外贸处、招商处、会展办、电商办公室。</w:t>
      </w:r>
    </w:p>
    <w:p w14:paraId="5F112A3E">
      <w:r>
        <w:br w:type="page"/>
      </w:r>
    </w:p>
    <w:p w14:paraId="5E5B4C5D">
      <w:pPr>
        <w:spacing w:line="240" w:lineRule="auto"/>
        <w:jc w:val="center"/>
        <w:outlineLvl w:val="1"/>
      </w:pPr>
      <w:r>
        <w:rPr>
          <w:rFonts w:ascii="黑体" w:hAnsi="黑体" w:eastAsia="黑体"/>
          <w:sz w:val="32"/>
        </w:rPr>
        <w:t>第二部分 部门决算情况说明</w:t>
      </w:r>
    </w:p>
    <w:p w14:paraId="281808FA">
      <w:pPr>
        <w:spacing w:line="640" w:lineRule="exact"/>
        <w:ind w:firstLine="640"/>
        <w:jc w:val="both"/>
        <w:outlineLvl w:val="2"/>
      </w:pPr>
      <w:r>
        <w:rPr>
          <w:rFonts w:ascii="黑体" w:hAnsi="黑体" w:eastAsia="黑体"/>
          <w:sz w:val="32"/>
        </w:rPr>
        <w:t>一、收入支出决算总体情况说明</w:t>
      </w:r>
    </w:p>
    <w:p w14:paraId="5ACF8B45">
      <w:pPr>
        <w:spacing w:line="580" w:lineRule="exact"/>
        <w:ind w:firstLine="640"/>
        <w:jc w:val="both"/>
      </w:pPr>
      <w:r>
        <w:rPr>
          <w:rFonts w:ascii="仿宋_GB2312" w:hAnsi="仿宋_GB2312" w:eastAsia="仿宋_GB2312"/>
          <w:b/>
          <w:sz w:val="32"/>
        </w:rPr>
        <w:t>2024年度收入总计10,125.68万元，</w:t>
      </w:r>
      <w:r>
        <w:rPr>
          <w:rFonts w:ascii="仿宋_GB2312" w:hAnsi="仿宋_GB2312" w:eastAsia="仿宋_GB2312"/>
          <w:b w:val="0"/>
          <w:sz w:val="32"/>
        </w:rPr>
        <w:t>其中：本年收入合计10,114.16万元，使用非财政拨款结余（含专用结余）0.00万元，年初结转和结余11.52万元。</w:t>
      </w:r>
    </w:p>
    <w:p w14:paraId="0558DA81">
      <w:pPr>
        <w:spacing w:line="580" w:lineRule="exact"/>
        <w:ind w:firstLine="640"/>
        <w:jc w:val="both"/>
      </w:pPr>
      <w:r>
        <w:rPr>
          <w:rFonts w:ascii="仿宋_GB2312" w:hAnsi="仿宋_GB2312" w:eastAsia="仿宋_GB2312"/>
          <w:b/>
          <w:sz w:val="32"/>
        </w:rPr>
        <w:t>2024年度支出总计10,125.68万元，</w:t>
      </w:r>
      <w:r>
        <w:rPr>
          <w:rFonts w:ascii="仿宋_GB2312" w:hAnsi="仿宋_GB2312" w:eastAsia="仿宋_GB2312"/>
          <w:b w:val="0"/>
          <w:sz w:val="32"/>
        </w:rPr>
        <w:t>其中：本年支出合计9,603.09万元，结余分配0.00万元，年末结转和结余522.59万元。</w:t>
      </w:r>
    </w:p>
    <w:p w14:paraId="690727F8">
      <w:pPr>
        <w:spacing w:line="580" w:lineRule="exact"/>
        <w:ind w:firstLine="640"/>
        <w:jc w:val="both"/>
      </w:pPr>
      <w:r>
        <w:rPr>
          <w:rFonts w:ascii="仿宋_GB2312" w:hAnsi="仿宋_GB2312" w:eastAsia="仿宋_GB2312"/>
          <w:b w:val="0"/>
          <w:sz w:val="32"/>
        </w:rPr>
        <w:t>收入支出总体与上年相比，减少13,841.89万元，下降57.75%，主要原因是：本年减少霍尔果斯陆上边境口岸型国家物流枢纽基础设施建设项目、重点外贸企业仓储运输补贴项目资金。</w:t>
      </w:r>
    </w:p>
    <w:p w14:paraId="0233FA41">
      <w:pPr>
        <w:spacing w:line="640" w:lineRule="exact"/>
        <w:ind w:firstLine="640"/>
        <w:jc w:val="both"/>
        <w:outlineLvl w:val="2"/>
      </w:pPr>
      <w:r>
        <w:rPr>
          <w:rFonts w:ascii="黑体" w:hAnsi="黑体" w:eastAsia="黑体"/>
          <w:sz w:val="32"/>
        </w:rPr>
        <w:t>二、收入决算情况说明</w:t>
      </w:r>
    </w:p>
    <w:p w14:paraId="0912F780">
      <w:pPr>
        <w:spacing w:line="580" w:lineRule="exact"/>
        <w:ind w:firstLine="640"/>
        <w:jc w:val="both"/>
      </w:pPr>
      <w:r>
        <w:rPr>
          <w:rFonts w:ascii="仿宋_GB2312" w:hAnsi="仿宋_GB2312" w:eastAsia="仿宋_GB2312"/>
          <w:b/>
          <w:sz w:val="32"/>
        </w:rPr>
        <w:t>本年收入10,114.16万元，</w:t>
      </w:r>
      <w:r>
        <w:rPr>
          <w:rFonts w:ascii="仿宋_GB2312" w:hAnsi="仿宋_GB2312" w:eastAsia="仿宋_GB2312"/>
          <w:b w:val="0"/>
          <w:sz w:val="32"/>
        </w:rPr>
        <w:t>其中：财政拨款收入9,374.16万元，占92.68%；上级补助收入0.00万元，占0.00%；事业收入0.00万元，占0.00%；经营收入0.00万元，占0.00%；附属单位上缴收入0.00万元，占0.00%；其他收入740.00万元，占7.32%。</w:t>
      </w:r>
    </w:p>
    <w:p w14:paraId="47D95ABA">
      <w:pPr>
        <w:spacing w:line="640" w:lineRule="exact"/>
        <w:ind w:firstLine="640"/>
        <w:jc w:val="both"/>
        <w:outlineLvl w:val="2"/>
      </w:pPr>
      <w:r>
        <w:rPr>
          <w:rFonts w:ascii="黑体" w:hAnsi="黑体" w:eastAsia="黑体"/>
          <w:sz w:val="32"/>
        </w:rPr>
        <w:t>三、支出决算情况说明</w:t>
      </w:r>
    </w:p>
    <w:p w14:paraId="05979777">
      <w:pPr>
        <w:spacing w:line="580" w:lineRule="exact"/>
        <w:ind w:firstLine="640"/>
        <w:jc w:val="both"/>
      </w:pPr>
      <w:r>
        <w:rPr>
          <w:rFonts w:ascii="仿宋_GB2312" w:hAnsi="仿宋_GB2312" w:eastAsia="仿宋_GB2312"/>
          <w:b/>
          <w:sz w:val="32"/>
        </w:rPr>
        <w:t>本年支出9,603.09万元，</w:t>
      </w:r>
      <w:r>
        <w:rPr>
          <w:rFonts w:ascii="仿宋_GB2312" w:hAnsi="仿宋_GB2312" w:eastAsia="仿宋_GB2312"/>
          <w:b w:val="0"/>
          <w:sz w:val="32"/>
        </w:rPr>
        <w:t>其中：基本支出282.95万元，占2.95%；项目支出9,320.15万元，占97.05%；上缴上级支出0.00万元，占0.00%；经营支出0.00万元，占0.00%；对附属单位补助支出0.00万元，占0.00%。</w:t>
      </w:r>
    </w:p>
    <w:p w14:paraId="15AA9ED6">
      <w:pPr>
        <w:spacing w:line="640" w:lineRule="exact"/>
        <w:ind w:firstLine="640"/>
        <w:jc w:val="both"/>
        <w:outlineLvl w:val="2"/>
      </w:pPr>
      <w:r>
        <w:rPr>
          <w:rFonts w:ascii="黑体" w:hAnsi="黑体" w:eastAsia="黑体"/>
          <w:sz w:val="32"/>
        </w:rPr>
        <w:t>四、财政拨款收入支出决算总体情况说明</w:t>
      </w:r>
    </w:p>
    <w:p w14:paraId="39893060">
      <w:pPr>
        <w:spacing w:line="580" w:lineRule="exact"/>
        <w:ind w:firstLine="640"/>
        <w:jc w:val="both"/>
      </w:pPr>
      <w:r>
        <w:rPr>
          <w:rFonts w:ascii="仿宋_GB2312" w:hAnsi="仿宋_GB2312" w:eastAsia="仿宋_GB2312"/>
          <w:b/>
          <w:sz w:val="32"/>
        </w:rPr>
        <w:t>2024年度财政拨款收入总计9,374.16万元，</w:t>
      </w:r>
      <w:r>
        <w:rPr>
          <w:rFonts w:ascii="仿宋_GB2312" w:hAnsi="仿宋_GB2312" w:eastAsia="仿宋_GB2312"/>
          <w:b w:val="0"/>
          <w:sz w:val="32"/>
        </w:rPr>
        <w:t>其中：年初财政拨款结转和结余0.00万元，本年财政拨款收入9,374.16万元。</w:t>
      </w:r>
      <w:r>
        <w:rPr>
          <w:rFonts w:ascii="仿宋_GB2312" w:hAnsi="仿宋_GB2312" w:eastAsia="仿宋_GB2312"/>
          <w:b/>
          <w:sz w:val="32"/>
        </w:rPr>
        <w:t>财政拨款支出总计9,374.16万元，</w:t>
      </w:r>
      <w:r>
        <w:rPr>
          <w:rFonts w:ascii="仿宋_GB2312" w:hAnsi="仿宋_GB2312" w:eastAsia="仿宋_GB2312"/>
          <w:b w:val="0"/>
          <w:sz w:val="32"/>
        </w:rPr>
        <w:t>其中：年末财政拨款结转和结余0.00万元，本年财政拨款支出9,374.16万元。</w:t>
      </w:r>
    </w:p>
    <w:p w14:paraId="287C35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减少14,481.89万元，下降60.71%，主要原因是：本年减少霍尔果斯陆上边境口岸型国家物流枢纽基础设施建设项目、重点外贸企业仓储运输补贴项目资金。</w:t>
      </w:r>
      <w:r>
        <w:rPr>
          <w:rFonts w:ascii="仿宋_GB2312" w:hAnsi="仿宋_GB2312" w:eastAsia="仿宋_GB2312"/>
          <w:b/>
          <w:sz w:val="32"/>
        </w:rPr>
        <w:t>与年初预算相比，</w:t>
      </w:r>
      <w:r>
        <w:rPr>
          <w:rFonts w:ascii="仿宋_GB2312" w:hAnsi="仿宋_GB2312" w:eastAsia="仿宋_GB2312"/>
          <w:b w:val="0"/>
          <w:sz w:val="32"/>
        </w:rPr>
        <w:t>年初预算数3,058.95万元，决算数9,374.16万元，预决算差异率206.45%，主要原因是：年中追加重点外贸企业仓储运输补贴、霍尔果斯国际商品集采分拨中心场地平整及基础设施建设项目，导致预决算存在差异。</w:t>
      </w:r>
    </w:p>
    <w:p w14:paraId="51547580">
      <w:pPr>
        <w:spacing w:line="640" w:lineRule="exact"/>
        <w:ind w:firstLine="640"/>
        <w:jc w:val="both"/>
        <w:outlineLvl w:val="2"/>
      </w:pPr>
      <w:r>
        <w:rPr>
          <w:rFonts w:ascii="黑体" w:hAnsi="黑体" w:eastAsia="黑体"/>
          <w:sz w:val="32"/>
        </w:rPr>
        <w:t>五、一般公共预算财政拨款支出决算情况说明</w:t>
      </w:r>
    </w:p>
    <w:p w14:paraId="2CD9981E">
      <w:pPr>
        <w:spacing w:line="640" w:lineRule="exact"/>
        <w:ind w:firstLine="640"/>
        <w:jc w:val="both"/>
        <w:outlineLvl w:val="3"/>
      </w:pPr>
      <w:r>
        <w:rPr>
          <w:rFonts w:ascii="楷体_GB2312" w:hAnsi="楷体_GB2312" w:eastAsia="楷体_GB2312"/>
          <w:b/>
          <w:sz w:val="32"/>
        </w:rPr>
        <w:t>（一）一般公共预算财政拨款支出决算总体情况</w:t>
      </w:r>
    </w:p>
    <w:p w14:paraId="45765B5E">
      <w:pPr>
        <w:spacing w:line="580" w:lineRule="exact"/>
        <w:ind w:firstLine="640"/>
        <w:jc w:val="both"/>
      </w:pPr>
      <w:r>
        <w:rPr>
          <w:rFonts w:ascii="仿宋_GB2312" w:hAnsi="仿宋_GB2312" w:eastAsia="仿宋_GB2312"/>
          <w:b/>
          <w:sz w:val="32"/>
        </w:rPr>
        <w:t>2024年度一般公共预算财政拨款支出9,374.16万元，</w:t>
      </w:r>
      <w:r>
        <w:rPr>
          <w:rFonts w:ascii="仿宋_GB2312" w:hAnsi="仿宋_GB2312" w:eastAsia="仿宋_GB2312"/>
          <w:b w:val="0"/>
          <w:sz w:val="32"/>
        </w:rPr>
        <w:t>占本年支出合计的97.62%。</w:t>
      </w:r>
      <w:r>
        <w:rPr>
          <w:rFonts w:ascii="仿宋_GB2312" w:hAnsi="仿宋_GB2312" w:eastAsia="仿宋_GB2312"/>
          <w:b/>
          <w:sz w:val="32"/>
        </w:rPr>
        <w:t>与上年相比，</w:t>
      </w:r>
      <w:r>
        <w:rPr>
          <w:rFonts w:ascii="仿宋_GB2312" w:hAnsi="仿宋_GB2312" w:eastAsia="仿宋_GB2312"/>
          <w:b w:val="0"/>
          <w:sz w:val="32"/>
        </w:rPr>
        <w:t>减少2,481.89万元，下降20.93%，主要原因是：本年减少霍尔果斯国际会展中心ppp项目可行性缺口补助经费、霍尔果斯馕产业园四期（设计、施工）EPC总承包项目资金，导致项目经费较上年减少。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年初预算数3,058.95万元，决算数9,374.16万元，预决算差异率206.45%，主要原因是：年中追加重点外贸企业仓储运输补贴、霍尔果斯国际商品集采分拨中心场地平整及基础设施建设项目，导致预决算存在差异。</w:t>
      </w:r>
    </w:p>
    <w:p w14:paraId="28B182D3">
      <w:pPr>
        <w:spacing w:line="640" w:lineRule="exact"/>
        <w:ind w:firstLine="640"/>
        <w:jc w:val="both"/>
        <w:outlineLvl w:val="3"/>
      </w:pPr>
      <w:r>
        <w:rPr>
          <w:rFonts w:ascii="楷体_GB2312" w:hAnsi="楷体_GB2312" w:eastAsia="楷体_GB2312"/>
          <w:b/>
          <w:sz w:val="32"/>
        </w:rPr>
        <w:t>（二）一般公共预算财政拨款支出决算结构情况</w:t>
      </w:r>
    </w:p>
    <w:p w14:paraId="3598C4A5">
      <w:pPr>
        <w:spacing w:line="580" w:lineRule="exact"/>
        <w:ind w:firstLine="640"/>
        <w:jc w:val="both"/>
      </w:pPr>
      <w:r>
        <w:rPr>
          <w:rFonts w:ascii="仿宋_GB2312" w:hAnsi="仿宋_GB2312" w:eastAsia="仿宋_GB2312"/>
          <w:b w:val="0"/>
          <w:sz w:val="32"/>
        </w:rPr>
        <w:t>1.一般公共服务支出(类)3,297.23万元,占35.17%。</w:t>
      </w:r>
    </w:p>
    <w:p w14:paraId="6469FD09">
      <w:pPr>
        <w:spacing w:line="580" w:lineRule="exact"/>
        <w:ind w:firstLine="640"/>
        <w:jc w:val="both"/>
      </w:pPr>
      <w:r>
        <w:rPr>
          <w:rFonts w:ascii="仿宋_GB2312" w:hAnsi="仿宋_GB2312" w:eastAsia="仿宋_GB2312"/>
          <w:b w:val="0"/>
          <w:sz w:val="32"/>
        </w:rPr>
        <w:t>2.科学技术支出(类)2,561.60万元,占27.33%。</w:t>
      </w:r>
    </w:p>
    <w:p w14:paraId="2D5C331C">
      <w:pPr>
        <w:spacing w:line="580" w:lineRule="exact"/>
        <w:ind w:firstLine="640"/>
        <w:jc w:val="both"/>
      </w:pPr>
      <w:r>
        <w:rPr>
          <w:rFonts w:ascii="仿宋_GB2312" w:hAnsi="仿宋_GB2312" w:eastAsia="仿宋_GB2312"/>
          <w:b w:val="0"/>
          <w:sz w:val="32"/>
        </w:rPr>
        <w:t>3.社会保障和就业支出(类)36.49万元,占0.39%。</w:t>
      </w:r>
    </w:p>
    <w:p w14:paraId="296FD51F">
      <w:pPr>
        <w:spacing w:line="580" w:lineRule="exact"/>
        <w:ind w:firstLine="640"/>
        <w:jc w:val="both"/>
      </w:pPr>
      <w:r>
        <w:rPr>
          <w:rFonts w:ascii="仿宋_GB2312" w:hAnsi="仿宋_GB2312" w:eastAsia="仿宋_GB2312"/>
          <w:b w:val="0"/>
          <w:sz w:val="32"/>
        </w:rPr>
        <w:t>4.商业服务业等支出(类)3,458.38万元,占36.89%。</w:t>
      </w:r>
    </w:p>
    <w:p w14:paraId="48A86E7D">
      <w:pPr>
        <w:spacing w:line="580" w:lineRule="exact"/>
        <w:ind w:firstLine="640"/>
        <w:jc w:val="both"/>
      </w:pPr>
      <w:r>
        <w:rPr>
          <w:rFonts w:ascii="仿宋_GB2312" w:hAnsi="仿宋_GB2312" w:eastAsia="仿宋_GB2312"/>
          <w:b w:val="0"/>
          <w:sz w:val="32"/>
        </w:rPr>
        <w:t>5.住房保障支出(类)20.46万元,占0.22%。</w:t>
      </w:r>
    </w:p>
    <w:p w14:paraId="08A2C74C">
      <w:pPr>
        <w:spacing w:line="640" w:lineRule="exact"/>
        <w:ind w:firstLine="640"/>
        <w:jc w:val="both"/>
        <w:outlineLvl w:val="3"/>
      </w:pPr>
      <w:r>
        <w:rPr>
          <w:rFonts w:ascii="楷体_GB2312" w:hAnsi="楷体_GB2312" w:eastAsia="楷体_GB2312"/>
          <w:b/>
          <w:sz w:val="32"/>
        </w:rPr>
        <w:t>（三）一般公共预算财政拨款支出决算具体情况</w:t>
      </w:r>
    </w:p>
    <w:p w14:paraId="156A71F9">
      <w:pPr>
        <w:spacing w:line="580" w:lineRule="exact"/>
        <w:ind w:firstLine="640"/>
        <w:jc w:val="both"/>
      </w:pPr>
      <w:r>
        <w:rPr>
          <w:rFonts w:ascii="仿宋_GB2312" w:hAnsi="仿宋_GB2312" w:eastAsia="仿宋_GB2312"/>
          <w:b w:val="0"/>
          <w:sz w:val="32"/>
        </w:rPr>
        <w:t>1.一般公共服务支出(类)商贸事务(款)行政运行(项):支出决算数为226.00万元，比上年决算增加39.66万元，增长21.28%,主要原因是：本年在职人员工资调增，导致相关人员经费较上年有所增加。</w:t>
      </w:r>
    </w:p>
    <w:p w14:paraId="24101DBD">
      <w:pPr>
        <w:spacing w:line="580" w:lineRule="exact"/>
        <w:ind w:firstLine="640"/>
        <w:jc w:val="both"/>
      </w:pPr>
      <w:r>
        <w:rPr>
          <w:rFonts w:ascii="仿宋_GB2312" w:hAnsi="仿宋_GB2312" w:eastAsia="仿宋_GB2312"/>
          <w:b w:val="0"/>
          <w:sz w:val="32"/>
        </w:rPr>
        <w:t>2.一般公共服务支出(类)商贸事务(款)一般行政管理事务(项):支出决算数为3,071.23万元，比上年决算减少1,225.76万元，下降28.53%,主要原因是：本年减少商贸物流高质量发展扶持项目资金，导致项目经费较上年减少。</w:t>
      </w:r>
    </w:p>
    <w:p w14:paraId="609C3459">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3.教育支出(类)其他教育支出(款)其他教育支出(项):支出决算数为0.00万元，比上年决算减少500.00万元，下降100.00%,主要原因是：本年减少霍尔果斯经济开发区智能物流港建设项目资金，导致项目经费较上年减少。</w:t>
      </w:r>
    </w:p>
    <w:p w14:paraId="7BF130F9">
      <w:pPr>
        <w:spacing w:line="580" w:lineRule="exact"/>
        <w:ind w:firstLine="640"/>
        <w:jc w:val="both"/>
      </w:pPr>
      <w:r>
        <w:rPr>
          <w:rFonts w:ascii="仿宋_GB2312" w:hAnsi="仿宋_GB2312" w:eastAsia="仿宋_GB2312"/>
          <w:b w:val="0"/>
          <w:sz w:val="32"/>
        </w:rPr>
        <w:t>4.科学技术支出(类)其他科学技术支出(款)其他科学技术支出(项):支出决算数为2,561.60万元，比上年决算增加2,561.60万元，增长100.00%,主要原因是：本年增加霍尔果斯国际商品集采分拨中心场地平整及基础设施建设项目，导致项目经费较上年增加。</w:t>
      </w:r>
    </w:p>
    <w:p w14:paraId="05AB655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26.93万元，比上年决算增加6.49万元，增长31.75%,主要原因是：本年在职人员工资基数调增，养老缴费基数上涨，相应支出增加。</w:t>
      </w:r>
    </w:p>
    <w:p w14:paraId="6523169D">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6.社会保障和就业支出(类)行政事业单位养老支出(款)机关事业单位职业年金缴费支出(项):支出决算数为9.56万元，比上年决算增加6.06万元，增长173.14%,主要原因是：上年度市聘在职人员的</w:t>
      </w:r>
      <w:r>
        <w:rPr>
          <w:rFonts w:hint="eastAsia" w:ascii="仿宋_GB2312" w:hAnsi="仿宋_GB2312" w:eastAsia="仿宋_GB2312"/>
          <w:b w:val="0"/>
          <w:sz w:val="32"/>
          <w:lang w:val="en-US" w:eastAsia="zh-CN"/>
        </w:rPr>
        <w:t>职</w:t>
      </w:r>
      <w:r>
        <w:rPr>
          <w:rFonts w:ascii="仿宋_GB2312" w:hAnsi="仿宋_GB2312" w:eastAsia="仿宋_GB2312"/>
          <w:b w:val="0"/>
          <w:sz w:val="32"/>
        </w:rPr>
        <w:t>业年金在主科目列支，本年度单独列支，经费较上年增加。</w:t>
      </w:r>
    </w:p>
    <w:p w14:paraId="0C6EDA35">
      <w:pPr>
        <w:spacing w:line="580" w:lineRule="exact"/>
        <w:ind w:firstLine="640"/>
        <w:jc w:val="both"/>
      </w:pPr>
      <w:r>
        <w:rPr>
          <w:rFonts w:ascii="仿宋_GB2312" w:hAnsi="仿宋_GB2312" w:eastAsia="仿宋_GB2312"/>
          <w:b w:val="0"/>
          <w:sz w:val="32"/>
        </w:rPr>
        <w:t>7.城乡社区支出(类)城乡社区公共设施(款)其他城乡社区公共设施支出(项):支出决算数为0.00万元，比上年决算减少3,838.00万元，下降100.00%,主要原因是：本年减少霍尔果斯国际会展中心ppp项目可行性缺口补助经费、霍尔果斯馕产业园四期（设计、施工）EPC总承包项目资金，导致项目经费较上年减少。</w:t>
      </w:r>
    </w:p>
    <w:p w14:paraId="278BEA02">
      <w:pPr>
        <w:spacing w:line="580" w:lineRule="exact"/>
        <w:ind w:firstLine="640"/>
        <w:jc w:val="both"/>
      </w:pPr>
      <w:r>
        <w:rPr>
          <w:rFonts w:ascii="仿宋_GB2312" w:hAnsi="仿宋_GB2312" w:eastAsia="仿宋_GB2312"/>
          <w:b w:val="0"/>
          <w:sz w:val="32"/>
        </w:rPr>
        <w:t>8.商业服务业等支出(类)商业流通事务(款)其他商业流通事务支出(项):支出决算数为100.00万元，比上年决算增加10.00万元，增长11.11%,主要原因是：本年增加霍尔果斯金亿农产品批发加工产业园项目资金，导致项目经费较上年增加。</w:t>
      </w:r>
    </w:p>
    <w:p w14:paraId="419AE76E">
      <w:pPr>
        <w:spacing w:line="580" w:lineRule="exact"/>
        <w:ind w:firstLine="640"/>
        <w:jc w:val="both"/>
      </w:pPr>
      <w:r>
        <w:rPr>
          <w:rFonts w:ascii="仿宋_GB2312" w:hAnsi="仿宋_GB2312" w:eastAsia="仿宋_GB2312"/>
          <w:b w:val="0"/>
          <w:sz w:val="32"/>
        </w:rPr>
        <w:t>9.商业服务业等支出(类)涉外发展服务支出(款)其他涉外发展服务支出(项):支出决算数为3,358.38万元，比上年决算增加454.31万元，增长15.64%,主要原因是：本年增加外经贸发展专项项目资金，导致项目经费较上年增加。</w:t>
      </w:r>
    </w:p>
    <w:p w14:paraId="007783C8">
      <w:pPr>
        <w:spacing w:line="580" w:lineRule="exact"/>
        <w:ind w:firstLine="640"/>
        <w:jc w:val="both"/>
      </w:pPr>
      <w:r>
        <w:rPr>
          <w:rFonts w:ascii="仿宋_GB2312" w:hAnsi="仿宋_GB2312" w:eastAsia="仿宋_GB2312"/>
          <w:b w:val="0"/>
          <w:sz w:val="32"/>
        </w:rPr>
        <w:t>10.住房保障支出(类)住房改革支出(款)住房公积金(项):支出决算数为20.46万元，比上年决算增加3.75万元，增长22.44%,主要原因是：本年在职人员工资基数调增，公积金缴费基数上涨，相应支出增加。</w:t>
      </w:r>
    </w:p>
    <w:p w14:paraId="36A285B2">
      <w:pPr>
        <w:spacing w:line="640" w:lineRule="exact"/>
        <w:ind w:firstLine="640"/>
        <w:jc w:val="both"/>
        <w:outlineLvl w:val="2"/>
      </w:pPr>
      <w:r>
        <w:rPr>
          <w:rFonts w:ascii="黑体" w:hAnsi="黑体" w:eastAsia="黑体"/>
          <w:sz w:val="32"/>
        </w:rPr>
        <w:t>六、一般公共预算财政拨款基本支出决算情况说明</w:t>
      </w:r>
    </w:p>
    <w:p w14:paraId="58BE4B2D">
      <w:pPr>
        <w:spacing w:line="580" w:lineRule="exact"/>
        <w:ind w:firstLine="640"/>
        <w:jc w:val="both"/>
      </w:pPr>
      <w:r>
        <w:rPr>
          <w:rFonts w:ascii="仿宋_GB2312" w:hAnsi="仿宋_GB2312" w:eastAsia="仿宋_GB2312"/>
          <w:b w:val="0"/>
          <w:sz w:val="32"/>
        </w:rPr>
        <w:t>2024年度一般公共预算财政拨款基本支出282.95万元，其中：</w:t>
      </w:r>
      <w:r>
        <w:rPr>
          <w:rFonts w:ascii="仿宋_GB2312" w:hAnsi="仿宋_GB2312" w:eastAsia="仿宋_GB2312"/>
          <w:b/>
          <w:sz w:val="32"/>
        </w:rPr>
        <w:t>人员经费270.53万元，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w:t>
      </w:r>
    </w:p>
    <w:p w14:paraId="59D86CC3">
      <w:pPr>
        <w:spacing w:line="580" w:lineRule="exact"/>
        <w:ind w:firstLine="640"/>
        <w:jc w:val="both"/>
      </w:pPr>
      <w:r>
        <w:rPr>
          <w:rFonts w:ascii="仿宋_GB2312" w:hAnsi="仿宋_GB2312" w:eastAsia="仿宋_GB2312"/>
          <w:b/>
          <w:sz w:val="32"/>
        </w:rPr>
        <w:t>公用经费12.42万元，</w:t>
      </w:r>
      <w:r>
        <w:rPr>
          <w:rFonts w:ascii="仿宋_GB2312" w:hAnsi="仿宋_GB2312" w:eastAsia="仿宋_GB2312"/>
          <w:b w:val="0"/>
          <w:sz w:val="32"/>
        </w:rPr>
        <w:t>包括：办公费、差旅费、租赁费、工会经费、税金及附加费用。</w:t>
      </w:r>
    </w:p>
    <w:p w14:paraId="114A31F7">
      <w:pPr>
        <w:spacing w:line="640" w:lineRule="exact"/>
        <w:ind w:firstLine="640"/>
        <w:jc w:val="both"/>
        <w:outlineLvl w:val="2"/>
      </w:pPr>
      <w:r>
        <w:rPr>
          <w:rFonts w:ascii="黑体" w:hAnsi="黑体" w:eastAsia="黑体"/>
          <w:sz w:val="32"/>
        </w:rPr>
        <w:t>七、政府性基金预算财政拨款收入支出决算情况说明</w:t>
      </w:r>
    </w:p>
    <w:p w14:paraId="7B50E53E">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07AB936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减少12,000.00万元，下降100.00%，主要原因是：本年减少霍尔果斯陆上边境口岸型国家物流枢纽基础设施建设项目资金。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w:t>
      </w:r>
      <w:r>
        <w:rPr>
          <w:rFonts w:hint="eastAsia" w:ascii="仿宋_GB2312" w:hAnsi="仿宋_GB2312" w:eastAsia="仿宋_GB2312"/>
          <w:b w:val="0"/>
          <w:sz w:val="32"/>
          <w:lang w:val="en-US" w:eastAsia="zh-CN"/>
        </w:rPr>
        <w:t>本年无</w:t>
      </w:r>
      <w:r>
        <w:rPr>
          <w:rFonts w:ascii="仿宋_GB2312" w:hAnsi="仿宋_GB2312" w:eastAsia="仿宋_GB2312"/>
          <w:b w:val="0"/>
          <w:sz w:val="32"/>
        </w:rPr>
        <w:t>政府性基金预算财政拨款支出。</w:t>
      </w:r>
    </w:p>
    <w:p w14:paraId="1EA53942">
      <w:pPr>
        <w:spacing w:line="580" w:lineRule="exact"/>
        <w:ind w:firstLine="640"/>
        <w:jc w:val="both"/>
      </w:pPr>
      <w:r>
        <w:rPr>
          <w:rFonts w:ascii="仿宋_GB2312" w:hAnsi="仿宋_GB2312" w:eastAsia="仿宋_GB2312"/>
          <w:b w:val="0"/>
          <w:sz w:val="32"/>
        </w:rPr>
        <w:t>政府性基金预算财政拨款支出0.00万元。</w:t>
      </w:r>
    </w:p>
    <w:p w14:paraId="5ABFAC01">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12,000.00万元，下降100.00%,主要原因是：本年减少霍尔果斯陆上边境口岸型国家物流枢纽基础设施建设项目资金。</w:t>
      </w:r>
    </w:p>
    <w:p w14:paraId="7EFCC3A1">
      <w:pPr>
        <w:spacing w:line="640" w:lineRule="exact"/>
        <w:ind w:firstLine="640"/>
        <w:jc w:val="both"/>
        <w:outlineLvl w:val="2"/>
      </w:pPr>
      <w:r>
        <w:rPr>
          <w:rFonts w:ascii="黑体" w:hAnsi="黑体" w:eastAsia="黑体"/>
          <w:sz w:val="32"/>
        </w:rPr>
        <w:t>八、国有资本经营预算财政拨款收入支出决算情况说明</w:t>
      </w:r>
    </w:p>
    <w:p w14:paraId="34C9CEA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471873">
      <w:pPr>
        <w:spacing w:line="640" w:lineRule="exact"/>
        <w:ind w:firstLine="640"/>
        <w:jc w:val="both"/>
        <w:outlineLvl w:val="2"/>
      </w:pPr>
      <w:r>
        <w:rPr>
          <w:rFonts w:ascii="黑体" w:hAnsi="黑体" w:eastAsia="黑体"/>
          <w:sz w:val="32"/>
        </w:rPr>
        <w:t>九、财政拨款“三公”经费支出决算情况说明</w:t>
      </w:r>
    </w:p>
    <w:p w14:paraId="613F2F2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0.40万元，下降100.00%，主要原因是：严格落实中央八项规定精神，厉行节约，减少公务接待费。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减少0.40万元，下降100.00%，主要原因是：严格落实中央八项规定精神，厉行节约，减少公务接待费。</w:t>
      </w:r>
    </w:p>
    <w:p w14:paraId="6E114C49">
      <w:pPr>
        <w:spacing w:line="580" w:lineRule="exact"/>
        <w:ind w:firstLine="640"/>
        <w:jc w:val="both"/>
      </w:pPr>
      <w:r>
        <w:rPr>
          <w:rFonts w:ascii="仿宋_GB2312" w:hAnsi="仿宋_GB2312" w:eastAsia="仿宋_GB2312"/>
          <w:b/>
          <w:sz w:val="32"/>
        </w:rPr>
        <w:t>具体情况如下：</w:t>
      </w:r>
    </w:p>
    <w:p w14:paraId="4059708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BADD4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车辆借用其他单位使用，车辆费用由使用单位支付。</w:t>
      </w:r>
    </w:p>
    <w:p w14:paraId="414C3B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559A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17EFB12">
      <w:pPr>
        <w:spacing w:line="640" w:lineRule="exact"/>
        <w:ind w:firstLine="640"/>
        <w:jc w:val="both"/>
        <w:outlineLvl w:val="2"/>
      </w:pPr>
      <w:r>
        <w:rPr>
          <w:rFonts w:ascii="黑体" w:hAnsi="黑体" w:eastAsia="黑体"/>
          <w:sz w:val="32"/>
        </w:rPr>
        <w:t>十、其他重要事项的情况说明</w:t>
      </w:r>
    </w:p>
    <w:p w14:paraId="70C1E128">
      <w:pPr>
        <w:spacing w:line="640" w:lineRule="exact"/>
        <w:ind w:firstLine="640"/>
        <w:jc w:val="both"/>
        <w:outlineLvl w:val="3"/>
      </w:pPr>
      <w:r>
        <w:rPr>
          <w:rFonts w:ascii="楷体_GB2312" w:hAnsi="楷体_GB2312" w:eastAsia="楷体_GB2312"/>
          <w:b/>
          <w:sz w:val="32"/>
        </w:rPr>
        <w:t>（一）机关运行经费及公用经费支出情况</w:t>
      </w:r>
    </w:p>
    <w:p w14:paraId="18B07116">
      <w:pPr>
        <w:spacing w:line="580" w:lineRule="exact"/>
        <w:ind w:firstLine="640"/>
        <w:jc w:val="both"/>
      </w:pPr>
      <w:r>
        <w:rPr>
          <w:rFonts w:ascii="仿宋_GB2312" w:hAnsi="仿宋_GB2312" w:eastAsia="仿宋_GB2312"/>
          <w:b w:val="0"/>
          <w:sz w:val="32"/>
        </w:rPr>
        <w:t>2024年度霍尔果斯市商务局（行政单位和参照公务员法管理事业单位）机关运行经费支出12.42万元，比上年减少0.92万元，下降6.90%，主要原因是：严格控制公用经费，合理节约办公用品，减少不必要开支。</w:t>
      </w:r>
    </w:p>
    <w:p w14:paraId="6A3D1F29">
      <w:pPr>
        <w:spacing w:line="640" w:lineRule="exact"/>
        <w:ind w:firstLine="640"/>
        <w:jc w:val="both"/>
        <w:outlineLvl w:val="3"/>
      </w:pPr>
      <w:r>
        <w:rPr>
          <w:rFonts w:ascii="楷体_GB2312" w:hAnsi="楷体_GB2312" w:eastAsia="楷体_GB2312"/>
          <w:b/>
          <w:sz w:val="32"/>
        </w:rPr>
        <w:t>（二）政府采购情况</w:t>
      </w:r>
    </w:p>
    <w:p w14:paraId="597CBA57">
      <w:pPr>
        <w:spacing w:line="580" w:lineRule="exact"/>
        <w:ind w:firstLine="640"/>
        <w:jc w:val="both"/>
      </w:pPr>
      <w:r>
        <w:rPr>
          <w:rFonts w:ascii="仿宋_GB2312" w:hAnsi="仿宋_GB2312" w:eastAsia="仿宋_GB2312"/>
          <w:b w:val="0"/>
          <w:sz w:val="32"/>
        </w:rPr>
        <w:t>2024年度政府采购支出总额789.44万元，其中：政府采购货物支出732.13万元、政府采购工程支出0.00万元、政府采购服务支出57.31万元。</w:t>
      </w:r>
    </w:p>
    <w:p w14:paraId="3F1A3DBB">
      <w:pPr>
        <w:spacing w:line="580" w:lineRule="exact"/>
        <w:ind w:firstLine="640"/>
        <w:jc w:val="both"/>
      </w:pPr>
      <w:r>
        <w:rPr>
          <w:rFonts w:ascii="仿宋_GB2312" w:hAnsi="仿宋_GB2312" w:eastAsia="仿宋_GB2312"/>
          <w:b w:val="0"/>
          <w:sz w:val="32"/>
        </w:rPr>
        <w:t>授予中小企业合同金额789.44万元，占政府采购支出总额的100.00%，其中：授予小微企业合同金额374.44万元，占政府采购支出总额的47.43%。</w:t>
      </w:r>
    </w:p>
    <w:p w14:paraId="1BF5B6E9">
      <w:pPr>
        <w:spacing w:line="640" w:lineRule="exact"/>
        <w:ind w:firstLine="640"/>
        <w:jc w:val="both"/>
        <w:outlineLvl w:val="3"/>
      </w:pPr>
      <w:r>
        <w:rPr>
          <w:rFonts w:ascii="楷体_GB2312" w:hAnsi="楷体_GB2312" w:eastAsia="楷体_GB2312"/>
          <w:b/>
          <w:sz w:val="32"/>
        </w:rPr>
        <w:t>（三）国有资产占用情况说明</w:t>
      </w:r>
    </w:p>
    <w:p w14:paraId="08004318">
      <w:pPr>
        <w:spacing w:line="580" w:lineRule="exact"/>
        <w:ind w:firstLine="640"/>
        <w:jc w:val="both"/>
      </w:pPr>
      <w:r>
        <w:rPr>
          <w:rFonts w:ascii="仿宋_GB2312" w:hAnsi="仿宋_GB2312" w:eastAsia="仿宋_GB2312"/>
          <w:b w:val="0"/>
          <w:sz w:val="32"/>
        </w:rPr>
        <w:t>截至2024年12月31日，房屋0.00平方米，价值0.00万元。车辆1辆，价值21.25万元，其中：副部（省）级及以上领导用车0辆、主要负责人用车0辆、机要通信用车0辆、应急保障用车0辆、执法执勤用车0辆、特种专业技术用车0辆、离退休干部服务用车0辆、其他用车1辆，其他用车主要是：单位业务用车，借用给南部使用。单价100万元（含）以上设备（不含车辆）0台（套）。</w:t>
      </w:r>
    </w:p>
    <w:p w14:paraId="30D31CB8">
      <w:pPr>
        <w:spacing w:line="640" w:lineRule="exact"/>
        <w:ind w:firstLine="640"/>
        <w:jc w:val="both"/>
        <w:outlineLvl w:val="2"/>
      </w:pPr>
      <w:r>
        <w:rPr>
          <w:rFonts w:ascii="黑体" w:hAnsi="黑体" w:eastAsia="黑体"/>
          <w:sz w:val="32"/>
        </w:rPr>
        <w:t>十一、预算绩效的情况说明</w:t>
      </w:r>
    </w:p>
    <w:p w14:paraId="16EAFB0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10,125.68万元，实际执行总额9,603.10万元；预算绩效评价项目11个，全年预算数3,838.53万元，全年执行数3,838.53万元。预算绩效管理取得的成效：一是2024年完成外贸进出口总额1014.58亿元，同比增长43.46%，全口径社会消费品零售总额8.5亿元，同比增长7.9%，完成限额以上社会消费品零售总额2.77亿元，同比增长54.6%，增速位居全州第一；二是推动消费加快复苏，促进全区社会消费品零售总额增长；三是促进外贸固稳提质，实现全区进出口总额增长。发现的问题及原因：一是绩效监控的重视程度不高，绩效评价不及时，填报的质量不高；二是本单位对干部业务知识学习力度较弱，对相关业务人员培训次数较少。下一步改进措施：一是日常增强成本控制意识，做好绩效目标设置工作；二是项目实施前制定各岗位</w:t>
      </w:r>
      <w:r>
        <w:rPr>
          <w:rFonts w:hint="eastAsia" w:ascii="仿宋_GB2312" w:hAnsi="仿宋_GB2312" w:eastAsia="仿宋_GB2312"/>
          <w:b w:val="0"/>
          <w:sz w:val="32"/>
          <w:lang w:eastAsia="zh-CN"/>
        </w:rPr>
        <w:t>职责</w:t>
      </w:r>
      <w:r>
        <w:rPr>
          <w:rFonts w:ascii="仿宋_GB2312" w:hAnsi="仿宋_GB2312" w:eastAsia="仿宋_GB2312"/>
          <w:b w:val="0"/>
          <w:sz w:val="32"/>
        </w:rPr>
        <w:t>责任，明确分工；三是定期召开项目专题研讨会议；四是建立完善制度，按相关制度执行；五是严格按照预算管理规定开支，专款专用。具体附整体支出绩效自评表，项目支出绩效自评表和评价报告。</w:t>
      </w:r>
    </w:p>
    <w:p w14:paraId="2D69930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227"/>
        <w:gridCol w:w="983"/>
        <w:gridCol w:w="1105"/>
        <w:gridCol w:w="1105"/>
        <w:gridCol w:w="1105"/>
        <w:gridCol w:w="1105"/>
      </w:tblGrid>
      <w:tr w14:paraId="3ACC74D6">
        <w:tblPrEx>
          <w:tblCellMar>
            <w:top w:w="0" w:type="dxa"/>
            <w:left w:w="108" w:type="dxa"/>
            <w:bottom w:w="0" w:type="dxa"/>
            <w:right w:w="108" w:type="dxa"/>
          </w:tblCellMar>
        </w:tblPrEx>
        <w:tc>
          <w:tcPr>
            <w:tcW w:w="8840" w:type="dxa"/>
            <w:gridSpan w:val="8"/>
            <w:vAlign w:val="center"/>
          </w:tcPr>
          <w:p w14:paraId="04A21FDC">
            <w:pPr>
              <w:jc w:val="center"/>
            </w:pPr>
            <w:r>
              <w:rPr>
                <w:rFonts w:ascii="宋体" w:hAnsi="宋体" w:eastAsia="宋体"/>
                <w:sz w:val="24"/>
              </w:rPr>
              <w:t>单位整体支出绩效自评表</w:t>
            </w:r>
          </w:p>
        </w:tc>
      </w:tr>
      <w:tr w14:paraId="3854DF54">
        <w:tblPrEx>
          <w:tblCellMar>
            <w:top w:w="0" w:type="dxa"/>
            <w:left w:w="108" w:type="dxa"/>
            <w:bottom w:w="0" w:type="dxa"/>
            <w:right w:w="108" w:type="dxa"/>
          </w:tblCellMar>
        </w:tblPrEx>
        <w:tc>
          <w:tcPr>
            <w:tcW w:w="8840" w:type="dxa"/>
            <w:gridSpan w:val="8"/>
            <w:vAlign w:val="center"/>
          </w:tcPr>
          <w:p w14:paraId="2A4CD7FC">
            <w:pPr>
              <w:jc w:val="center"/>
            </w:pPr>
            <w:r>
              <w:rPr>
                <w:rFonts w:ascii="宋体" w:hAnsi="宋体" w:eastAsia="宋体"/>
                <w:sz w:val="24"/>
              </w:rPr>
              <w:t>（2024年度）</w:t>
            </w:r>
          </w:p>
        </w:tc>
      </w:tr>
      <w:tr w14:paraId="380C945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6414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10B3C0">
            <w:pPr>
              <w:jc w:val="center"/>
            </w:pPr>
            <w:r>
              <w:rPr>
                <w:rFonts w:ascii="宋体" w:hAnsi="宋体" w:eastAsia="宋体"/>
                <w:sz w:val="16"/>
              </w:rPr>
              <w:t>霍尔果斯市商务局</w:t>
            </w:r>
          </w:p>
        </w:tc>
      </w:tr>
      <w:tr w14:paraId="6BBE61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FDCC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1C00C">
            <w:pPr>
              <w:jc w:val="center"/>
            </w:pPr>
            <w:r>
              <w:rPr>
                <w:rFonts w:ascii="宋体" w:hAnsi="宋体" w:eastAsia="宋体"/>
                <w:sz w:val="16"/>
              </w:rPr>
              <w:t>资金来源</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073826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B49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4D4C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1814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302E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1992B">
            <w:pPr>
              <w:jc w:val="center"/>
            </w:pPr>
            <w:r>
              <w:rPr>
                <w:rFonts w:ascii="宋体" w:hAnsi="宋体" w:eastAsia="宋体"/>
                <w:sz w:val="16"/>
              </w:rPr>
              <w:t>得分</w:t>
            </w:r>
          </w:p>
        </w:tc>
      </w:tr>
      <w:tr w14:paraId="3FCEAA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B1F0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76AB6">
            <w:pPr>
              <w:jc w:val="center"/>
            </w:pPr>
            <w:r>
              <w:rPr>
                <w:rFonts w:ascii="宋体" w:hAnsi="宋体" w:eastAsia="宋体"/>
                <w:sz w:val="16"/>
              </w:rPr>
              <w:t>年度总资金</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433DD292">
            <w:pPr>
              <w:jc w:val="center"/>
            </w:pPr>
            <w:r>
              <w:rPr>
                <w:rFonts w:ascii="宋体" w:hAnsi="宋体" w:eastAsia="宋体"/>
                <w:sz w:val="16"/>
              </w:rPr>
              <w:t>3,058.95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CD3E">
            <w:pPr>
              <w:jc w:val="center"/>
            </w:pPr>
            <w:r>
              <w:rPr>
                <w:rFonts w:ascii="宋体" w:hAnsi="宋体" w:eastAsia="宋体"/>
                <w:sz w:val="16"/>
              </w:rPr>
              <w:t>10,125.68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9BB1F">
            <w:pPr>
              <w:jc w:val="center"/>
            </w:pPr>
            <w:r>
              <w:rPr>
                <w:rFonts w:ascii="宋体" w:hAnsi="宋体" w:eastAsia="宋体"/>
                <w:sz w:val="16"/>
              </w:rPr>
              <w:t>9,603.10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AFD0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DE86E">
            <w:pPr>
              <w:jc w:val="center"/>
            </w:pPr>
            <w:r>
              <w:rPr>
                <w:rFonts w:ascii="宋体" w:hAnsi="宋体" w:eastAsia="宋体"/>
                <w:sz w:val="16"/>
              </w:rPr>
              <w:t>94.84%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A05AA">
            <w:pPr>
              <w:jc w:val="center"/>
            </w:pPr>
            <w:r>
              <w:rPr>
                <w:rFonts w:ascii="宋体" w:hAnsi="宋体" w:eastAsia="宋体"/>
                <w:sz w:val="16"/>
              </w:rPr>
              <w:t>9.48</w:t>
            </w:r>
          </w:p>
        </w:tc>
      </w:tr>
      <w:tr w14:paraId="57DB98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79A5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C3BFF">
            <w:pPr>
              <w:jc w:val="center"/>
            </w:pPr>
            <w:r>
              <w:rPr>
                <w:rFonts w:ascii="宋体" w:hAnsi="宋体" w:eastAsia="宋体"/>
                <w:sz w:val="16"/>
              </w:rPr>
              <w:t>上级资金：</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54845C11">
            <w:pPr>
              <w:jc w:val="center"/>
            </w:pPr>
            <w:r>
              <w:rPr>
                <w:rFonts w:ascii="宋体" w:hAnsi="宋体" w:eastAsia="宋体"/>
                <w:sz w:val="16"/>
              </w:rPr>
              <w:t>2,500.00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6383B">
            <w:pPr>
              <w:jc w:val="center"/>
            </w:pPr>
            <w:r>
              <w:rPr>
                <w:rFonts w:ascii="宋体" w:hAnsi="宋体" w:eastAsia="宋体"/>
                <w:sz w:val="16"/>
              </w:rPr>
              <w:t>3,458.38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3931A">
            <w:pPr>
              <w:jc w:val="center"/>
            </w:pPr>
            <w:r>
              <w:rPr>
                <w:rFonts w:ascii="宋体" w:hAnsi="宋体" w:eastAsia="宋体"/>
                <w:sz w:val="16"/>
              </w:rPr>
              <w:t>3,458.38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99B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06A7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9A979">
            <w:pPr>
              <w:jc w:val="center"/>
            </w:pPr>
            <w:r>
              <w:rPr>
                <w:rFonts w:ascii="宋体" w:hAnsi="宋体" w:eastAsia="宋体"/>
                <w:sz w:val="16"/>
              </w:rPr>
              <w:t>-</w:t>
            </w:r>
          </w:p>
        </w:tc>
      </w:tr>
      <w:tr w14:paraId="1BFDAA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5840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74225">
            <w:pPr>
              <w:jc w:val="center"/>
            </w:pPr>
            <w:r>
              <w:rPr>
                <w:rFonts w:ascii="宋体" w:hAnsi="宋体" w:eastAsia="宋体"/>
                <w:sz w:val="16"/>
              </w:rPr>
              <w:t>本级资金：</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17963CB1">
            <w:pPr>
              <w:jc w:val="center"/>
            </w:pPr>
            <w:r>
              <w:rPr>
                <w:rFonts w:ascii="宋体" w:hAnsi="宋体" w:eastAsia="宋体"/>
                <w:sz w:val="16"/>
              </w:rPr>
              <w:t>558.95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35E0D">
            <w:pPr>
              <w:jc w:val="center"/>
            </w:pPr>
            <w:r>
              <w:rPr>
                <w:rFonts w:ascii="宋体" w:hAnsi="宋体" w:eastAsia="宋体"/>
                <w:sz w:val="16"/>
              </w:rPr>
              <w:t>6,667.30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F4BEA">
            <w:pPr>
              <w:jc w:val="center"/>
            </w:pPr>
            <w:r>
              <w:rPr>
                <w:rFonts w:ascii="宋体" w:hAnsi="宋体" w:eastAsia="宋体"/>
                <w:sz w:val="16"/>
              </w:rPr>
              <w:t>6,144.72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4B8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65A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C86BF">
            <w:pPr>
              <w:jc w:val="center"/>
            </w:pPr>
            <w:r>
              <w:rPr>
                <w:rFonts w:ascii="宋体" w:hAnsi="宋体" w:eastAsia="宋体"/>
                <w:sz w:val="16"/>
              </w:rPr>
              <w:t>-</w:t>
            </w:r>
          </w:p>
        </w:tc>
      </w:tr>
      <w:tr w14:paraId="1DB4A7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0827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D99C9">
            <w:pPr>
              <w:jc w:val="center"/>
            </w:pPr>
            <w:r>
              <w:rPr>
                <w:rFonts w:ascii="宋体" w:hAnsi="宋体" w:eastAsia="宋体"/>
                <w:sz w:val="16"/>
              </w:rPr>
              <w:t>其他资金：</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0C6561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5A6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1BDC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08D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1898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01ABD">
            <w:pPr>
              <w:jc w:val="center"/>
            </w:pPr>
            <w:r>
              <w:rPr>
                <w:rFonts w:ascii="宋体" w:hAnsi="宋体" w:eastAsia="宋体"/>
                <w:sz w:val="16"/>
              </w:rPr>
              <w:t>-</w:t>
            </w:r>
          </w:p>
        </w:tc>
      </w:tr>
      <w:tr w14:paraId="4F47EAD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920D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03084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56C68C">
            <w:pPr>
              <w:jc w:val="center"/>
            </w:pPr>
            <w:r>
              <w:rPr>
                <w:rFonts w:ascii="宋体" w:hAnsi="宋体" w:eastAsia="宋体"/>
                <w:sz w:val="16"/>
              </w:rPr>
              <w:t>实际完成情况</w:t>
            </w:r>
          </w:p>
        </w:tc>
      </w:tr>
      <w:tr w14:paraId="3B0F47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B5FD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99BFDD">
            <w:pPr>
              <w:jc w:val="both"/>
            </w:pPr>
            <w:r>
              <w:rPr>
                <w:rFonts w:ascii="宋体" w:hAnsi="宋体" w:eastAsia="宋体"/>
                <w:sz w:val="16"/>
              </w:rPr>
              <w:t>全面落实自治区、自治州党委、政府和市委、市政府工作部署，坚持</w:t>
            </w:r>
            <w:r>
              <w:rPr>
                <w:rFonts w:hint="eastAsia" w:ascii="宋体" w:hAnsi="宋体"/>
                <w:sz w:val="16"/>
                <w:lang w:eastAsia="zh-CN"/>
              </w:rPr>
              <w:t>深化</w:t>
            </w:r>
            <w:r>
              <w:rPr>
                <w:rFonts w:ascii="宋体" w:hAnsi="宋体" w:eastAsia="宋体"/>
                <w:sz w:val="16"/>
              </w:rPr>
              <w:t>改革、扩大开放，着力激发开放发展新活力，加快推进自贸试验区建设，全面提升对外开放水平。加快发展边境贸易、加工贸易等商贸物流产业，打造二手车企产业链、产业基地。积极争取获批边民互市贸易落地加工试点县市。持续推进国际交流合作，探索国际交流合作新模式。搭建平台，推进商贸流通高质量发展。压实招商责任，加大商贸物流及营利性服务业招商力度。</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AB1C29">
            <w:pPr>
              <w:jc w:val="both"/>
            </w:pPr>
            <w:r>
              <w:rPr>
                <w:rFonts w:ascii="宋体" w:hAnsi="宋体" w:eastAsia="宋体"/>
                <w:sz w:val="16"/>
              </w:rPr>
              <w:t>2024年完成外贸进出口总额1014.58亿元，同比增长43.46%，全口径社会消费品零售总额8.5亿元，同比增长7.9%，完成限额以上社会消费品零售总额2.77亿元，同比增长54.6%，增速位居全州第一。推动消费加快复苏，促进全区社会消费品零售总额增长；促进外贸固稳提质，实现全区进出口总额增长</w:t>
            </w:r>
            <w:r>
              <w:rPr>
                <w:rFonts w:hint="eastAsia" w:ascii="宋体" w:hAnsi="宋体"/>
                <w:sz w:val="16"/>
                <w:lang w:eastAsia="zh-CN"/>
              </w:rPr>
              <w:t>。</w:t>
            </w:r>
          </w:p>
        </w:tc>
      </w:tr>
      <w:tr w14:paraId="2D6078B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9530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80074">
            <w:pPr>
              <w:jc w:val="center"/>
            </w:pPr>
            <w:r>
              <w:rPr>
                <w:rFonts w:ascii="宋体" w:hAnsi="宋体" w:eastAsia="宋体"/>
                <w:sz w:val="16"/>
              </w:rPr>
              <w:t>二级指标</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76712F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D9A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EE12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01D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A037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CFF7A">
            <w:pPr>
              <w:jc w:val="center"/>
            </w:pPr>
            <w:r>
              <w:rPr>
                <w:rFonts w:ascii="宋体" w:hAnsi="宋体" w:eastAsia="宋体"/>
                <w:sz w:val="16"/>
              </w:rPr>
              <w:t>得分</w:t>
            </w:r>
          </w:p>
        </w:tc>
      </w:tr>
      <w:tr w14:paraId="42A6DC5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3D7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4BD7A">
            <w:pPr>
              <w:jc w:val="center"/>
            </w:pPr>
            <w:r>
              <w:rPr>
                <w:rFonts w:ascii="宋体" w:hAnsi="宋体" w:eastAsia="宋体"/>
                <w:sz w:val="16"/>
              </w:rPr>
              <w:t>质量指标</w:t>
            </w:r>
          </w:p>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7E21D5F0">
            <w:pPr>
              <w:jc w:val="center"/>
            </w:pPr>
            <w:r>
              <w:rPr>
                <w:rFonts w:ascii="宋体" w:hAnsi="宋体" w:eastAsia="宋体"/>
                <w:sz w:val="16"/>
              </w:rPr>
              <w:t>外贸进出口总额增速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758E">
            <w:pPr>
              <w:jc w:val="center"/>
            </w:pPr>
            <w:r>
              <w:rPr>
                <w:rFonts w:ascii="宋体" w:hAnsi="宋体" w:eastAsia="宋体"/>
                <w:sz w:val="16"/>
              </w:rPr>
              <w:t>&gt;=43.46%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6AFFA">
            <w:pPr>
              <w:jc w:val="center"/>
            </w:pPr>
            <w:r>
              <w:rPr>
                <w:rFonts w:ascii="宋体" w:hAnsi="宋体" w:eastAsia="宋体"/>
                <w:sz w:val="16"/>
              </w:rPr>
              <w:t>霍尔果斯市2024年经济工作方案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C2D0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E72AE">
            <w:pPr>
              <w:jc w:val="center"/>
            </w:pPr>
            <w:r>
              <w:rPr>
                <w:rFonts w:ascii="宋体" w:hAnsi="宋体" w:eastAsia="宋体"/>
                <w:sz w:val="16"/>
              </w:rPr>
              <w:t>43.36%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0B0D0">
            <w:pPr>
              <w:jc w:val="center"/>
            </w:pPr>
            <w:r>
              <w:rPr>
                <w:rFonts w:ascii="宋体" w:hAnsi="宋体" w:eastAsia="宋体"/>
                <w:sz w:val="16"/>
              </w:rPr>
              <w:t>20</w:t>
            </w:r>
          </w:p>
        </w:tc>
      </w:tr>
      <w:tr w14:paraId="06AA46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46E4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1789AB"/>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071C1AEA">
            <w:pPr>
              <w:jc w:val="center"/>
            </w:pPr>
            <w:r>
              <w:rPr>
                <w:rFonts w:ascii="宋体" w:hAnsi="宋体" w:eastAsia="宋体"/>
                <w:sz w:val="16"/>
              </w:rPr>
              <w:t>规模以上租赁和商务服务业营收同比增长率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595C">
            <w:pPr>
              <w:jc w:val="center"/>
            </w:pPr>
            <w:r>
              <w:rPr>
                <w:rFonts w:ascii="宋体" w:hAnsi="宋体" w:eastAsia="宋体"/>
                <w:sz w:val="16"/>
              </w:rPr>
              <w:t>&gt;=1.9%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5D16C">
            <w:pPr>
              <w:jc w:val="center"/>
            </w:pPr>
            <w:r>
              <w:rPr>
                <w:rFonts w:ascii="宋体" w:hAnsi="宋体" w:eastAsia="宋体"/>
                <w:sz w:val="16"/>
              </w:rPr>
              <w:t>霍尔果斯市2024年经济工作方案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1F647">
            <w:pPr>
              <w:jc w:val="center"/>
            </w:pPr>
            <w:r>
              <w:rPr>
                <w:rFonts w:ascii="宋体" w:hAnsi="宋体" w:eastAsia="宋体"/>
                <w:sz w:val="16"/>
              </w:rPr>
              <w:t>12.5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26FCC">
            <w:pPr>
              <w:jc w:val="center"/>
            </w:pPr>
            <w:r>
              <w:rPr>
                <w:rFonts w:ascii="宋体" w:hAnsi="宋体" w:eastAsia="宋体"/>
                <w:sz w:val="16"/>
              </w:rPr>
              <w:t>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A74F7">
            <w:pPr>
              <w:jc w:val="center"/>
            </w:pPr>
            <w:r>
              <w:rPr>
                <w:rFonts w:ascii="宋体" w:hAnsi="宋体" w:eastAsia="宋体"/>
                <w:sz w:val="16"/>
              </w:rPr>
              <w:t>12.5</w:t>
            </w:r>
          </w:p>
        </w:tc>
      </w:tr>
      <w:tr w14:paraId="118C78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82EE8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951EBD"/>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27DF493A">
            <w:pPr>
              <w:jc w:val="center"/>
            </w:pPr>
            <w:r>
              <w:rPr>
                <w:rFonts w:ascii="宋体" w:hAnsi="宋体" w:eastAsia="宋体"/>
                <w:sz w:val="16"/>
              </w:rPr>
              <w:t>限额以上批发业完成销售额同比增长率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653E">
            <w:pPr>
              <w:jc w:val="center"/>
            </w:pPr>
            <w:r>
              <w:rPr>
                <w:rFonts w:ascii="宋体" w:hAnsi="宋体" w:eastAsia="宋体"/>
                <w:sz w:val="16"/>
              </w:rPr>
              <w:t>&gt;=32.3%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880A3">
            <w:pPr>
              <w:jc w:val="center"/>
            </w:pPr>
            <w:r>
              <w:rPr>
                <w:rFonts w:ascii="宋体" w:hAnsi="宋体" w:eastAsia="宋体"/>
                <w:sz w:val="16"/>
              </w:rPr>
              <w:t>霍尔果斯市2024年经济工作方案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2E484">
            <w:pPr>
              <w:jc w:val="center"/>
            </w:pPr>
            <w:r>
              <w:rPr>
                <w:rFonts w:ascii="宋体" w:hAnsi="宋体" w:eastAsia="宋体"/>
                <w:sz w:val="16"/>
              </w:rPr>
              <w:t>12.5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A0E59">
            <w:pPr>
              <w:jc w:val="center"/>
            </w:pPr>
            <w:r>
              <w:rPr>
                <w:rFonts w:ascii="宋体" w:hAnsi="宋体" w:eastAsia="宋体"/>
                <w:sz w:val="16"/>
              </w:rPr>
              <w:t>32.3%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8744A">
            <w:pPr>
              <w:jc w:val="center"/>
            </w:pPr>
            <w:r>
              <w:rPr>
                <w:rFonts w:ascii="宋体" w:hAnsi="宋体" w:eastAsia="宋体"/>
                <w:sz w:val="16"/>
              </w:rPr>
              <w:t>12.5</w:t>
            </w:r>
          </w:p>
        </w:tc>
      </w:tr>
      <w:tr w14:paraId="6D440E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C46C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76237B"/>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536FE330">
            <w:pPr>
              <w:jc w:val="center"/>
            </w:pPr>
            <w:r>
              <w:rPr>
                <w:rFonts w:ascii="宋体" w:hAnsi="宋体" w:eastAsia="宋体"/>
                <w:sz w:val="16"/>
              </w:rPr>
              <w:t>限额以上零售业同比增长率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7E14">
            <w:pPr>
              <w:jc w:val="center"/>
            </w:pPr>
            <w:r>
              <w:rPr>
                <w:rFonts w:ascii="宋体" w:hAnsi="宋体" w:eastAsia="宋体"/>
                <w:sz w:val="16"/>
              </w:rPr>
              <w:t>&gt;=191.5%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8C6D0">
            <w:pPr>
              <w:jc w:val="center"/>
            </w:pPr>
            <w:r>
              <w:rPr>
                <w:rFonts w:ascii="宋体" w:hAnsi="宋体" w:eastAsia="宋体"/>
                <w:sz w:val="16"/>
              </w:rPr>
              <w:t>霍尔果斯市2024年经济工作方案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97EEE">
            <w:pPr>
              <w:jc w:val="center"/>
            </w:pPr>
            <w:r>
              <w:rPr>
                <w:rFonts w:ascii="宋体" w:hAnsi="宋体" w:eastAsia="宋体"/>
                <w:sz w:val="16"/>
              </w:rPr>
              <w:t>12.5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D52D9">
            <w:pPr>
              <w:jc w:val="center"/>
            </w:pPr>
            <w:r>
              <w:rPr>
                <w:rFonts w:ascii="宋体" w:hAnsi="宋体" w:eastAsia="宋体"/>
                <w:sz w:val="16"/>
              </w:rPr>
              <w:t>191.5%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27A76">
            <w:pPr>
              <w:jc w:val="center"/>
            </w:pPr>
            <w:r>
              <w:rPr>
                <w:rFonts w:ascii="宋体" w:hAnsi="宋体" w:eastAsia="宋体"/>
                <w:sz w:val="16"/>
              </w:rPr>
              <w:t>12.5</w:t>
            </w:r>
          </w:p>
        </w:tc>
      </w:tr>
      <w:tr w14:paraId="57B20C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E310C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5DC336"/>
        </w:tc>
        <w:tc>
          <w:tcPr>
            <w:tcW w:w="1227" w:type="dxa"/>
            <w:tcBorders>
              <w:top w:val="single" w:color="auto" w:sz="10" w:space="0"/>
              <w:left w:val="single" w:color="auto" w:sz="10" w:space="0"/>
              <w:bottom w:val="single" w:color="auto" w:sz="10" w:space="0"/>
              <w:right w:val="single" w:color="auto" w:sz="10" w:space="0"/>
              <w:insideV w:val="single" w:sz="10" w:space="0"/>
            </w:tcBorders>
            <w:vAlign w:val="center"/>
          </w:tcPr>
          <w:p w14:paraId="084EA089">
            <w:pPr>
              <w:jc w:val="center"/>
            </w:pPr>
            <w:r>
              <w:rPr>
                <w:rFonts w:ascii="宋体" w:hAnsi="宋体" w:eastAsia="宋体"/>
                <w:sz w:val="16"/>
              </w:rPr>
              <w:t>全口径社会消费品零售总额同比增长率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A9FA">
            <w:pPr>
              <w:jc w:val="center"/>
            </w:pPr>
            <w:r>
              <w:rPr>
                <w:rFonts w:ascii="宋体" w:hAnsi="宋体" w:eastAsia="宋体"/>
                <w:sz w:val="16"/>
              </w:rPr>
              <w:t>&gt;=7.9%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5EAFC">
            <w:pPr>
              <w:jc w:val="center"/>
            </w:pPr>
            <w:r>
              <w:rPr>
                <w:rFonts w:ascii="宋体" w:hAnsi="宋体" w:eastAsia="宋体"/>
                <w:sz w:val="16"/>
              </w:rPr>
              <w:t>霍尔果斯市2024年经济工作方案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ACF6F">
            <w:pPr>
              <w:jc w:val="center"/>
            </w:pPr>
            <w:r>
              <w:rPr>
                <w:rFonts w:ascii="宋体" w:hAnsi="宋体" w:eastAsia="宋体"/>
                <w:sz w:val="16"/>
              </w:rPr>
              <w:t>12.5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B86D8">
            <w:pPr>
              <w:jc w:val="center"/>
            </w:pPr>
            <w:r>
              <w:rPr>
                <w:rFonts w:ascii="宋体" w:hAnsi="宋体" w:eastAsia="宋体"/>
                <w:sz w:val="16"/>
              </w:rPr>
              <w:t>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14ED2">
            <w:pPr>
              <w:jc w:val="center"/>
            </w:pPr>
            <w:r>
              <w:rPr>
                <w:rFonts w:ascii="宋体" w:hAnsi="宋体" w:eastAsia="宋体"/>
                <w:sz w:val="16"/>
              </w:rPr>
              <w:t>12.5</w:t>
            </w:r>
          </w:p>
        </w:tc>
      </w:tr>
    </w:tbl>
    <w:p w14:paraId="5F8EE4EF">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571"/>
        <w:gridCol w:w="590"/>
        <w:gridCol w:w="1096"/>
        <w:gridCol w:w="936"/>
        <w:gridCol w:w="609"/>
        <w:gridCol w:w="590"/>
        <w:gridCol w:w="571"/>
        <w:gridCol w:w="571"/>
        <w:gridCol w:w="574"/>
        <w:gridCol w:w="573"/>
        <w:gridCol w:w="628"/>
      </w:tblGrid>
      <w:tr w14:paraId="763B31A9">
        <w:tblPrEx>
          <w:tblCellMar>
            <w:top w:w="0" w:type="dxa"/>
            <w:left w:w="108" w:type="dxa"/>
            <w:bottom w:w="0" w:type="dxa"/>
            <w:right w:w="108" w:type="dxa"/>
          </w:tblCellMar>
        </w:tblPrEx>
        <w:tc>
          <w:tcPr>
            <w:tcW w:w="8848" w:type="dxa"/>
            <w:gridSpan w:val="14"/>
            <w:vAlign w:val="center"/>
          </w:tcPr>
          <w:p w14:paraId="301EE03E">
            <w:pPr>
              <w:jc w:val="center"/>
            </w:pPr>
            <w:r>
              <w:rPr>
                <w:rFonts w:ascii="宋体" w:hAnsi="宋体" w:eastAsia="宋体"/>
                <w:sz w:val="24"/>
              </w:rPr>
              <w:t>项目支出绩效自评表</w:t>
            </w:r>
          </w:p>
        </w:tc>
      </w:tr>
      <w:tr w14:paraId="2A91372D">
        <w:tblPrEx>
          <w:tblCellMar>
            <w:top w:w="0" w:type="dxa"/>
            <w:left w:w="108" w:type="dxa"/>
            <w:bottom w:w="0" w:type="dxa"/>
            <w:right w:w="108" w:type="dxa"/>
          </w:tblCellMar>
        </w:tblPrEx>
        <w:tc>
          <w:tcPr>
            <w:tcW w:w="8848" w:type="dxa"/>
            <w:gridSpan w:val="14"/>
            <w:vAlign w:val="center"/>
          </w:tcPr>
          <w:p w14:paraId="543702D9">
            <w:pPr>
              <w:jc w:val="center"/>
            </w:pPr>
            <w:r>
              <w:rPr>
                <w:rFonts w:ascii="宋体" w:hAnsi="宋体" w:eastAsia="宋体"/>
                <w:sz w:val="24"/>
              </w:rPr>
              <w:t>(2024年度)</w:t>
            </w:r>
          </w:p>
        </w:tc>
      </w:tr>
      <w:tr w14:paraId="14C0E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D8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51584A">
            <w:pPr>
              <w:jc w:val="center"/>
            </w:pPr>
            <w:r>
              <w:rPr>
                <w:rFonts w:ascii="宋体" w:hAnsi="宋体" w:eastAsia="宋体"/>
                <w:sz w:val="16"/>
              </w:rPr>
              <w:t>2023年走私冻品无害化处置费用</w:t>
            </w:r>
          </w:p>
        </w:tc>
      </w:tr>
      <w:tr w14:paraId="3F9E17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8C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2C0D7">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5F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465CA9">
            <w:pPr>
              <w:jc w:val="center"/>
            </w:pPr>
            <w:r>
              <w:rPr>
                <w:rFonts w:ascii="宋体" w:hAnsi="宋体" w:eastAsia="宋体"/>
                <w:sz w:val="16"/>
              </w:rPr>
              <w:t>霍尔果斯市商务局</w:t>
            </w:r>
          </w:p>
        </w:tc>
      </w:tr>
      <w:tr w14:paraId="6120E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FD0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4AE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FA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D3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0B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E24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AC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ABDD">
            <w:pPr>
              <w:jc w:val="center"/>
            </w:pPr>
            <w:r>
              <w:rPr>
                <w:rFonts w:ascii="宋体" w:hAnsi="宋体" w:eastAsia="宋体"/>
                <w:sz w:val="16"/>
              </w:rPr>
              <w:t>得分</w:t>
            </w:r>
          </w:p>
        </w:tc>
      </w:tr>
      <w:tr w14:paraId="75FB1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A7C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E0A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0FEB">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C43E">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22474">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DF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71E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1FEB">
            <w:pPr>
              <w:jc w:val="center"/>
            </w:pPr>
            <w:r>
              <w:rPr>
                <w:rFonts w:ascii="宋体" w:hAnsi="宋体" w:eastAsia="宋体"/>
                <w:sz w:val="16"/>
              </w:rPr>
              <w:t>10.00</w:t>
            </w:r>
          </w:p>
        </w:tc>
      </w:tr>
      <w:tr w14:paraId="38CC8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3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EC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5B12">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7C56">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66051">
            <w:pPr>
              <w:jc w:val="center"/>
            </w:pPr>
            <w:r>
              <w:rPr>
                <w:rFonts w:ascii="宋体" w:hAnsi="宋体" w:eastAsia="宋体"/>
                <w:sz w:val="16"/>
              </w:rPr>
              <w:t>17.42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C1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C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2870">
            <w:pPr>
              <w:jc w:val="center"/>
            </w:pPr>
            <w:r>
              <w:rPr>
                <w:rFonts w:ascii="宋体" w:hAnsi="宋体" w:eastAsia="宋体"/>
                <w:sz w:val="16"/>
              </w:rPr>
              <w:t>—</w:t>
            </w:r>
          </w:p>
        </w:tc>
      </w:tr>
      <w:tr w14:paraId="64C06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34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661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F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BE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D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DC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E5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40B8">
            <w:pPr>
              <w:jc w:val="center"/>
            </w:pPr>
            <w:r>
              <w:rPr>
                <w:rFonts w:ascii="宋体" w:hAnsi="宋体" w:eastAsia="宋体"/>
                <w:sz w:val="16"/>
              </w:rPr>
              <w:t>—</w:t>
            </w:r>
          </w:p>
        </w:tc>
      </w:tr>
      <w:tr w14:paraId="376410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33A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AA7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62304">
            <w:pPr>
              <w:jc w:val="center"/>
            </w:pPr>
            <w:r>
              <w:rPr>
                <w:rFonts w:ascii="宋体" w:hAnsi="宋体" w:eastAsia="宋体"/>
                <w:sz w:val="16"/>
              </w:rPr>
              <w:t>实际完成情况</w:t>
            </w:r>
          </w:p>
        </w:tc>
      </w:tr>
      <w:tr w14:paraId="466A5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C37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D53CD">
            <w:pPr>
              <w:jc w:val="both"/>
            </w:pPr>
            <w:r>
              <w:rPr>
                <w:rFonts w:ascii="宋体" w:hAnsi="宋体" w:eastAsia="宋体"/>
                <w:sz w:val="16"/>
              </w:rPr>
              <w:t>根据《新疆维吾尔自治区走私冻品处置管理办法》（新商规〔2020〕1号）要求，通过累计接收霍尔果斯国际边境合作中心海关移交走私冻品18批次，共计6726.67kg，产生处置费用174220.75元，依法依规及时处置查获走私冻品，全面筑牢冻品走私防线，切实维护人民群众的生命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E410F8">
            <w:pPr>
              <w:jc w:val="both"/>
            </w:pPr>
            <w:r>
              <w:rPr>
                <w:rFonts w:ascii="宋体" w:hAnsi="宋体" w:eastAsia="宋体"/>
                <w:sz w:val="16"/>
              </w:rPr>
              <w:t>完成接收霍尔果斯国际边境合作中心海关移交走私冻品18批次，共计6726.67kg，产生处置费用174220.75元，依法依规及时处置查获走私冻品，全面筑牢冻品走私防线，切实维护人民群众的生命健康。</w:t>
            </w:r>
          </w:p>
        </w:tc>
      </w:tr>
      <w:tr w14:paraId="061C8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6216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B9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FD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A0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CB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04A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E1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30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19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B6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5A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CF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CC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5129">
            <w:pPr>
              <w:jc w:val="center"/>
            </w:pPr>
            <w:r>
              <w:rPr>
                <w:rFonts w:ascii="宋体" w:hAnsi="宋体" w:eastAsia="宋体"/>
                <w:sz w:val="16"/>
              </w:rPr>
              <w:t>偏差原因分析及改进措施</w:t>
            </w:r>
          </w:p>
        </w:tc>
      </w:tr>
      <w:tr w14:paraId="25525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F75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2C0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2B3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61D0">
            <w:pPr>
              <w:jc w:val="center"/>
            </w:pPr>
            <w:r>
              <w:rPr>
                <w:rFonts w:ascii="宋体" w:hAnsi="宋体" w:eastAsia="宋体"/>
                <w:sz w:val="16"/>
              </w:rPr>
              <w:t>处理走私冻品批次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59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3C21">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1FE0">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F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40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C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9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5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6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4C54">
            <w:pPr>
              <w:jc w:val="center"/>
            </w:pPr>
          </w:p>
        </w:tc>
      </w:tr>
      <w:tr w14:paraId="26B59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5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3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9F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C290">
            <w:pPr>
              <w:jc w:val="center"/>
            </w:pPr>
            <w:r>
              <w:rPr>
                <w:rFonts w:ascii="宋体" w:hAnsi="宋体" w:eastAsia="宋体"/>
                <w:sz w:val="16"/>
              </w:rPr>
              <w:t>处置走私冻品量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8C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35FF">
            <w:pPr>
              <w:jc w:val="center"/>
            </w:pPr>
            <w:r>
              <w:rPr>
                <w:rFonts w:ascii="宋体" w:hAnsi="宋体" w:eastAsia="宋体"/>
                <w:sz w:val="16"/>
              </w:rPr>
              <w:t>&gt;=6726.67kg</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5A1E">
            <w:pPr>
              <w:jc w:val="center"/>
            </w:pPr>
            <w:r>
              <w:rPr>
                <w:rFonts w:ascii="宋体" w:hAnsi="宋体" w:eastAsia="宋体"/>
                <w:sz w:val="16"/>
              </w:rPr>
              <w:t>6726.67kg</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C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AB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A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6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D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8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8244">
            <w:pPr>
              <w:jc w:val="center"/>
            </w:pPr>
          </w:p>
        </w:tc>
      </w:tr>
      <w:tr w14:paraId="06D5C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8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E0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390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0EAF">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D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9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1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0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10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9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D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A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B7A0">
            <w:pPr>
              <w:jc w:val="center"/>
            </w:pPr>
          </w:p>
        </w:tc>
      </w:tr>
      <w:tr w14:paraId="0EBF8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DA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7E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C9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A575">
            <w:pPr>
              <w:jc w:val="center"/>
            </w:pPr>
            <w:r>
              <w:rPr>
                <w:rFonts w:ascii="宋体" w:hAnsi="宋体" w:eastAsia="宋体"/>
                <w:sz w:val="16"/>
              </w:rPr>
              <w:t>无害化处理率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B4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C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2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A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FA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C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D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B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F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ADFD">
            <w:pPr>
              <w:jc w:val="center"/>
            </w:pPr>
          </w:p>
        </w:tc>
      </w:tr>
      <w:tr w14:paraId="71A44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F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D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68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F247">
            <w:pPr>
              <w:jc w:val="center"/>
            </w:pPr>
            <w:r>
              <w:rPr>
                <w:rFonts w:ascii="宋体" w:hAnsi="宋体" w:eastAsia="宋体"/>
                <w:sz w:val="16"/>
              </w:rPr>
              <w:t>走私冻品处理及时率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72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E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1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A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AB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B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8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F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27D8">
            <w:pPr>
              <w:jc w:val="center"/>
            </w:pPr>
          </w:p>
        </w:tc>
      </w:tr>
      <w:tr w14:paraId="5DAD4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A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13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8E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E4AD">
            <w:pPr>
              <w:jc w:val="center"/>
            </w:pPr>
            <w:r>
              <w:rPr>
                <w:rFonts w:ascii="宋体" w:hAnsi="宋体" w:eastAsia="宋体"/>
                <w:sz w:val="16"/>
              </w:rPr>
              <w:t>处置标准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26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4D67">
            <w:pPr>
              <w:jc w:val="center"/>
            </w:pPr>
            <w:r>
              <w:rPr>
                <w:rFonts w:ascii="宋体" w:hAnsi="宋体" w:eastAsia="宋体"/>
                <w:sz w:val="16"/>
              </w:rPr>
              <w:t>=25.90元/千克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C2D9">
            <w:pPr>
              <w:jc w:val="center"/>
            </w:pPr>
            <w:r>
              <w:rPr>
                <w:rFonts w:ascii="宋体" w:hAnsi="宋体" w:eastAsia="宋体"/>
                <w:sz w:val="16"/>
              </w:rPr>
              <w:t>25.9元/千克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3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88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6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7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D4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0B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9A69">
            <w:pPr>
              <w:jc w:val="center"/>
            </w:pPr>
          </w:p>
        </w:tc>
      </w:tr>
      <w:tr w14:paraId="4AD8B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8B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31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688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7963">
            <w:pPr>
              <w:jc w:val="center"/>
            </w:pPr>
            <w:r>
              <w:rPr>
                <w:rFonts w:ascii="宋体" w:hAnsi="宋体" w:eastAsia="宋体"/>
                <w:sz w:val="16"/>
              </w:rPr>
              <w:t>进一步规范处置走私冻品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FC2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378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ABB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9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320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E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82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6A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4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6759">
            <w:pPr>
              <w:jc w:val="center"/>
            </w:pPr>
          </w:p>
        </w:tc>
      </w:tr>
      <w:tr w14:paraId="4C4F2C6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BEAF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2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AEA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74C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1A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DCF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7B2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5C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0EE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6A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69811"/>
        </w:tc>
      </w:tr>
    </w:tbl>
    <w:p w14:paraId="52CDD55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696"/>
        <w:gridCol w:w="696"/>
        <w:gridCol w:w="776"/>
        <w:gridCol w:w="627"/>
        <w:gridCol w:w="625"/>
        <w:gridCol w:w="625"/>
        <w:gridCol w:w="626"/>
        <w:gridCol w:w="625"/>
        <w:gridCol w:w="633"/>
      </w:tblGrid>
      <w:tr w14:paraId="7F24B60E">
        <w:tblPrEx>
          <w:tblCellMar>
            <w:top w:w="0" w:type="dxa"/>
            <w:left w:w="108" w:type="dxa"/>
            <w:bottom w:w="0" w:type="dxa"/>
            <w:right w:w="108" w:type="dxa"/>
          </w:tblCellMar>
        </w:tblPrEx>
        <w:tc>
          <w:tcPr>
            <w:tcW w:w="8848" w:type="dxa"/>
            <w:gridSpan w:val="14"/>
            <w:vAlign w:val="center"/>
          </w:tcPr>
          <w:p w14:paraId="0987351F">
            <w:pPr>
              <w:jc w:val="center"/>
            </w:pPr>
            <w:r>
              <w:rPr>
                <w:rFonts w:ascii="宋体" w:hAnsi="宋体" w:eastAsia="宋体"/>
                <w:sz w:val="24"/>
              </w:rPr>
              <w:t>项目支出绩效自评表</w:t>
            </w:r>
          </w:p>
        </w:tc>
      </w:tr>
      <w:tr w14:paraId="7C2446CE">
        <w:tblPrEx>
          <w:tblCellMar>
            <w:top w:w="0" w:type="dxa"/>
            <w:left w:w="108" w:type="dxa"/>
            <w:bottom w:w="0" w:type="dxa"/>
            <w:right w:w="108" w:type="dxa"/>
          </w:tblCellMar>
        </w:tblPrEx>
        <w:tc>
          <w:tcPr>
            <w:tcW w:w="8848" w:type="dxa"/>
            <w:gridSpan w:val="14"/>
            <w:vAlign w:val="center"/>
          </w:tcPr>
          <w:p w14:paraId="27FA4145">
            <w:pPr>
              <w:jc w:val="center"/>
            </w:pPr>
            <w:r>
              <w:rPr>
                <w:rFonts w:ascii="宋体" w:hAnsi="宋体" w:eastAsia="宋体"/>
                <w:sz w:val="24"/>
              </w:rPr>
              <w:t>(2024年度)</w:t>
            </w:r>
          </w:p>
        </w:tc>
      </w:tr>
      <w:tr w14:paraId="6D5948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80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7A76F9">
            <w:pPr>
              <w:jc w:val="center"/>
            </w:pPr>
            <w:r>
              <w:rPr>
                <w:rFonts w:ascii="宋体" w:hAnsi="宋体" w:eastAsia="宋体"/>
                <w:sz w:val="16"/>
              </w:rPr>
              <w:t>中国—亚欧博览会霍尔果斯代表团工作项目</w:t>
            </w:r>
          </w:p>
        </w:tc>
      </w:tr>
      <w:tr w14:paraId="526BF0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F4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0B281">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AA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F5B2E">
            <w:pPr>
              <w:jc w:val="center"/>
            </w:pPr>
            <w:r>
              <w:rPr>
                <w:rFonts w:ascii="宋体" w:hAnsi="宋体" w:eastAsia="宋体"/>
                <w:sz w:val="16"/>
              </w:rPr>
              <w:t>霍尔果斯市商务局</w:t>
            </w:r>
          </w:p>
        </w:tc>
      </w:tr>
      <w:tr w14:paraId="5B461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434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65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86F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7A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559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04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E8E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F223">
            <w:pPr>
              <w:jc w:val="center"/>
            </w:pPr>
            <w:r>
              <w:rPr>
                <w:rFonts w:ascii="宋体" w:hAnsi="宋体" w:eastAsia="宋体"/>
                <w:sz w:val="16"/>
              </w:rPr>
              <w:t>得分</w:t>
            </w:r>
          </w:p>
        </w:tc>
      </w:tr>
      <w:tr w14:paraId="7B17E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F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83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EBBD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2B9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058C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88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6D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41DD">
            <w:pPr>
              <w:jc w:val="center"/>
            </w:pPr>
            <w:r>
              <w:rPr>
                <w:rFonts w:ascii="宋体" w:hAnsi="宋体" w:eastAsia="宋体"/>
                <w:sz w:val="16"/>
              </w:rPr>
              <w:t>10.00</w:t>
            </w:r>
          </w:p>
        </w:tc>
      </w:tr>
      <w:tr w14:paraId="14E63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1BE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B8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1FF9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821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12F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22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14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39BE">
            <w:pPr>
              <w:jc w:val="center"/>
            </w:pPr>
            <w:r>
              <w:rPr>
                <w:rFonts w:ascii="宋体" w:hAnsi="宋体" w:eastAsia="宋体"/>
                <w:sz w:val="16"/>
              </w:rPr>
              <w:t>—</w:t>
            </w:r>
          </w:p>
        </w:tc>
      </w:tr>
      <w:tr w14:paraId="008CD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6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70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4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0F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D4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74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B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19CC">
            <w:pPr>
              <w:jc w:val="center"/>
            </w:pPr>
            <w:r>
              <w:rPr>
                <w:rFonts w:ascii="宋体" w:hAnsi="宋体" w:eastAsia="宋体"/>
                <w:sz w:val="16"/>
              </w:rPr>
              <w:t>—</w:t>
            </w:r>
          </w:p>
        </w:tc>
      </w:tr>
      <w:tr w14:paraId="2F6D5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D8D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5BA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E865D">
            <w:pPr>
              <w:jc w:val="center"/>
            </w:pPr>
            <w:r>
              <w:rPr>
                <w:rFonts w:ascii="宋体" w:hAnsi="宋体" w:eastAsia="宋体"/>
                <w:sz w:val="16"/>
              </w:rPr>
              <w:t>实际完成情况</w:t>
            </w:r>
          </w:p>
        </w:tc>
      </w:tr>
      <w:tr w14:paraId="42E3A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84F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52694">
            <w:pPr>
              <w:jc w:val="both"/>
            </w:pPr>
            <w:r>
              <w:rPr>
                <w:rFonts w:ascii="宋体" w:hAnsi="宋体" w:eastAsia="宋体"/>
                <w:sz w:val="16"/>
              </w:rPr>
              <w:t>关于印发《第八届中国一亚欧博览会霍尔果斯代表团工作方案》的通知、《第八届中国一亚欧博览会霍尔果斯代表团工作方案》，通过打造展位数量1个，展位打造面积108平方米，共计支付30万元，吸引大量合作商，促进贸易和投资，带动当地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B6CA78">
            <w:pPr>
              <w:jc w:val="both"/>
            </w:pPr>
            <w:r>
              <w:rPr>
                <w:rFonts w:ascii="宋体" w:hAnsi="宋体" w:eastAsia="宋体"/>
                <w:sz w:val="16"/>
              </w:rPr>
              <w:t>完成打造展位数量1个，展位打造面积108平方米，共计支付30万元，吸引大量合作商，促进贸易和投资，带动当地经济发展。</w:t>
            </w:r>
          </w:p>
        </w:tc>
      </w:tr>
      <w:tr w14:paraId="55EAF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83A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54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E1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BF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B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B8C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060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27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59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5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AF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59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28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79AA">
            <w:pPr>
              <w:jc w:val="center"/>
            </w:pPr>
            <w:r>
              <w:rPr>
                <w:rFonts w:ascii="宋体" w:hAnsi="宋体" w:eastAsia="宋体"/>
                <w:sz w:val="16"/>
              </w:rPr>
              <w:t>偏差原因分析及改进措施</w:t>
            </w:r>
          </w:p>
        </w:tc>
      </w:tr>
      <w:tr w14:paraId="77F8A5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74E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290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10F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CF24">
            <w:pPr>
              <w:jc w:val="center"/>
            </w:pPr>
            <w:r>
              <w:rPr>
                <w:rFonts w:ascii="宋体" w:hAnsi="宋体" w:eastAsia="宋体"/>
                <w:sz w:val="16"/>
              </w:rPr>
              <w:t>打造展位数量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C4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216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4A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7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CA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C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9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F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DA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A626">
            <w:pPr>
              <w:jc w:val="center"/>
            </w:pPr>
          </w:p>
        </w:tc>
      </w:tr>
      <w:tr w14:paraId="7FCA0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2D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3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1E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C522">
            <w:pPr>
              <w:jc w:val="center"/>
            </w:pPr>
            <w:r>
              <w:rPr>
                <w:rFonts w:ascii="宋体" w:hAnsi="宋体" w:eastAsia="宋体"/>
                <w:sz w:val="16"/>
              </w:rPr>
              <w:t>展位打造面积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83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93BE">
            <w:pPr>
              <w:jc w:val="center"/>
            </w:pPr>
            <w:r>
              <w:rPr>
                <w:rFonts w:ascii="宋体" w:hAnsi="宋体" w:eastAsia="宋体"/>
                <w:sz w:val="16"/>
              </w:rPr>
              <w:t>=108平方米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889">
            <w:pPr>
              <w:jc w:val="center"/>
            </w:pPr>
            <w:r>
              <w:rPr>
                <w:rFonts w:ascii="宋体" w:hAnsi="宋体" w:eastAsia="宋体"/>
                <w:sz w:val="16"/>
              </w:rPr>
              <w:t>108平方米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8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DF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3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F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F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C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7B7D">
            <w:pPr>
              <w:jc w:val="center"/>
            </w:pPr>
          </w:p>
        </w:tc>
      </w:tr>
      <w:tr w14:paraId="42C5B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D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1AA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CC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F15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70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6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7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A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9F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6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B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3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90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8F3F">
            <w:pPr>
              <w:jc w:val="center"/>
            </w:pPr>
          </w:p>
        </w:tc>
      </w:tr>
      <w:tr w14:paraId="364F1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3F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73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2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D3D8">
            <w:pPr>
              <w:jc w:val="center"/>
            </w:pPr>
            <w:r>
              <w:rPr>
                <w:rFonts w:ascii="宋体" w:hAnsi="宋体" w:eastAsia="宋体"/>
                <w:sz w:val="16"/>
              </w:rPr>
              <w:t>展位验收合格率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24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9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F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4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B4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9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4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4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C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98AE">
            <w:pPr>
              <w:jc w:val="center"/>
            </w:pPr>
          </w:p>
        </w:tc>
      </w:tr>
      <w:tr w14:paraId="06D74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7B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F0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83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01B1">
            <w:pPr>
              <w:jc w:val="center"/>
            </w:pPr>
            <w:r>
              <w:rPr>
                <w:rFonts w:ascii="宋体" w:hAnsi="宋体" w:eastAsia="宋体"/>
                <w:sz w:val="16"/>
              </w:rPr>
              <w:t>展位打造完成时间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3D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B768">
            <w:pPr>
              <w:jc w:val="center"/>
            </w:pPr>
            <w:r>
              <w:rPr>
                <w:rFonts w:ascii="宋体" w:hAnsi="宋体" w:eastAsia="宋体"/>
                <w:sz w:val="16"/>
              </w:rPr>
              <w:t>&lt;=2024年8月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5884">
            <w:pPr>
              <w:jc w:val="center"/>
            </w:pPr>
            <w:r>
              <w:rPr>
                <w:rFonts w:ascii="宋体" w:hAnsi="宋体" w:eastAsia="宋体"/>
                <w:sz w:val="16"/>
              </w:rPr>
              <w:t>204年8月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B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E0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D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FD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01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14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BC30">
            <w:pPr>
              <w:jc w:val="center"/>
            </w:pPr>
          </w:p>
        </w:tc>
      </w:tr>
      <w:tr w14:paraId="1E565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44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18D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364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DAF5">
            <w:pPr>
              <w:jc w:val="center"/>
            </w:pPr>
            <w:r>
              <w:rPr>
                <w:rFonts w:ascii="宋体" w:hAnsi="宋体" w:eastAsia="宋体"/>
                <w:sz w:val="16"/>
              </w:rPr>
              <w:t>展位预付款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6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8E1C">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B1AD">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7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94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5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9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5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AA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2D7F">
            <w:pPr>
              <w:jc w:val="center"/>
            </w:pPr>
          </w:p>
        </w:tc>
      </w:tr>
      <w:tr w14:paraId="042ED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C7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7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4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33AC">
            <w:pPr>
              <w:jc w:val="center"/>
            </w:pPr>
            <w:r>
              <w:rPr>
                <w:rFonts w:ascii="宋体" w:hAnsi="宋体" w:eastAsia="宋体"/>
                <w:sz w:val="16"/>
              </w:rPr>
              <w:t>展位尾款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A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E6D3">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A9D4">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8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4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A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1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5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D0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D30D">
            <w:pPr>
              <w:jc w:val="center"/>
            </w:pPr>
          </w:p>
        </w:tc>
      </w:tr>
      <w:tr w14:paraId="539B6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0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9C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C6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832E">
            <w:pPr>
              <w:jc w:val="center"/>
            </w:pPr>
            <w:r>
              <w:rPr>
                <w:rFonts w:ascii="宋体" w:hAnsi="宋体" w:eastAsia="宋体"/>
                <w:sz w:val="16"/>
              </w:rPr>
              <w:t>提高霍尔果斯企业知名度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C2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E47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AB4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8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44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E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F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78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4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0AC1">
            <w:pPr>
              <w:jc w:val="center"/>
            </w:pPr>
          </w:p>
        </w:tc>
      </w:tr>
      <w:tr w14:paraId="7D47C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A4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C0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3F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35AC">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E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96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89B3">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E303">
            <w:pPr>
              <w:jc w:val="center"/>
            </w:pPr>
            <w:r>
              <w:rPr>
                <w:rFonts w:ascii="宋体" w:hAnsi="宋体" w:eastAsia="宋体"/>
                <w:sz w:val="16"/>
              </w:rPr>
              <w:t>103.14%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6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2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B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F4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8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7A7A">
            <w:pPr>
              <w:jc w:val="center"/>
            </w:pPr>
            <w:r>
              <w:rPr>
                <w:rFonts w:ascii="宋体" w:hAnsi="宋体" w:eastAsia="宋体"/>
                <w:sz w:val="16"/>
              </w:rPr>
              <w:t>企业满意度较高。</w:t>
            </w:r>
          </w:p>
        </w:tc>
      </w:tr>
      <w:tr w14:paraId="77CA6F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A0E7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F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A48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DDE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B8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BC3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E7C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6F2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8D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2F6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EE948"/>
        </w:tc>
      </w:tr>
    </w:tbl>
    <w:p w14:paraId="2A1A397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07"/>
        <w:gridCol w:w="615"/>
        <w:gridCol w:w="856"/>
        <w:gridCol w:w="696"/>
        <w:gridCol w:w="776"/>
        <w:gridCol w:w="615"/>
        <w:gridCol w:w="607"/>
        <w:gridCol w:w="607"/>
        <w:gridCol w:w="608"/>
        <w:gridCol w:w="608"/>
        <w:gridCol w:w="630"/>
      </w:tblGrid>
      <w:tr w14:paraId="1EC485DC">
        <w:tc>
          <w:tcPr>
            <w:tcW w:w="8848" w:type="dxa"/>
            <w:gridSpan w:val="14"/>
            <w:vAlign w:val="center"/>
          </w:tcPr>
          <w:p w14:paraId="24F346CE">
            <w:pPr>
              <w:jc w:val="center"/>
            </w:pPr>
            <w:r>
              <w:rPr>
                <w:rFonts w:ascii="宋体" w:hAnsi="宋体" w:eastAsia="宋体"/>
                <w:sz w:val="24"/>
              </w:rPr>
              <w:t>项目支出绩效自评表</w:t>
            </w:r>
          </w:p>
        </w:tc>
      </w:tr>
      <w:tr w14:paraId="203A7B5C">
        <w:tblPrEx>
          <w:tblCellMar>
            <w:top w:w="0" w:type="dxa"/>
            <w:left w:w="108" w:type="dxa"/>
            <w:bottom w:w="0" w:type="dxa"/>
            <w:right w:w="108" w:type="dxa"/>
          </w:tblCellMar>
        </w:tblPrEx>
        <w:tc>
          <w:tcPr>
            <w:tcW w:w="8848" w:type="dxa"/>
            <w:gridSpan w:val="14"/>
            <w:vAlign w:val="center"/>
          </w:tcPr>
          <w:p w14:paraId="63A3419D">
            <w:pPr>
              <w:jc w:val="center"/>
            </w:pPr>
            <w:r>
              <w:rPr>
                <w:rFonts w:ascii="宋体" w:hAnsi="宋体" w:eastAsia="宋体"/>
                <w:sz w:val="24"/>
              </w:rPr>
              <w:t>(2024年度)</w:t>
            </w:r>
          </w:p>
        </w:tc>
      </w:tr>
      <w:tr w14:paraId="5E6FD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A0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2A00AD">
            <w:pPr>
              <w:jc w:val="center"/>
            </w:pPr>
            <w:r>
              <w:rPr>
                <w:rFonts w:ascii="宋体" w:hAnsi="宋体" w:eastAsia="宋体"/>
                <w:sz w:val="16"/>
              </w:rPr>
              <w:t>中国（新疆）自由贸易试验区霍尔果斯片区挂牌仪式及办公采购费用项目</w:t>
            </w:r>
          </w:p>
        </w:tc>
      </w:tr>
      <w:tr w14:paraId="6D63D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F1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25360">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6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DC6B0A">
            <w:pPr>
              <w:jc w:val="center"/>
            </w:pPr>
            <w:r>
              <w:rPr>
                <w:rFonts w:ascii="宋体" w:hAnsi="宋体" w:eastAsia="宋体"/>
                <w:sz w:val="16"/>
              </w:rPr>
              <w:t>霍尔果斯市商务局</w:t>
            </w:r>
          </w:p>
        </w:tc>
      </w:tr>
      <w:tr w14:paraId="2E90D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886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C5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81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B1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D9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E9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B9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3223">
            <w:pPr>
              <w:jc w:val="center"/>
            </w:pPr>
            <w:r>
              <w:rPr>
                <w:rFonts w:ascii="宋体" w:hAnsi="宋体" w:eastAsia="宋体"/>
                <w:sz w:val="16"/>
              </w:rPr>
              <w:t>得分</w:t>
            </w:r>
          </w:p>
        </w:tc>
      </w:tr>
      <w:tr w14:paraId="3E347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AF3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48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30A2">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5407">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C5F8">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22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87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A572">
            <w:pPr>
              <w:jc w:val="center"/>
            </w:pPr>
            <w:r>
              <w:rPr>
                <w:rFonts w:ascii="宋体" w:hAnsi="宋体" w:eastAsia="宋体"/>
                <w:sz w:val="16"/>
              </w:rPr>
              <w:t>10.00</w:t>
            </w:r>
          </w:p>
        </w:tc>
      </w:tr>
      <w:tr w14:paraId="61005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3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26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F3250">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2C1DC">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A1CA">
            <w:pPr>
              <w:jc w:val="center"/>
            </w:pPr>
            <w:r>
              <w:rPr>
                <w:rFonts w:ascii="宋体" w:hAnsi="宋体" w:eastAsia="宋体"/>
                <w:sz w:val="16"/>
              </w:rPr>
              <w:t>45.41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93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5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ED21">
            <w:pPr>
              <w:jc w:val="center"/>
            </w:pPr>
            <w:r>
              <w:rPr>
                <w:rFonts w:ascii="宋体" w:hAnsi="宋体" w:eastAsia="宋体"/>
                <w:sz w:val="16"/>
              </w:rPr>
              <w:t>—</w:t>
            </w:r>
          </w:p>
        </w:tc>
      </w:tr>
      <w:tr w14:paraId="44EDC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A8A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48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1DC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0B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4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FF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FE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89CE">
            <w:pPr>
              <w:jc w:val="center"/>
            </w:pPr>
            <w:r>
              <w:rPr>
                <w:rFonts w:ascii="宋体" w:hAnsi="宋体" w:eastAsia="宋体"/>
                <w:sz w:val="16"/>
              </w:rPr>
              <w:t>—</w:t>
            </w:r>
          </w:p>
        </w:tc>
      </w:tr>
      <w:tr w14:paraId="656F2E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0FC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94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8AA53">
            <w:pPr>
              <w:jc w:val="center"/>
            </w:pPr>
            <w:r>
              <w:rPr>
                <w:rFonts w:ascii="宋体" w:hAnsi="宋体" w:eastAsia="宋体"/>
                <w:sz w:val="16"/>
              </w:rPr>
              <w:t>实际完成情况</w:t>
            </w:r>
          </w:p>
        </w:tc>
      </w:tr>
      <w:tr w14:paraId="65FEB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ED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801DD">
            <w:pPr>
              <w:jc w:val="both"/>
            </w:pPr>
            <w:r>
              <w:rPr>
                <w:rFonts w:ascii="宋体" w:hAnsi="宋体" w:eastAsia="宋体"/>
                <w:sz w:val="16"/>
              </w:rPr>
              <w:t>根据《霍尔果斯经济开发区党工委（市委）2023年第45次常委〈扩大〉会会议纪要》要求，通过举办一次挂牌仪式活动、改造办公阵地895平方米、购买办公用品一批次，共计支付45.4141万元，保障单位正常运转。推动霍尔果斯区域经济发展，提高贸易</w:t>
            </w:r>
            <w:r>
              <w:rPr>
                <w:rFonts w:hint="eastAsia" w:ascii="宋体" w:hAnsi="宋体"/>
                <w:sz w:val="16"/>
                <w:lang w:eastAsia="zh-CN"/>
              </w:rPr>
              <w:t>便</w:t>
            </w:r>
            <w:r>
              <w:rPr>
                <w:rFonts w:ascii="宋体" w:hAnsi="宋体" w:eastAsia="宋体"/>
                <w:sz w:val="16"/>
              </w:rPr>
              <w:t>利，促进产业升级，增强国际合作，改善营商环境。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38C079">
            <w:pPr>
              <w:jc w:val="both"/>
            </w:pPr>
            <w:r>
              <w:rPr>
                <w:rFonts w:ascii="宋体" w:hAnsi="宋体" w:eastAsia="宋体"/>
                <w:sz w:val="16"/>
              </w:rPr>
              <w:t>完成举办一次挂牌仪式活动、改造办公阵地895平方米、购买办公用品一批次，共计支付45.4141万元，保障单位正常运转，推动霍尔果斯区域经济发展，提高贸易</w:t>
            </w:r>
            <w:r>
              <w:rPr>
                <w:rFonts w:hint="eastAsia" w:ascii="宋体" w:hAnsi="宋体"/>
                <w:sz w:val="16"/>
                <w:lang w:eastAsia="zh-CN"/>
              </w:rPr>
              <w:t>便</w:t>
            </w:r>
            <w:r>
              <w:rPr>
                <w:rFonts w:ascii="宋体" w:hAnsi="宋体" w:eastAsia="宋体"/>
                <w:sz w:val="16"/>
              </w:rPr>
              <w:t>利，促进产业升级，增强国际合作，改善营商环境。</w:t>
            </w:r>
          </w:p>
        </w:tc>
      </w:tr>
      <w:tr w14:paraId="397868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6AD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D0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05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A4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F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26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C3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C8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BC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6C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C4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7D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9D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68D5">
            <w:pPr>
              <w:jc w:val="center"/>
            </w:pPr>
            <w:r>
              <w:rPr>
                <w:rFonts w:ascii="宋体" w:hAnsi="宋体" w:eastAsia="宋体"/>
                <w:sz w:val="16"/>
              </w:rPr>
              <w:t>偏差原因分析及改进措施</w:t>
            </w:r>
          </w:p>
        </w:tc>
      </w:tr>
      <w:tr w14:paraId="150808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071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0A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796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6A78">
            <w:pPr>
              <w:jc w:val="center"/>
            </w:pPr>
            <w:r>
              <w:rPr>
                <w:rFonts w:ascii="宋体" w:hAnsi="宋体" w:eastAsia="宋体"/>
                <w:sz w:val="16"/>
              </w:rPr>
              <w:t>举办挂牌仪式活动数量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38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EF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EB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2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5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A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3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3D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6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F4E8">
            <w:pPr>
              <w:jc w:val="center"/>
            </w:pPr>
          </w:p>
        </w:tc>
      </w:tr>
      <w:tr w14:paraId="54D67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B3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BE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C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8AD7">
            <w:pPr>
              <w:jc w:val="center"/>
            </w:pPr>
            <w:r>
              <w:rPr>
                <w:rFonts w:ascii="宋体" w:hAnsi="宋体" w:eastAsia="宋体"/>
                <w:sz w:val="16"/>
              </w:rPr>
              <w:t>改造办公阵地面积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C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A94D">
            <w:pPr>
              <w:jc w:val="center"/>
            </w:pPr>
            <w:r>
              <w:rPr>
                <w:rFonts w:ascii="宋体" w:hAnsi="宋体" w:eastAsia="宋体"/>
                <w:sz w:val="16"/>
              </w:rPr>
              <w:t>&gt;=895平方米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758E">
            <w:pPr>
              <w:jc w:val="center"/>
            </w:pPr>
            <w:r>
              <w:rPr>
                <w:rFonts w:ascii="宋体" w:hAnsi="宋体" w:eastAsia="宋体"/>
                <w:sz w:val="16"/>
              </w:rPr>
              <w:t>895平方米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6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6D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9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5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4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B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F677">
            <w:pPr>
              <w:jc w:val="center"/>
            </w:pPr>
          </w:p>
        </w:tc>
      </w:tr>
      <w:tr w14:paraId="07406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4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8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F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C0D4">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AC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FBE0">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B507">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C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D4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8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3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D3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B9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32CE">
            <w:pPr>
              <w:jc w:val="center"/>
            </w:pPr>
          </w:p>
        </w:tc>
      </w:tr>
      <w:tr w14:paraId="0E368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7C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71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1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8FC3">
            <w:pPr>
              <w:jc w:val="center"/>
            </w:pPr>
            <w:r>
              <w:rPr>
                <w:rFonts w:ascii="宋体" w:hAnsi="宋体" w:eastAsia="宋体"/>
                <w:sz w:val="16"/>
              </w:rPr>
              <w:t>举办挂牌仪式活动天数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97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1336">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452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B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62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D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1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1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F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BF7A">
            <w:pPr>
              <w:jc w:val="center"/>
            </w:pPr>
          </w:p>
        </w:tc>
      </w:tr>
      <w:tr w14:paraId="6C5AF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83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F3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34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2A9A">
            <w:pPr>
              <w:jc w:val="center"/>
            </w:pPr>
            <w:r>
              <w:rPr>
                <w:rFonts w:ascii="宋体" w:hAnsi="宋体" w:eastAsia="宋体"/>
                <w:sz w:val="16"/>
              </w:rPr>
              <w:t>参加挂牌仪式活动人数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62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ADEE">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7B87">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3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89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E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F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C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3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6B6D">
            <w:pPr>
              <w:jc w:val="center"/>
            </w:pPr>
          </w:p>
        </w:tc>
      </w:tr>
      <w:tr w14:paraId="75348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A2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13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03D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70F0">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E4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E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9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3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54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F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A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F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AB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BE26">
            <w:pPr>
              <w:jc w:val="center"/>
            </w:pPr>
          </w:p>
        </w:tc>
      </w:tr>
      <w:tr w14:paraId="4E666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4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98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4D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77B6">
            <w:pPr>
              <w:jc w:val="center"/>
            </w:pPr>
            <w:r>
              <w:rPr>
                <w:rFonts w:ascii="宋体" w:hAnsi="宋体" w:eastAsia="宋体"/>
                <w:sz w:val="16"/>
              </w:rPr>
              <w:t>改造办公阵地验收合格率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34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F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3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C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C2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A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E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6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6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A482">
            <w:pPr>
              <w:jc w:val="center"/>
            </w:pPr>
          </w:p>
        </w:tc>
      </w:tr>
      <w:tr w14:paraId="7BB53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C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C4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90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6E07">
            <w:pPr>
              <w:jc w:val="center"/>
            </w:pPr>
            <w:r>
              <w:rPr>
                <w:rFonts w:ascii="宋体" w:hAnsi="宋体" w:eastAsia="宋体"/>
                <w:sz w:val="16"/>
              </w:rPr>
              <w:t>挂牌仪式活动参与率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E7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E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4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3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3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F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3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5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A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2A82">
            <w:pPr>
              <w:jc w:val="center"/>
            </w:pPr>
          </w:p>
        </w:tc>
      </w:tr>
      <w:tr w14:paraId="0AC47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17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8A4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ACB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E4A1">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A4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2DD0">
            <w:pPr>
              <w:jc w:val="center"/>
            </w:pPr>
            <w:r>
              <w:rPr>
                <w:rFonts w:ascii="宋体" w:hAnsi="宋体" w:eastAsia="宋体"/>
                <w:sz w:val="16"/>
              </w:rPr>
              <w:t>&lt;=2024年12月25日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6BD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7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45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6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2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26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88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49D9">
            <w:pPr>
              <w:jc w:val="center"/>
            </w:pPr>
          </w:p>
        </w:tc>
      </w:tr>
      <w:tr w14:paraId="59031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8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B8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87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26AB">
            <w:pPr>
              <w:jc w:val="center"/>
            </w:pPr>
            <w:r>
              <w:rPr>
                <w:rFonts w:ascii="宋体" w:hAnsi="宋体" w:eastAsia="宋体"/>
                <w:sz w:val="16"/>
              </w:rPr>
              <w:t>挂牌仪式活动按时完成率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A8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1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D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1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39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8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0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6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B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2B8B">
            <w:pPr>
              <w:jc w:val="center"/>
            </w:pPr>
          </w:p>
        </w:tc>
      </w:tr>
      <w:tr w14:paraId="6CB7D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E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24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4B7E">
            <w:pPr>
              <w:jc w:val="center"/>
            </w:pPr>
            <w:r>
              <w:rPr>
                <w:rFonts w:ascii="宋体" w:hAnsi="宋体" w:eastAsia="宋体"/>
                <w:sz w:val="16"/>
              </w:rPr>
              <w:t>改造办公阵地按时完工率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D7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9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7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D0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9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A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5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8AAB">
            <w:pPr>
              <w:jc w:val="center"/>
            </w:pPr>
          </w:p>
        </w:tc>
      </w:tr>
      <w:tr w14:paraId="59F4F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05A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F1E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7DC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5989">
            <w:pPr>
              <w:jc w:val="center"/>
            </w:pPr>
            <w:r>
              <w:rPr>
                <w:rFonts w:ascii="宋体" w:hAnsi="宋体" w:eastAsia="宋体"/>
                <w:sz w:val="16"/>
              </w:rPr>
              <w:t>挂牌仪式活动成本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29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28A2">
            <w:pPr>
              <w:jc w:val="center"/>
            </w:pPr>
            <w:r>
              <w:rPr>
                <w:rFonts w:ascii="宋体" w:hAnsi="宋体" w:eastAsia="宋体"/>
                <w:sz w:val="16"/>
              </w:rPr>
              <w:t>&lt;=245656元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4E85">
            <w:pPr>
              <w:jc w:val="center"/>
            </w:pPr>
            <w:r>
              <w:rPr>
                <w:rFonts w:ascii="宋体" w:hAnsi="宋体" w:eastAsia="宋体"/>
                <w:sz w:val="16"/>
              </w:rPr>
              <w:t>245656元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1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84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D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3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8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15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6C3A">
            <w:pPr>
              <w:jc w:val="center"/>
            </w:pPr>
          </w:p>
        </w:tc>
      </w:tr>
      <w:tr w14:paraId="6C2B9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9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72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B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1B82">
            <w:pPr>
              <w:jc w:val="center"/>
            </w:pPr>
            <w:r>
              <w:rPr>
                <w:rFonts w:ascii="宋体" w:hAnsi="宋体" w:eastAsia="宋体"/>
                <w:sz w:val="16"/>
              </w:rPr>
              <w:t>改造办公阵地成本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21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F072">
            <w:pPr>
              <w:jc w:val="center"/>
            </w:pPr>
            <w:r>
              <w:rPr>
                <w:rFonts w:ascii="宋体" w:hAnsi="宋体" w:eastAsia="宋体"/>
                <w:sz w:val="16"/>
              </w:rPr>
              <w:t>&lt;=172167元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C19A">
            <w:pPr>
              <w:jc w:val="center"/>
            </w:pPr>
            <w:r>
              <w:rPr>
                <w:rFonts w:ascii="宋体" w:hAnsi="宋体" w:eastAsia="宋体"/>
                <w:sz w:val="16"/>
              </w:rPr>
              <w:t>172167元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B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25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D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9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F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8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C3BF">
            <w:pPr>
              <w:jc w:val="center"/>
            </w:pPr>
          </w:p>
        </w:tc>
      </w:tr>
      <w:tr w14:paraId="7B51F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7A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ED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9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8092">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0B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D04B">
            <w:pPr>
              <w:jc w:val="center"/>
            </w:pPr>
            <w:r>
              <w:rPr>
                <w:rFonts w:ascii="宋体" w:hAnsi="宋体" w:eastAsia="宋体"/>
                <w:sz w:val="16"/>
              </w:rPr>
              <w:t>&lt;=36318元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642C">
            <w:pPr>
              <w:jc w:val="center"/>
            </w:pPr>
            <w:r>
              <w:rPr>
                <w:rFonts w:ascii="宋体" w:hAnsi="宋体" w:eastAsia="宋体"/>
                <w:sz w:val="16"/>
              </w:rPr>
              <w:t>36318元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71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1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C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8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7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F9D1">
            <w:pPr>
              <w:jc w:val="center"/>
            </w:pPr>
          </w:p>
        </w:tc>
      </w:tr>
      <w:tr w14:paraId="0720E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B4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12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CE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F885">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2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DA1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4B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1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9C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5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0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F5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7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D9DC">
            <w:pPr>
              <w:jc w:val="center"/>
            </w:pPr>
          </w:p>
        </w:tc>
      </w:tr>
      <w:tr w14:paraId="36899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3C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7D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66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825C">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83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32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DC98">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0747">
            <w:pPr>
              <w:jc w:val="center"/>
            </w:pPr>
            <w:r>
              <w:rPr>
                <w:rFonts w:ascii="宋体" w:hAnsi="宋体" w:eastAsia="宋体"/>
                <w:sz w:val="16"/>
              </w:rPr>
              <w:t>103.14%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3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7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E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78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E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7F9E">
            <w:pPr>
              <w:jc w:val="center"/>
            </w:pPr>
            <w:r>
              <w:rPr>
                <w:rFonts w:ascii="宋体" w:hAnsi="宋体" w:eastAsia="宋体"/>
                <w:sz w:val="16"/>
              </w:rPr>
              <w:t>参加活动人员满意度较高。</w:t>
            </w:r>
          </w:p>
        </w:tc>
      </w:tr>
      <w:tr w14:paraId="32C03C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C41B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B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ACE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262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CA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CE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8A4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A20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BCA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BA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BE36"/>
        </w:tc>
      </w:tr>
    </w:tbl>
    <w:p w14:paraId="1A784B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01E5387D">
        <w:tc>
          <w:tcPr>
            <w:tcW w:w="8848" w:type="dxa"/>
            <w:gridSpan w:val="14"/>
            <w:vAlign w:val="center"/>
          </w:tcPr>
          <w:p w14:paraId="338DF72A">
            <w:pPr>
              <w:jc w:val="center"/>
            </w:pPr>
            <w:r>
              <w:rPr>
                <w:rFonts w:ascii="宋体" w:hAnsi="宋体" w:eastAsia="宋体"/>
                <w:sz w:val="24"/>
              </w:rPr>
              <w:t>项目支出绩效自评表</w:t>
            </w:r>
          </w:p>
        </w:tc>
      </w:tr>
      <w:tr w14:paraId="3741AF72">
        <w:tblPrEx>
          <w:tblCellMar>
            <w:top w:w="0" w:type="dxa"/>
            <w:left w:w="108" w:type="dxa"/>
            <w:bottom w:w="0" w:type="dxa"/>
            <w:right w:w="108" w:type="dxa"/>
          </w:tblCellMar>
        </w:tblPrEx>
        <w:tc>
          <w:tcPr>
            <w:tcW w:w="8848" w:type="dxa"/>
            <w:gridSpan w:val="14"/>
            <w:vAlign w:val="center"/>
          </w:tcPr>
          <w:p w14:paraId="0323CAD3">
            <w:pPr>
              <w:jc w:val="center"/>
            </w:pPr>
            <w:r>
              <w:rPr>
                <w:rFonts w:ascii="宋体" w:hAnsi="宋体" w:eastAsia="宋体"/>
                <w:sz w:val="24"/>
              </w:rPr>
              <w:t>(2024年度)</w:t>
            </w:r>
          </w:p>
        </w:tc>
      </w:tr>
      <w:tr w14:paraId="192249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08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A1D67D">
            <w:pPr>
              <w:jc w:val="center"/>
            </w:pPr>
            <w:r>
              <w:rPr>
                <w:rFonts w:ascii="宋体" w:hAnsi="宋体" w:eastAsia="宋体"/>
                <w:sz w:val="16"/>
              </w:rPr>
              <w:t>举办及举办国内外知名展会</w:t>
            </w:r>
          </w:p>
        </w:tc>
      </w:tr>
      <w:tr w14:paraId="6C16E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60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8A4FF">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A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619B2D">
            <w:pPr>
              <w:jc w:val="center"/>
            </w:pPr>
            <w:r>
              <w:rPr>
                <w:rFonts w:ascii="宋体" w:hAnsi="宋体" w:eastAsia="宋体"/>
                <w:sz w:val="16"/>
              </w:rPr>
              <w:t>霍尔果斯市商务局</w:t>
            </w:r>
          </w:p>
        </w:tc>
      </w:tr>
      <w:tr w14:paraId="05E3E5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AD1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D3E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91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53B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0EF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8A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15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6D83">
            <w:pPr>
              <w:jc w:val="center"/>
            </w:pPr>
            <w:r>
              <w:rPr>
                <w:rFonts w:ascii="宋体" w:hAnsi="宋体" w:eastAsia="宋体"/>
                <w:sz w:val="16"/>
              </w:rPr>
              <w:t>得分</w:t>
            </w:r>
          </w:p>
        </w:tc>
      </w:tr>
      <w:tr w14:paraId="39C69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45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83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F622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419F8">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57EFC">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043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E7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3301">
            <w:pPr>
              <w:jc w:val="center"/>
            </w:pPr>
            <w:r>
              <w:rPr>
                <w:rFonts w:ascii="宋体" w:hAnsi="宋体" w:eastAsia="宋体"/>
                <w:sz w:val="16"/>
              </w:rPr>
              <w:t>10.00</w:t>
            </w:r>
          </w:p>
        </w:tc>
      </w:tr>
      <w:tr w14:paraId="7909C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27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4B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D89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D034">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3837B">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AC1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9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2448">
            <w:pPr>
              <w:jc w:val="center"/>
            </w:pPr>
            <w:r>
              <w:rPr>
                <w:rFonts w:ascii="宋体" w:hAnsi="宋体" w:eastAsia="宋体"/>
                <w:sz w:val="16"/>
              </w:rPr>
              <w:t>—</w:t>
            </w:r>
          </w:p>
        </w:tc>
      </w:tr>
      <w:tr w14:paraId="5CD1D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74F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F4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8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54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A6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810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3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B5B4">
            <w:pPr>
              <w:jc w:val="center"/>
            </w:pPr>
            <w:r>
              <w:rPr>
                <w:rFonts w:ascii="宋体" w:hAnsi="宋体" w:eastAsia="宋体"/>
                <w:sz w:val="16"/>
              </w:rPr>
              <w:t>—</w:t>
            </w:r>
          </w:p>
        </w:tc>
      </w:tr>
      <w:tr w14:paraId="70EC3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094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C10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5FD7A">
            <w:pPr>
              <w:jc w:val="center"/>
            </w:pPr>
            <w:r>
              <w:rPr>
                <w:rFonts w:ascii="宋体" w:hAnsi="宋体" w:eastAsia="宋体"/>
                <w:sz w:val="16"/>
              </w:rPr>
              <w:t>实际完成情况</w:t>
            </w:r>
          </w:p>
        </w:tc>
      </w:tr>
      <w:tr w14:paraId="570B5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73C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5F472">
            <w:pPr>
              <w:jc w:val="both"/>
            </w:pPr>
            <w:r>
              <w:rPr>
                <w:rFonts w:ascii="宋体" w:hAnsi="宋体" w:eastAsia="宋体"/>
                <w:sz w:val="16"/>
              </w:rPr>
              <w:t>1-2年内，培育一批特色品牌会展活动，以“主会场+分会场+线上展厅”的形式进行展示，辐射全国乃至国际，打造永不落幕的霍尔果斯特色品牌展。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23F28">
            <w:pPr>
              <w:jc w:val="both"/>
            </w:pPr>
            <w:r>
              <w:rPr>
                <w:rFonts w:ascii="宋体" w:hAnsi="宋体" w:eastAsia="宋体"/>
                <w:sz w:val="16"/>
              </w:rPr>
              <w:t>完成举办会展2次，参与会展企业28家，改进支付21.5万元，以“主会场+分会场+线上展厅”的形式进行展示，辐射全国乃至国际，打造永不落幕的霍尔果斯特色品牌展，提高霍尔果斯市知名度。</w:t>
            </w:r>
          </w:p>
        </w:tc>
      </w:tr>
      <w:tr w14:paraId="078430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ABE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92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F1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60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34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3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CD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75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F37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AE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44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A7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7C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3ED8">
            <w:pPr>
              <w:jc w:val="center"/>
            </w:pPr>
            <w:r>
              <w:rPr>
                <w:rFonts w:ascii="宋体" w:hAnsi="宋体" w:eastAsia="宋体"/>
                <w:sz w:val="16"/>
              </w:rPr>
              <w:t>偏差原因分析及改进措施</w:t>
            </w:r>
          </w:p>
        </w:tc>
      </w:tr>
      <w:tr w14:paraId="73526D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EF1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71B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C8B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7E7C">
            <w:pPr>
              <w:jc w:val="center"/>
            </w:pPr>
            <w:r>
              <w:rPr>
                <w:rFonts w:ascii="宋体" w:hAnsi="宋体" w:eastAsia="宋体"/>
                <w:sz w:val="16"/>
              </w:rPr>
              <w:t>举办会展次数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E0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87F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94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F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99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F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2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1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4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38A5">
            <w:pPr>
              <w:jc w:val="center"/>
            </w:pPr>
          </w:p>
        </w:tc>
      </w:tr>
      <w:tr w14:paraId="360BB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72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53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E1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8BCF">
            <w:pPr>
              <w:jc w:val="center"/>
            </w:pPr>
            <w:r>
              <w:rPr>
                <w:rFonts w:ascii="宋体" w:hAnsi="宋体" w:eastAsia="宋体"/>
                <w:sz w:val="16"/>
              </w:rPr>
              <w:t>参与会展企业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D5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63BC">
            <w:pPr>
              <w:jc w:val="center"/>
            </w:pPr>
            <w:r>
              <w:rPr>
                <w:rFonts w:ascii="宋体" w:hAnsi="宋体" w:eastAsia="宋体"/>
                <w:sz w:val="16"/>
              </w:rPr>
              <w:t>&gt;=28家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DC8A">
            <w:pPr>
              <w:jc w:val="center"/>
            </w:pPr>
            <w:r>
              <w:rPr>
                <w:rFonts w:ascii="宋体" w:hAnsi="宋体" w:eastAsia="宋体"/>
                <w:sz w:val="16"/>
              </w:rPr>
              <w:t>28家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F5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4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7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B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7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9E88">
            <w:pPr>
              <w:jc w:val="center"/>
            </w:pPr>
          </w:p>
        </w:tc>
      </w:tr>
      <w:tr w14:paraId="47CE4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C0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95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7FA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1F5B">
            <w:pPr>
              <w:jc w:val="center"/>
            </w:pPr>
            <w:r>
              <w:rPr>
                <w:rFonts w:ascii="宋体" w:hAnsi="宋体" w:eastAsia="宋体"/>
                <w:sz w:val="16"/>
              </w:rPr>
              <w:t>会展经费使用准确率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B4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E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2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F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50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9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F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3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3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9DA1">
            <w:pPr>
              <w:jc w:val="center"/>
            </w:pPr>
          </w:p>
        </w:tc>
      </w:tr>
      <w:tr w14:paraId="7646C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B6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4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55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3FB5">
            <w:pPr>
              <w:jc w:val="center"/>
            </w:pPr>
            <w:r>
              <w:rPr>
                <w:rFonts w:ascii="宋体" w:hAnsi="宋体" w:eastAsia="宋体"/>
                <w:sz w:val="16"/>
              </w:rPr>
              <w:t>参会企业出勤率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6A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1E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CA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D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67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0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6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D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9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5FE1">
            <w:pPr>
              <w:jc w:val="center"/>
            </w:pPr>
          </w:p>
        </w:tc>
      </w:tr>
      <w:tr w14:paraId="39A17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7A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6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3A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ED17">
            <w:pPr>
              <w:jc w:val="center"/>
            </w:pPr>
            <w:r>
              <w:rPr>
                <w:rFonts w:ascii="宋体" w:hAnsi="宋体" w:eastAsia="宋体"/>
                <w:sz w:val="16"/>
              </w:rPr>
              <w:t>会展按期完成率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66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A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5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A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B5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8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C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A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A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724F">
            <w:pPr>
              <w:jc w:val="center"/>
            </w:pPr>
          </w:p>
        </w:tc>
      </w:tr>
      <w:tr w14:paraId="15690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4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82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54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A13E">
            <w:pPr>
              <w:jc w:val="center"/>
            </w:pPr>
            <w:r>
              <w:rPr>
                <w:rFonts w:ascii="宋体" w:hAnsi="宋体" w:eastAsia="宋体"/>
                <w:sz w:val="16"/>
              </w:rPr>
              <w:t>会展成本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4B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54E9">
            <w:pPr>
              <w:jc w:val="center"/>
            </w:pPr>
            <w:r>
              <w:rPr>
                <w:rFonts w:ascii="宋体" w:hAnsi="宋体" w:eastAsia="宋体"/>
                <w:sz w:val="16"/>
              </w:rPr>
              <w:t>&lt;=10万/次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9E24">
            <w:pPr>
              <w:jc w:val="center"/>
            </w:pPr>
            <w:r>
              <w:rPr>
                <w:rFonts w:ascii="宋体" w:hAnsi="宋体" w:eastAsia="宋体"/>
                <w:sz w:val="16"/>
              </w:rPr>
              <w:t>10万/次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9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F4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D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E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6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0EA9">
            <w:pPr>
              <w:jc w:val="center"/>
            </w:pPr>
          </w:p>
        </w:tc>
      </w:tr>
      <w:tr w14:paraId="51BBF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7E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C2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53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7E0A">
            <w:pPr>
              <w:jc w:val="center"/>
            </w:pPr>
            <w:r>
              <w:rPr>
                <w:rFonts w:ascii="宋体" w:hAnsi="宋体" w:eastAsia="宋体"/>
                <w:sz w:val="16"/>
              </w:rPr>
              <w:t>促进消费增长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CE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CA6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853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B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CF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0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D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65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D1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7E0">
            <w:pPr>
              <w:jc w:val="center"/>
            </w:pPr>
          </w:p>
        </w:tc>
      </w:tr>
      <w:tr w14:paraId="63375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5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18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74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2B0D">
            <w:pPr>
              <w:jc w:val="center"/>
            </w:pPr>
            <w:r>
              <w:rPr>
                <w:rFonts w:ascii="宋体" w:hAnsi="宋体" w:eastAsia="宋体"/>
                <w:sz w:val="16"/>
              </w:rPr>
              <w:t>企业的满意度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0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13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3C53">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E114">
            <w:pPr>
              <w:jc w:val="center"/>
            </w:pPr>
            <w:r>
              <w:rPr>
                <w:rFonts w:ascii="宋体" w:hAnsi="宋体" w:eastAsia="宋体"/>
                <w:sz w:val="16"/>
              </w:rPr>
              <w:t>103.14%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A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D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3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02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2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2B8B">
            <w:pPr>
              <w:jc w:val="center"/>
            </w:pPr>
            <w:r>
              <w:rPr>
                <w:rFonts w:ascii="宋体" w:hAnsi="宋体" w:eastAsia="宋体"/>
                <w:sz w:val="16"/>
              </w:rPr>
              <w:t>企业的满意度较高。</w:t>
            </w:r>
          </w:p>
        </w:tc>
      </w:tr>
      <w:tr w14:paraId="1E4E48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8621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8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B51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8A6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CA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6BC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16B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A2A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623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C4C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86032"/>
        </w:tc>
      </w:tr>
    </w:tbl>
    <w:p w14:paraId="52E9A6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4C21376F">
        <w:tblPrEx>
          <w:tblCellMar>
            <w:top w:w="0" w:type="dxa"/>
            <w:left w:w="108" w:type="dxa"/>
            <w:bottom w:w="0" w:type="dxa"/>
            <w:right w:w="108" w:type="dxa"/>
          </w:tblCellMar>
        </w:tblPrEx>
        <w:tc>
          <w:tcPr>
            <w:tcW w:w="8848" w:type="dxa"/>
            <w:gridSpan w:val="14"/>
            <w:vAlign w:val="center"/>
          </w:tcPr>
          <w:p w14:paraId="70D8DDB6">
            <w:pPr>
              <w:jc w:val="center"/>
            </w:pPr>
            <w:r>
              <w:rPr>
                <w:rFonts w:ascii="宋体" w:hAnsi="宋体" w:eastAsia="宋体"/>
                <w:sz w:val="24"/>
              </w:rPr>
              <w:t>项目支出绩效自评表</w:t>
            </w:r>
          </w:p>
        </w:tc>
      </w:tr>
      <w:tr w14:paraId="105648BA">
        <w:tblPrEx>
          <w:tblCellMar>
            <w:top w:w="0" w:type="dxa"/>
            <w:left w:w="108" w:type="dxa"/>
            <w:bottom w:w="0" w:type="dxa"/>
            <w:right w:w="108" w:type="dxa"/>
          </w:tblCellMar>
        </w:tblPrEx>
        <w:tc>
          <w:tcPr>
            <w:tcW w:w="8848" w:type="dxa"/>
            <w:gridSpan w:val="14"/>
            <w:vAlign w:val="center"/>
          </w:tcPr>
          <w:p w14:paraId="57939255">
            <w:pPr>
              <w:jc w:val="center"/>
            </w:pPr>
            <w:r>
              <w:rPr>
                <w:rFonts w:ascii="宋体" w:hAnsi="宋体" w:eastAsia="宋体"/>
                <w:sz w:val="24"/>
              </w:rPr>
              <w:t>(2024年度)</w:t>
            </w:r>
          </w:p>
        </w:tc>
      </w:tr>
      <w:tr w14:paraId="5D81C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67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1BCF4B">
            <w:pPr>
              <w:jc w:val="center"/>
            </w:pPr>
            <w:r>
              <w:rPr>
                <w:rFonts w:ascii="宋体" w:hAnsi="宋体" w:eastAsia="宋体"/>
                <w:sz w:val="16"/>
              </w:rPr>
              <w:t>关于申请拨付申报中国（新疆)自由贸易试验区费用</w:t>
            </w:r>
          </w:p>
        </w:tc>
      </w:tr>
      <w:tr w14:paraId="7CFE3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83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353B1">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4C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CD7C3">
            <w:pPr>
              <w:jc w:val="center"/>
            </w:pPr>
            <w:r>
              <w:rPr>
                <w:rFonts w:ascii="宋体" w:hAnsi="宋体" w:eastAsia="宋体"/>
                <w:sz w:val="16"/>
              </w:rPr>
              <w:t>霍尔果斯市商务局</w:t>
            </w:r>
          </w:p>
        </w:tc>
      </w:tr>
      <w:tr w14:paraId="307D77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B1FC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0B8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3D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7E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289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F7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A01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2CDE">
            <w:pPr>
              <w:jc w:val="center"/>
            </w:pPr>
            <w:r>
              <w:rPr>
                <w:rFonts w:ascii="宋体" w:hAnsi="宋体" w:eastAsia="宋体"/>
                <w:sz w:val="16"/>
              </w:rPr>
              <w:t>得分</w:t>
            </w:r>
          </w:p>
        </w:tc>
      </w:tr>
      <w:tr w14:paraId="3C737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D6F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99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0970">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62F3">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0BD1">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9C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0F8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4CD3">
            <w:pPr>
              <w:jc w:val="center"/>
            </w:pPr>
            <w:r>
              <w:rPr>
                <w:rFonts w:ascii="宋体" w:hAnsi="宋体" w:eastAsia="宋体"/>
                <w:sz w:val="16"/>
              </w:rPr>
              <w:t>10.00</w:t>
            </w:r>
          </w:p>
        </w:tc>
      </w:tr>
      <w:tr w14:paraId="16394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F9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7E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D5CF5">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68975">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7CD8">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FE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7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D13E">
            <w:pPr>
              <w:jc w:val="center"/>
            </w:pPr>
            <w:r>
              <w:rPr>
                <w:rFonts w:ascii="宋体" w:hAnsi="宋体" w:eastAsia="宋体"/>
                <w:sz w:val="16"/>
              </w:rPr>
              <w:t>—</w:t>
            </w:r>
          </w:p>
        </w:tc>
      </w:tr>
      <w:tr w14:paraId="1E586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E4E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52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2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3A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B7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B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08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C5F7">
            <w:pPr>
              <w:jc w:val="center"/>
            </w:pPr>
            <w:r>
              <w:rPr>
                <w:rFonts w:ascii="宋体" w:hAnsi="宋体" w:eastAsia="宋体"/>
                <w:sz w:val="16"/>
              </w:rPr>
              <w:t>—</w:t>
            </w:r>
          </w:p>
        </w:tc>
      </w:tr>
      <w:tr w14:paraId="5361A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54A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2A1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604FC">
            <w:pPr>
              <w:jc w:val="center"/>
            </w:pPr>
            <w:r>
              <w:rPr>
                <w:rFonts w:ascii="宋体" w:hAnsi="宋体" w:eastAsia="宋体"/>
                <w:sz w:val="16"/>
              </w:rPr>
              <w:t>实际完成情况</w:t>
            </w:r>
          </w:p>
        </w:tc>
      </w:tr>
      <w:tr w14:paraId="32FB3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F4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435DE">
            <w:pPr>
              <w:jc w:val="both"/>
            </w:pPr>
            <w:r>
              <w:rPr>
                <w:rFonts w:ascii="宋体" w:hAnsi="宋体" w:eastAsia="宋体"/>
                <w:sz w:val="16"/>
              </w:rPr>
              <w:t>根据自治区人民政府办公厅下发《关于抽调有关工作人员协助工作的通知》，自治区商务厅下发《关于延长抽调人员工作的时间的函》文件要求通过开展2023年4月至2024年6月，霍尔果斯市商务局王鹏同志前往自治区商务厅集中办公，申建中国（新疆）自由贸易试验区，期间租房、前往上海市、江苏省、烟台市考察学习培训，往返霍尔果斯对接自贸试验区建设有关工作，成功申报了中国（新疆）自由贸易试验区，共计支付43420元，提高办公人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07E81">
            <w:pPr>
              <w:jc w:val="both"/>
            </w:pPr>
            <w:r>
              <w:rPr>
                <w:rFonts w:ascii="宋体" w:hAnsi="宋体" w:eastAsia="宋体"/>
                <w:sz w:val="16"/>
              </w:rPr>
              <w:t xml:space="preserve"> 2023年4月至2024年6月，霍尔果斯市商务局王鹏同志前往自治区商务厅集中办公，申建中国（新疆）自由贸易试验区，期间租房、前往上海市、江苏省、烟台市考察学习培训，往返霍尔果斯对接自贸试验区建设有关工作，成功申报了中国（新疆）自由贸易试验区，共计支付43420元，提高办公人员工作效率。</w:t>
            </w:r>
          </w:p>
        </w:tc>
      </w:tr>
      <w:tr w14:paraId="228F4B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2B0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6C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B6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16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CA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3FD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FDC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D4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AA7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2B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6F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2E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15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4515">
            <w:pPr>
              <w:jc w:val="center"/>
            </w:pPr>
            <w:r>
              <w:rPr>
                <w:rFonts w:ascii="宋体" w:hAnsi="宋体" w:eastAsia="宋体"/>
                <w:sz w:val="16"/>
              </w:rPr>
              <w:t>偏差原因分析及改进措施</w:t>
            </w:r>
          </w:p>
        </w:tc>
      </w:tr>
      <w:tr w14:paraId="1DCF18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2D2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FBD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DE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8FD">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E2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600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F96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A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AC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D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5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82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C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EA2F">
            <w:pPr>
              <w:jc w:val="center"/>
            </w:pPr>
          </w:p>
        </w:tc>
      </w:tr>
      <w:tr w14:paraId="7E004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83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0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67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E6CB">
            <w:pPr>
              <w:jc w:val="center"/>
            </w:pPr>
            <w:r>
              <w:rPr>
                <w:rFonts w:ascii="宋体" w:hAnsi="宋体" w:eastAsia="宋体"/>
                <w:sz w:val="16"/>
              </w:rPr>
              <w:t>办公人员工作运转开展率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6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B9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AB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5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5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8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9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8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8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2BCA">
            <w:pPr>
              <w:jc w:val="center"/>
            </w:pPr>
          </w:p>
        </w:tc>
      </w:tr>
      <w:tr w14:paraId="64167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27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7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E2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493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05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B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9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0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1E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1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7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B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08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EAF5">
            <w:pPr>
              <w:jc w:val="center"/>
            </w:pPr>
          </w:p>
        </w:tc>
      </w:tr>
      <w:tr w14:paraId="75175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5C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7F7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ED0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46C7">
            <w:pPr>
              <w:jc w:val="center"/>
            </w:pPr>
            <w:r>
              <w:rPr>
                <w:rFonts w:ascii="宋体" w:hAnsi="宋体" w:eastAsia="宋体"/>
                <w:sz w:val="16"/>
              </w:rPr>
              <w:t>房屋租赁费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7E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2E53">
            <w:pPr>
              <w:jc w:val="center"/>
            </w:pPr>
            <w:r>
              <w:rPr>
                <w:rFonts w:ascii="宋体" w:hAnsi="宋体" w:eastAsia="宋体"/>
                <w:sz w:val="16"/>
              </w:rPr>
              <w:t>&lt;=29400元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9EDA">
            <w:pPr>
              <w:jc w:val="center"/>
            </w:pPr>
            <w:r>
              <w:rPr>
                <w:rFonts w:ascii="宋体" w:hAnsi="宋体" w:eastAsia="宋体"/>
                <w:sz w:val="16"/>
              </w:rPr>
              <w:t>29400元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A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6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8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4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9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FF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CD44">
            <w:pPr>
              <w:jc w:val="center"/>
            </w:pPr>
          </w:p>
        </w:tc>
      </w:tr>
      <w:tr w14:paraId="42704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0B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2B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4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6AD5">
            <w:pPr>
              <w:jc w:val="center"/>
            </w:pPr>
            <w:r>
              <w:rPr>
                <w:rFonts w:ascii="宋体" w:hAnsi="宋体" w:eastAsia="宋体"/>
                <w:sz w:val="16"/>
              </w:rPr>
              <w:t>考察学习费用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7B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8E1D">
            <w:pPr>
              <w:jc w:val="center"/>
            </w:pPr>
            <w:r>
              <w:rPr>
                <w:rFonts w:ascii="宋体" w:hAnsi="宋体" w:eastAsia="宋体"/>
                <w:sz w:val="16"/>
              </w:rPr>
              <w:t>&lt;=11230元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0E9F">
            <w:pPr>
              <w:jc w:val="center"/>
            </w:pPr>
            <w:r>
              <w:rPr>
                <w:rFonts w:ascii="宋体" w:hAnsi="宋体" w:eastAsia="宋体"/>
                <w:sz w:val="16"/>
              </w:rPr>
              <w:t>11230元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59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3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C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8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5A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E84A">
            <w:pPr>
              <w:jc w:val="center"/>
            </w:pPr>
          </w:p>
        </w:tc>
      </w:tr>
      <w:tr w14:paraId="41F4C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D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35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B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9502">
            <w:pPr>
              <w:jc w:val="center"/>
            </w:pPr>
            <w:r>
              <w:rPr>
                <w:rFonts w:ascii="宋体" w:hAnsi="宋体" w:eastAsia="宋体"/>
                <w:sz w:val="16"/>
              </w:rPr>
              <w:t>往返霍尔果斯对接工作产生费用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93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6FE7">
            <w:pPr>
              <w:jc w:val="center"/>
            </w:pPr>
            <w:r>
              <w:rPr>
                <w:rFonts w:ascii="宋体" w:hAnsi="宋体" w:eastAsia="宋体"/>
                <w:sz w:val="16"/>
              </w:rPr>
              <w:t>&lt;=2790元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33B3">
            <w:pPr>
              <w:jc w:val="center"/>
            </w:pPr>
            <w:r>
              <w:rPr>
                <w:rFonts w:ascii="宋体" w:hAnsi="宋体" w:eastAsia="宋体"/>
                <w:sz w:val="16"/>
              </w:rPr>
              <w:t>2790元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6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6C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4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8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C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AC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454C">
            <w:pPr>
              <w:jc w:val="center"/>
            </w:pPr>
          </w:p>
        </w:tc>
      </w:tr>
      <w:tr w14:paraId="56FA5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F0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47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80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5001">
            <w:pPr>
              <w:jc w:val="center"/>
            </w:pPr>
            <w:r>
              <w:rPr>
                <w:rFonts w:ascii="宋体" w:hAnsi="宋体" w:eastAsia="宋体"/>
                <w:sz w:val="16"/>
              </w:rPr>
              <w:t>提高办公人员工作效率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B5B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3D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C24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9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D7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5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8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06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F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45F6">
            <w:pPr>
              <w:jc w:val="center"/>
            </w:pPr>
          </w:p>
        </w:tc>
      </w:tr>
      <w:tr w14:paraId="1A0A57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0BB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C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158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251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68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E14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3D2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A95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659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E26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1ECA7"/>
        </w:tc>
      </w:tr>
    </w:tbl>
    <w:p w14:paraId="5D5E30E8">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96"/>
        <w:gridCol w:w="619"/>
        <w:gridCol w:w="856"/>
        <w:gridCol w:w="696"/>
        <w:gridCol w:w="625"/>
        <w:gridCol w:w="619"/>
        <w:gridCol w:w="612"/>
        <w:gridCol w:w="631"/>
        <w:gridCol w:w="614"/>
        <w:gridCol w:w="613"/>
        <w:gridCol w:w="631"/>
      </w:tblGrid>
      <w:tr w14:paraId="6219AED4">
        <w:tblPrEx>
          <w:tblCellMar>
            <w:top w:w="0" w:type="dxa"/>
            <w:left w:w="108" w:type="dxa"/>
            <w:bottom w:w="0" w:type="dxa"/>
            <w:right w:w="108" w:type="dxa"/>
          </w:tblCellMar>
        </w:tblPrEx>
        <w:tc>
          <w:tcPr>
            <w:tcW w:w="8848" w:type="dxa"/>
            <w:gridSpan w:val="14"/>
            <w:vAlign w:val="center"/>
          </w:tcPr>
          <w:p w14:paraId="39021108">
            <w:pPr>
              <w:jc w:val="center"/>
            </w:pPr>
            <w:r>
              <w:rPr>
                <w:rFonts w:ascii="宋体" w:hAnsi="宋体" w:eastAsia="宋体"/>
                <w:sz w:val="24"/>
              </w:rPr>
              <w:t>项目支出绩效自评表</w:t>
            </w:r>
          </w:p>
        </w:tc>
      </w:tr>
      <w:tr w14:paraId="5E24FDB2">
        <w:tblPrEx>
          <w:tblCellMar>
            <w:top w:w="0" w:type="dxa"/>
            <w:left w:w="108" w:type="dxa"/>
            <w:bottom w:w="0" w:type="dxa"/>
            <w:right w:w="108" w:type="dxa"/>
          </w:tblCellMar>
        </w:tblPrEx>
        <w:tc>
          <w:tcPr>
            <w:tcW w:w="8848" w:type="dxa"/>
            <w:gridSpan w:val="14"/>
            <w:vAlign w:val="center"/>
          </w:tcPr>
          <w:p w14:paraId="17DE643C">
            <w:pPr>
              <w:jc w:val="center"/>
            </w:pPr>
            <w:r>
              <w:rPr>
                <w:rFonts w:ascii="宋体" w:hAnsi="宋体" w:eastAsia="宋体"/>
                <w:sz w:val="24"/>
              </w:rPr>
              <w:t>(2024年度)</w:t>
            </w:r>
          </w:p>
        </w:tc>
      </w:tr>
      <w:tr w14:paraId="2A6CE7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B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BDF2EE">
            <w:pPr>
              <w:jc w:val="center"/>
            </w:pPr>
            <w:r>
              <w:rPr>
                <w:rFonts w:ascii="宋体" w:hAnsi="宋体" w:eastAsia="宋体"/>
                <w:sz w:val="16"/>
              </w:rPr>
              <w:t>外经贸发展专项资金</w:t>
            </w:r>
          </w:p>
        </w:tc>
      </w:tr>
      <w:tr w14:paraId="5AE359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A3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FC9FE">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49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D8B03">
            <w:pPr>
              <w:jc w:val="center"/>
            </w:pPr>
            <w:r>
              <w:rPr>
                <w:rFonts w:ascii="宋体" w:hAnsi="宋体" w:eastAsia="宋体"/>
                <w:sz w:val="16"/>
              </w:rPr>
              <w:t>霍尔果斯市商务局</w:t>
            </w:r>
          </w:p>
        </w:tc>
      </w:tr>
      <w:tr w14:paraId="7D9F0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B97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58B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BAA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3C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40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0C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43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EC44">
            <w:pPr>
              <w:jc w:val="center"/>
            </w:pPr>
            <w:r>
              <w:rPr>
                <w:rFonts w:ascii="宋体" w:hAnsi="宋体" w:eastAsia="宋体"/>
                <w:sz w:val="16"/>
              </w:rPr>
              <w:t>得分</w:t>
            </w:r>
          </w:p>
        </w:tc>
      </w:tr>
      <w:tr w14:paraId="7CA4B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1E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F96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7B2D">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6E27">
            <w:pPr>
              <w:jc w:val="center"/>
            </w:pPr>
            <w:r>
              <w:rPr>
                <w:rFonts w:ascii="宋体" w:hAnsi="宋体" w:eastAsia="宋体"/>
                <w:sz w:val="16"/>
              </w:rPr>
              <w:t>2,527.70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B7E1">
            <w:pPr>
              <w:jc w:val="center"/>
            </w:pPr>
            <w:r>
              <w:rPr>
                <w:rFonts w:ascii="宋体" w:hAnsi="宋体" w:eastAsia="宋体"/>
                <w:sz w:val="16"/>
              </w:rPr>
              <w:t>2,527.70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51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42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2324">
            <w:pPr>
              <w:jc w:val="center"/>
            </w:pPr>
            <w:r>
              <w:rPr>
                <w:rFonts w:ascii="宋体" w:hAnsi="宋体" w:eastAsia="宋体"/>
                <w:sz w:val="16"/>
              </w:rPr>
              <w:t>10.00</w:t>
            </w:r>
          </w:p>
        </w:tc>
      </w:tr>
      <w:tr w14:paraId="554A7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58E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89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1595">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BED3">
            <w:pPr>
              <w:jc w:val="center"/>
            </w:pPr>
            <w:r>
              <w:rPr>
                <w:rFonts w:ascii="宋体" w:hAnsi="宋体" w:eastAsia="宋体"/>
                <w:sz w:val="16"/>
              </w:rPr>
              <w:t>2,527.70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FAFC">
            <w:pPr>
              <w:jc w:val="center"/>
            </w:pPr>
            <w:r>
              <w:rPr>
                <w:rFonts w:ascii="宋体" w:hAnsi="宋体" w:eastAsia="宋体"/>
                <w:sz w:val="16"/>
              </w:rPr>
              <w:t>2,527.70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9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54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33B1">
            <w:pPr>
              <w:jc w:val="center"/>
            </w:pPr>
            <w:r>
              <w:rPr>
                <w:rFonts w:ascii="宋体" w:hAnsi="宋体" w:eastAsia="宋体"/>
                <w:sz w:val="16"/>
              </w:rPr>
              <w:t>—</w:t>
            </w:r>
          </w:p>
        </w:tc>
      </w:tr>
      <w:tr w14:paraId="5AB2A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10D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FE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7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05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3D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F5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2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FC23">
            <w:pPr>
              <w:jc w:val="center"/>
            </w:pPr>
            <w:r>
              <w:rPr>
                <w:rFonts w:ascii="宋体" w:hAnsi="宋体" w:eastAsia="宋体"/>
                <w:sz w:val="16"/>
              </w:rPr>
              <w:t>—</w:t>
            </w:r>
          </w:p>
        </w:tc>
      </w:tr>
      <w:tr w14:paraId="3E61F6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29D1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EC5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CFBFA">
            <w:pPr>
              <w:jc w:val="center"/>
            </w:pPr>
            <w:r>
              <w:rPr>
                <w:rFonts w:ascii="宋体" w:hAnsi="宋体" w:eastAsia="宋体"/>
                <w:sz w:val="16"/>
              </w:rPr>
              <w:t>实际完成情况</w:t>
            </w:r>
          </w:p>
        </w:tc>
      </w:tr>
      <w:tr w14:paraId="66CA0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DD4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092D7">
            <w:pPr>
              <w:jc w:val="both"/>
            </w:pPr>
            <w:r>
              <w:rPr>
                <w:rFonts w:ascii="宋体" w:hAnsi="宋体" w:eastAsia="宋体"/>
                <w:sz w:val="16"/>
              </w:rPr>
              <w:t>目标1:促进外贸稳中提质，推动贸易产业融合发展，大力发展外贸新业态，提升外贸综合服务平台水平，稳住外贸基本盘:推动边民互市贸易进口商品落地加工，逐步扩大边民互市贸易规模，改善边境贸易仓储物流条件，支持边贸载体建设，提升边境贸易综合竞争力:促进加工贸易</w:t>
            </w:r>
            <w:r>
              <w:rPr>
                <w:rFonts w:hint="eastAsia" w:ascii="宋体" w:hAnsi="宋体"/>
                <w:sz w:val="16"/>
                <w:lang w:eastAsia="zh-CN"/>
              </w:rPr>
              <w:t>创新发展</w:t>
            </w:r>
            <w:r>
              <w:rPr>
                <w:rFonts w:ascii="宋体" w:hAnsi="宋体" w:eastAsia="宋体"/>
                <w:sz w:val="16"/>
              </w:rPr>
              <w:t>，扩大二手车出口数量:支持企业应对贸易摩擦，开展贸易调整，帮助产业企业积极</w:t>
            </w:r>
            <w:r>
              <w:rPr>
                <w:rFonts w:hint="eastAsia" w:ascii="宋体" w:hAnsi="宋体"/>
                <w:sz w:val="16"/>
                <w:lang w:eastAsia="zh-CN"/>
              </w:rPr>
              <w:t>应对</w:t>
            </w:r>
            <w:r>
              <w:rPr>
                <w:rFonts w:ascii="宋体" w:hAnsi="宋体" w:eastAsia="宋体"/>
                <w:sz w:val="16"/>
              </w:rPr>
              <w:t>国外不公平贸易</w:t>
            </w:r>
            <w:r>
              <w:rPr>
                <w:rFonts w:hint="eastAsia" w:ascii="宋体" w:hAnsi="宋体"/>
                <w:sz w:val="16"/>
                <w:lang w:eastAsia="zh-CN"/>
              </w:rPr>
              <w:t>政策</w:t>
            </w:r>
            <w:r>
              <w:rPr>
                <w:rFonts w:ascii="宋体" w:hAnsi="宋体" w:eastAsia="宋体"/>
                <w:sz w:val="16"/>
              </w:rPr>
              <w:t>对待所造成的不利影响，提高国际市场竞争力,促进和扩大出口:加强国家级园区建设，提升对外开放水平及发展质量。</w:t>
            </w:r>
            <w:r>
              <w:rPr>
                <w:rFonts w:ascii="宋体" w:hAnsi="宋体" w:eastAsia="宋体"/>
                <w:sz w:val="16"/>
              </w:rPr>
              <w:br w:type="textWrapping"/>
            </w:r>
            <w:r>
              <w:rPr>
                <w:rFonts w:ascii="宋体" w:hAnsi="宋体" w:eastAsia="宋体"/>
                <w:sz w:val="16"/>
              </w:rPr>
              <w:t>目标2:推动我区对“一带一路”沿线国家对外投资和境外经贸合作区项目平稳发展。</w:t>
            </w:r>
            <w:r>
              <w:rPr>
                <w:rFonts w:ascii="宋体" w:hAnsi="宋体" w:eastAsia="宋体"/>
                <w:sz w:val="16"/>
              </w:rPr>
              <w:br w:type="textWrapping"/>
            </w:r>
            <w:r>
              <w:rPr>
                <w:rFonts w:ascii="宋体" w:hAnsi="宋体" w:eastAsia="宋体"/>
                <w:sz w:val="16"/>
              </w:rPr>
              <w:t>目标3:加大吸引和利用外资力度，力争实现我区外资持续稳定发展。</w:t>
            </w:r>
            <w:r>
              <w:rPr>
                <w:rFonts w:ascii="宋体" w:hAnsi="宋体" w:eastAsia="宋体"/>
                <w:sz w:val="16"/>
              </w:rPr>
              <w:br w:type="textWrapping"/>
            </w:r>
            <w:r>
              <w:rPr>
                <w:rFonts w:hint="eastAsia" w:ascii="宋体" w:hAnsi="宋体"/>
                <w:sz w:val="16"/>
                <w:lang w:eastAsia="zh-CN"/>
              </w:rPr>
              <w:t>地标</w:t>
            </w:r>
            <w:r>
              <w:rPr>
                <w:rFonts w:ascii="宋体" w:hAnsi="宋体" w:eastAsia="宋体"/>
                <w:sz w:val="16"/>
              </w:rPr>
              <w:t>4:支持建设的公共服务平台在服务贸易创新发展试点示范、特色服务出口基地的</w:t>
            </w:r>
            <w:r>
              <w:rPr>
                <w:rFonts w:hint="eastAsia" w:ascii="宋体" w:hAnsi="宋体"/>
                <w:sz w:val="16"/>
                <w:lang w:eastAsia="zh-CN"/>
              </w:rPr>
              <w:t>覆盖率</w:t>
            </w:r>
            <w:r>
              <w:rPr>
                <w:rFonts w:ascii="宋体" w:hAnsi="宋体" w:eastAsia="宋体"/>
                <w:sz w:val="16"/>
              </w:rPr>
              <w:t>进</w:t>
            </w:r>
            <w:r>
              <w:rPr>
                <w:rFonts w:hint="eastAsia" w:ascii="宋体" w:hAnsi="宋体"/>
                <w:sz w:val="16"/>
                <w:lang w:eastAsia="zh-CN"/>
              </w:rPr>
              <w:t>一步</w:t>
            </w:r>
            <w:r>
              <w:rPr>
                <w:rFonts w:ascii="宋体" w:hAnsi="宋体" w:eastAsia="宋体"/>
                <w:sz w:val="16"/>
              </w:rPr>
              <w:t>扩大。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BB151">
            <w:pPr>
              <w:jc w:val="both"/>
            </w:pPr>
            <w:r>
              <w:rPr>
                <w:rFonts w:ascii="宋体" w:hAnsi="宋体" w:eastAsia="宋体"/>
                <w:sz w:val="16"/>
              </w:rPr>
              <w:t>我市现支持重点外向型企业数量41家，第一批专项资金2家拨付资金为82.1万元，第二批专项资金39家拨付资金为2445.6万元，总拨付资金为2527.7万元，外贸进出口总额144.94亿美元，同比增长43.46%，占伊犁州直外贸进出口总额的82.3%，占新疆进出口总额的23.3%，助推伊犁州外贸进出口总额位居全疆首位</w:t>
            </w:r>
          </w:p>
        </w:tc>
      </w:tr>
      <w:tr w14:paraId="15FF0F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26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39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8F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F1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D3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BF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9D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E7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7EE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D2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6A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8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E1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D921">
            <w:pPr>
              <w:jc w:val="center"/>
            </w:pPr>
            <w:r>
              <w:rPr>
                <w:rFonts w:ascii="宋体" w:hAnsi="宋体" w:eastAsia="宋体"/>
                <w:sz w:val="16"/>
              </w:rPr>
              <w:t>偏差原因分析及改进措施</w:t>
            </w:r>
          </w:p>
        </w:tc>
      </w:tr>
      <w:tr w14:paraId="0957C6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686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DCE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81B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B217">
            <w:pPr>
              <w:jc w:val="center"/>
            </w:pPr>
            <w:r>
              <w:rPr>
                <w:rFonts w:ascii="宋体" w:hAnsi="宋体" w:eastAsia="宋体"/>
                <w:sz w:val="16"/>
              </w:rPr>
              <w:t>支持培育内外贸一体化经营企业数量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A3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83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00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2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49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6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9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8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9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9DC8">
            <w:pPr>
              <w:jc w:val="center"/>
            </w:pPr>
          </w:p>
        </w:tc>
      </w:tr>
      <w:tr w14:paraId="2AD8D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7D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E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EB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FF38">
            <w:pPr>
              <w:jc w:val="center"/>
            </w:pPr>
            <w:r>
              <w:rPr>
                <w:rFonts w:ascii="宋体" w:hAnsi="宋体" w:eastAsia="宋体"/>
                <w:sz w:val="16"/>
              </w:rPr>
              <w:t>支持对外投资标志性项目数量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29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45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2B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7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B3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3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3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5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B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F4D7">
            <w:pPr>
              <w:jc w:val="center"/>
            </w:pPr>
          </w:p>
        </w:tc>
      </w:tr>
      <w:tr w14:paraId="2F64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9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31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9B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D5AE">
            <w:pPr>
              <w:jc w:val="center"/>
            </w:pPr>
            <w:r>
              <w:rPr>
                <w:rFonts w:ascii="宋体" w:hAnsi="宋体" w:eastAsia="宋体"/>
                <w:sz w:val="16"/>
              </w:rPr>
              <w:t>开展预警法律服务和实施贸易调整援助支持企业数量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AD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54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1D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F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58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C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D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1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67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279C">
            <w:pPr>
              <w:jc w:val="center"/>
            </w:pPr>
          </w:p>
        </w:tc>
      </w:tr>
      <w:tr w14:paraId="0A88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6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95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A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6A64">
            <w:pPr>
              <w:jc w:val="center"/>
            </w:pPr>
            <w:r>
              <w:rPr>
                <w:rFonts w:ascii="宋体" w:hAnsi="宋体" w:eastAsia="宋体"/>
                <w:sz w:val="16"/>
              </w:rPr>
              <w:t>支持外贸新业态新模式项目数量（个）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53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E9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C0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6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DB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B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9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3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E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9E95">
            <w:pPr>
              <w:jc w:val="center"/>
            </w:pPr>
          </w:p>
        </w:tc>
      </w:tr>
      <w:tr w14:paraId="2D5F5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9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E9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6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74E2">
            <w:pPr>
              <w:jc w:val="center"/>
            </w:pPr>
            <w:r>
              <w:rPr>
                <w:rFonts w:ascii="宋体" w:hAnsi="宋体" w:eastAsia="宋体"/>
                <w:sz w:val="16"/>
              </w:rPr>
              <w:t>支持外经贸领域公共服务项目数量（个）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2E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5D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E9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2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66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6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C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3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D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297A">
            <w:pPr>
              <w:jc w:val="center"/>
            </w:pPr>
          </w:p>
        </w:tc>
      </w:tr>
      <w:tr w14:paraId="6FC4B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7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8C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01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D7D">
            <w:pPr>
              <w:jc w:val="center"/>
            </w:pPr>
            <w:r>
              <w:rPr>
                <w:rFonts w:ascii="宋体" w:hAnsi="宋体" w:eastAsia="宋体"/>
                <w:sz w:val="16"/>
              </w:rPr>
              <w:t>获得对外投资标志性项目企业数量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8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86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8B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A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BB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1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F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DE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F3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55B8">
            <w:pPr>
              <w:jc w:val="center"/>
            </w:pPr>
          </w:p>
        </w:tc>
      </w:tr>
      <w:tr w14:paraId="4500C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1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A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1A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9142">
            <w:pPr>
              <w:jc w:val="center"/>
            </w:pPr>
            <w:r>
              <w:rPr>
                <w:rFonts w:ascii="宋体" w:hAnsi="宋体" w:eastAsia="宋体"/>
                <w:sz w:val="16"/>
              </w:rPr>
              <w:t>获得政银保合作项目企业数量（个）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BC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81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C8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7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C8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3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2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9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A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4601">
            <w:pPr>
              <w:jc w:val="center"/>
            </w:pPr>
          </w:p>
        </w:tc>
      </w:tr>
      <w:tr w14:paraId="43D1B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5E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D6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4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DDF9">
            <w:pPr>
              <w:jc w:val="center"/>
            </w:pPr>
            <w:r>
              <w:rPr>
                <w:rFonts w:ascii="宋体" w:hAnsi="宋体" w:eastAsia="宋体"/>
                <w:sz w:val="16"/>
              </w:rPr>
              <w:t>获得边境贸易创新发展项目企业数量（个）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B85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A60B">
            <w:pPr>
              <w:jc w:val="center"/>
            </w:pPr>
            <w:r>
              <w:rPr>
                <w:rFonts w:ascii="宋体" w:hAnsi="宋体" w:eastAsia="宋体"/>
                <w:sz w:val="16"/>
              </w:rPr>
              <w:t>=32个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CEE0">
            <w:pPr>
              <w:jc w:val="center"/>
            </w:pPr>
            <w:r>
              <w:rPr>
                <w:rFonts w:ascii="宋体" w:hAnsi="宋体" w:eastAsia="宋体"/>
                <w:sz w:val="16"/>
              </w:rPr>
              <w:t>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E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809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4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3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E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8E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A786">
            <w:pPr>
              <w:jc w:val="center"/>
            </w:pPr>
          </w:p>
        </w:tc>
      </w:tr>
      <w:tr w14:paraId="6F481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5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C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6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E76E">
            <w:pPr>
              <w:jc w:val="center"/>
            </w:pPr>
            <w:r>
              <w:rPr>
                <w:rFonts w:ascii="宋体" w:hAnsi="宋体" w:eastAsia="宋体"/>
                <w:sz w:val="16"/>
              </w:rPr>
              <w:t>获得推动服务贸易创新发展企业项目数量（个）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55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2CB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2D2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6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DB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C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6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F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F1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6019">
            <w:pPr>
              <w:jc w:val="center"/>
            </w:pPr>
          </w:p>
        </w:tc>
      </w:tr>
      <w:tr w14:paraId="62688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84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98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E9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FC3A">
            <w:pPr>
              <w:jc w:val="center"/>
            </w:pPr>
            <w:r>
              <w:rPr>
                <w:rFonts w:ascii="宋体" w:hAnsi="宋体" w:eastAsia="宋体"/>
                <w:sz w:val="16"/>
              </w:rPr>
              <w:t>获得外贸稳规模优结构项目企业数量（个）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DA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E62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BF4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6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55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D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F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1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E6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C57B">
            <w:pPr>
              <w:jc w:val="center"/>
            </w:pPr>
          </w:p>
        </w:tc>
      </w:tr>
      <w:tr w14:paraId="71600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87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5A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23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7D95">
            <w:pPr>
              <w:jc w:val="center"/>
            </w:pPr>
            <w:r>
              <w:rPr>
                <w:rFonts w:ascii="宋体" w:hAnsi="宋体" w:eastAsia="宋体"/>
                <w:sz w:val="16"/>
              </w:rPr>
              <w:t>外经贸发展资金足额发放率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CA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4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9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7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CD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8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0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1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B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079B">
            <w:pPr>
              <w:jc w:val="center"/>
            </w:pPr>
          </w:p>
        </w:tc>
      </w:tr>
      <w:tr w14:paraId="33371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A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00D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521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FEC0">
            <w:pPr>
              <w:jc w:val="center"/>
            </w:pPr>
            <w:r>
              <w:rPr>
                <w:rFonts w:ascii="宋体" w:hAnsi="宋体" w:eastAsia="宋体"/>
                <w:sz w:val="16"/>
              </w:rPr>
              <w:t>预算资金执行率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28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7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5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1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9C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6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2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4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AB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EC10">
            <w:pPr>
              <w:jc w:val="center"/>
            </w:pPr>
          </w:p>
        </w:tc>
      </w:tr>
      <w:tr w14:paraId="35E93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50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2C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1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9172">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70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8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8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1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3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8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8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9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19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42F9">
            <w:pPr>
              <w:jc w:val="center"/>
            </w:pPr>
          </w:p>
        </w:tc>
      </w:tr>
      <w:tr w14:paraId="23220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696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D4B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C8E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573F">
            <w:pPr>
              <w:jc w:val="center"/>
            </w:pPr>
            <w:r>
              <w:rPr>
                <w:rFonts w:ascii="宋体" w:hAnsi="宋体" w:eastAsia="宋体"/>
                <w:sz w:val="16"/>
              </w:rPr>
              <w:t>促进对外投资平稳发展项目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9E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0C3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40C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B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0A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2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1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7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0F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FB9B">
            <w:pPr>
              <w:jc w:val="center"/>
            </w:pPr>
          </w:p>
        </w:tc>
      </w:tr>
      <w:tr w14:paraId="6D473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26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75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B5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9D16">
            <w:pPr>
              <w:jc w:val="center"/>
            </w:pPr>
            <w:r>
              <w:rPr>
                <w:rFonts w:ascii="宋体" w:hAnsi="宋体" w:eastAsia="宋体"/>
                <w:sz w:val="16"/>
              </w:rPr>
              <w:t>政银保合作项目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91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4C94">
            <w:pPr>
              <w:jc w:val="center"/>
            </w:pPr>
            <w:r>
              <w:rPr>
                <w:rFonts w:ascii="宋体" w:hAnsi="宋体" w:eastAsia="宋体"/>
                <w:sz w:val="16"/>
              </w:rPr>
              <w:t>&lt;=74.10万元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442A">
            <w:pPr>
              <w:jc w:val="center"/>
            </w:pPr>
            <w:r>
              <w:rPr>
                <w:rFonts w:ascii="宋体" w:hAnsi="宋体" w:eastAsia="宋体"/>
                <w:sz w:val="16"/>
              </w:rPr>
              <w:t>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1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B7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D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3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7E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0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8064">
            <w:pPr>
              <w:jc w:val="center"/>
            </w:pPr>
          </w:p>
        </w:tc>
      </w:tr>
      <w:tr w14:paraId="57C33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4D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F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C4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5CF9">
            <w:pPr>
              <w:jc w:val="center"/>
            </w:pPr>
            <w:r>
              <w:rPr>
                <w:rFonts w:ascii="宋体" w:hAnsi="宋体" w:eastAsia="宋体"/>
                <w:sz w:val="16"/>
              </w:rPr>
              <w:t>支持边境贸易创新发展项目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5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CE44">
            <w:pPr>
              <w:jc w:val="center"/>
            </w:pPr>
            <w:r>
              <w:rPr>
                <w:rFonts w:ascii="宋体" w:hAnsi="宋体" w:eastAsia="宋体"/>
                <w:sz w:val="16"/>
              </w:rPr>
              <w:t>&lt;=64.56万元/个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2CBA">
            <w:pPr>
              <w:jc w:val="center"/>
            </w:pPr>
            <w:r>
              <w:rPr>
                <w:rFonts w:ascii="宋体" w:hAnsi="宋体" w:eastAsia="宋体"/>
                <w:sz w:val="16"/>
              </w:rPr>
              <w:t>64.56万元/个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6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E4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D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8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A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4E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9F8D">
            <w:pPr>
              <w:jc w:val="center"/>
            </w:pPr>
          </w:p>
        </w:tc>
      </w:tr>
      <w:tr w14:paraId="13AB9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D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2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03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F859">
            <w:pPr>
              <w:jc w:val="center"/>
            </w:pPr>
            <w:r>
              <w:rPr>
                <w:rFonts w:ascii="宋体" w:hAnsi="宋体" w:eastAsia="宋体"/>
                <w:sz w:val="16"/>
              </w:rPr>
              <w:t>支持推动服务贸易创新发展项目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8A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BBCB">
            <w:pPr>
              <w:jc w:val="center"/>
            </w:pPr>
            <w:r>
              <w:rPr>
                <w:rFonts w:ascii="宋体" w:hAnsi="宋体" w:eastAsia="宋体"/>
                <w:sz w:val="16"/>
              </w:rPr>
              <w:t>&lt;=10.80万元/个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B36A">
            <w:pPr>
              <w:jc w:val="center"/>
            </w:pPr>
            <w:r>
              <w:rPr>
                <w:rFonts w:ascii="宋体" w:hAnsi="宋体" w:eastAsia="宋体"/>
                <w:sz w:val="16"/>
              </w:rPr>
              <w:t>10.8万元/个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2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BB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4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34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9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C9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480A">
            <w:pPr>
              <w:jc w:val="center"/>
            </w:pPr>
          </w:p>
        </w:tc>
      </w:tr>
      <w:tr w14:paraId="1FCAD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B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6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E9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4482">
            <w:pPr>
              <w:jc w:val="center"/>
            </w:pPr>
            <w:r>
              <w:rPr>
                <w:rFonts w:ascii="宋体" w:hAnsi="宋体" w:eastAsia="宋体"/>
                <w:sz w:val="16"/>
              </w:rPr>
              <w:t>推动外贸稳规模优结构项目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C5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6694">
            <w:pPr>
              <w:jc w:val="center"/>
            </w:pPr>
            <w:r>
              <w:rPr>
                <w:rFonts w:ascii="宋体" w:hAnsi="宋体" w:eastAsia="宋体"/>
                <w:sz w:val="16"/>
              </w:rPr>
              <w:t>&lt;=71.60万元/个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4F8A">
            <w:pPr>
              <w:jc w:val="center"/>
            </w:pPr>
            <w:r>
              <w:rPr>
                <w:rFonts w:ascii="宋体" w:hAnsi="宋体" w:eastAsia="宋体"/>
                <w:sz w:val="16"/>
              </w:rPr>
              <w:t>71.6万元/个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0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44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2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8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C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3F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A0F">
            <w:pPr>
              <w:jc w:val="center"/>
            </w:pPr>
          </w:p>
        </w:tc>
      </w:tr>
      <w:tr w14:paraId="62064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98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546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9725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80D3">
            <w:pPr>
              <w:jc w:val="center"/>
            </w:pPr>
            <w:r>
              <w:rPr>
                <w:rFonts w:ascii="宋体" w:hAnsi="宋体" w:eastAsia="宋体"/>
                <w:sz w:val="16"/>
              </w:rPr>
              <w:t>外贸进出口总额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5C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0DB7">
            <w:pPr>
              <w:jc w:val="center"/>
            </w:pPr>
            <w:r>
              <w:rPr>
                <w:rFonts w:ascii="宋体" w:hAnsi="宋体" w:eastAsia="宋体"/>
                <w:sz w:val="16"/>
              </w:rPr>
              <w:t>&gt;=144.94亿美元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363">
            <w:pPr>
              <w:jc w:val="center"/>
            </w:pPr>
            <w:r>
              <w:rPr>
                <w:rFonts w:ascii="宋体" w:hAnsi="宋体" w:eastAsia="宋体"/>
                <w:sz w:val="16"/>
              </w:rPr>
              <w:t>144.94亿美元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1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C2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6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8BA">
            <w:pPr>
              <w:jc w:val="center"/>
            </w:pPr>
            <w:r>
              <w:rPr>
                <w:rFonts w:ascii="宋体" w:hAnsi="宋体" w:eastAsia="宋体"/>
                <w:sz w:val="16"/>
              </w:rPr>
              <w:t>&gt;=100亿美元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7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8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6D0A">
            <w:pPr>
              <w:jc w:val="center"/>
            </w:pPr>
          </w:p>
        </w:tc>
      </w:tr>
      <w:tr w14:paraId="2FF55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5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E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8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FC9D">
            <w:pPr>
              <w:jc w:val="center"/>
            </w:pPr>
            <w:r>
              <w:rPr>
                <w:rFonts w:ascii="宋体" w:hAnsi="宋体" w:eastAsia="宋体"/>
                <w:sz w:val="16"/>
              </w:rPr>
              <w:t>获得支持的外向型企业进出口增长率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87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E97D">
            <w:pPr>
              <w:jc w:val="center"/>
            </w:pPr>
            <w:r>
              <w:rPr>
                <w:rFonts w:ascii="宋体" w:hAnsi="宋体" w:eastAsia="宋体"/>
                <w:sz w:val="16"/>
              </w:rPr>
              <w:t>&gt;=43.4%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2179">
            <w:pPr>
              <w:jc w:val="center"/>
            </w:pPr>
            <w:r>
              <w:rPr>
                <w:rFonts w:ascii="宋体" w:hAnsi="宋体" w:eastAsia="宋体"/>
                <w:sz w:val="16"/>
              </w:rPr>
              <w:t>43.4%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E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94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D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5AC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E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0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75AC">
            <w:pPr>
              <w:jc w:val="center"/>
            </w:pPr>
          </w:p>
        </w:tc>
      </w:tr>
      <w:tr w14:paraId="48133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44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5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B1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8F1F">
            <w:pPr>
              <w:jc w:val="center"/>
            </w:pPr>
            <w:r>
              <w:rPr>
                <w:rFonts w:ascii="宋体" w:hAnsi="宋体" w:eastAsia="宋体"/>
                <w:sz w:val="16"/>
              </w:rPr>
              <w:t>支持建设的公共服务平台在服务贸易创新发展试点示范，特色服务出口基地的覆盖率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08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DF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B2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8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6A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E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1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0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8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86BA">
            <w:pPr>
              <w:jc w:val="center"/>
            </w:pPr>
          </w:p>
        </w:tc>
      </w:tr>
      <w:tr w14:paraId="2DFCA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C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CD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5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942C">
            <w:pPr>
              <w:jc w:val="center"/>
            </w:pPr>
            <w:r>
              <w:rPr>
                <w:rFonts w:ascii="宋体" w:hAnsi="宋体" w:eastAsia="宋体"/>
                <w:sz w:val="16"/>
              </w:rPr>
              <w:t>获得支持的对外投资标志性项目投资规模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93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66BC">
            <w:pPr>
              <w:jc w:val="center"/>
            </w:pPr>
            <w:r>
              <w:rPr>
                <w:rFonts w:ascii="宋体" w:hAnsi="宋体" w:eastAsia="宋体"/>
                <w:sz w:val="16"/>
              </w:rPr>
              <w:t>&gt;=8家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B7FD">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C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4F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3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8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B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C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542F">
            <w:pPr>
              <w:jc w:val="center"/>
            </w:pPr>
          </w:p>
        </w:tc>
      </w:tr>
      <w:tr w14:paraId="3E7A2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6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FB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32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D49C">
            <w:pPr>
              <w:jc w:val="center"/>
            </w:pPr>
            <w:r>
              <w:rPr>
                <w:rFonts w:ascii="宋体" w:hAnsi="宋体" w:eastAsia="宋体"/>
                <w:sz w:val="16"/>
              </w:rPr>
              <w:t>边境贸易增速（边境省份填写）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D4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56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BD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4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B2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B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5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C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B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A9E3">
            <w:pPr>
              <w:jc w:val="center"/>
            </w:pPr>
          </w:p>
        </w:tc>
      </w:tr>
      <w:tr w14:paraId="10A1F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D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2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C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3189">
            <w:pPr>
              <w:jc w:val="center"/>
            </w:pPr>
            <w:r>
              <w:rPr>
                <w:rFonts w:ascii="宋体" w:hAnsi="宋体" w:eastAsia="宋体"/>
                <w:sz w:val="16"/>
              </w:rPr>
              <w:t>加工贸易进出口占比（%）（中西部及东北省份填写）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6D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B0CB">
            <w:pPr>
              <w:jc w:val="center"/>
            </w:pPr>
            <w:r>
              <w:rPr>
                <w:rFonts w:ascii="宋体" w:hAnsi="宋体" w:eastAsia="宋体"/>
                <w:sz w:val="16"/>
              </w:rPr>
              <w:t>&lt;=1.02%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CA68">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C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B7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3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4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22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E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405C">
            <w:pPr>
              <w:jc w:val="center"/>
            </w:pPr>
          </w:p>
        </w:tc>
      </w:tr>
      <w:tr w14:paraId="41F63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05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47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08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BA14">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55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B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4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D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A6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C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1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6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FB74">
            <w:pPr>
              <w:jc w:val="center"/>
            </w:pPr>
          </w:p>
        </w:tc>
      </w:tr>
      <w:tr w14:paraId="4DD6C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67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33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68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AC99">
            <w:pPr>
              <w:jc w:val="center"/>
            </w:pPr>
            <w:r>
              <w:rPr>
                <w:rFonts w:ascii="宋体" w:hAnsi="宋体" w:eastAsia="宋体"/>
                <w:sz w:val="16"/>
              </w:rPr>
              <w:t>外经贸企业营商环境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17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97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AF7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0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BE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D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085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F3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8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B576">
            <w:pPr>
              <w:jc w:val="center"/>
            </w:pPr>
          </w:p>
        </w:tc>
      </w:tr>
      <w:tr w14:paraId="78EC8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B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09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AB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2782">
            <w:pPr>
              <w:jc w:val="center"/>
            </w:pPr>
            <w:r>
              <w:rPr>
                <w:rFonts w:ascii="宋体" w:hAnsi="宋体" w:eastAsia="宋体"/>
                <w:sz w:val="16"/>
              </w:rPr>
              <w:t>获得支持的企业满意度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2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46C1">
            <w:pPr>
              <w:jc w:val="center"/>
            </w:pPr>
            <w:r>
              <w:rPr>
                <w:rFonts w:ascii="宋体" w:hAnsi="宋体" w:eastAsia="宋体"/>
                <w:sz w:val="16"/>
              </w:rPr>
              <w:t>&gt;=97.98%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5BA5">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B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7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1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54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88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5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2411">
            <w:pPr>
              <w:jc w:val="center"/>
            </w:pPr>
          </w:p>
        </w:tc>
      </w:tr>
      <w:tr w14:paraId="3CBFAF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F820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3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C7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88D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E9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1A2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7E3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DFC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2C7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04E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DF094"/>
        </w:tc>
      </w:tr>
    </w:tbl>
    <w:p w14:paraId="50DB2A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6A08A271">
        <w:tblPrEx>
          <w:tblCellMar>
            <w:top w:w="0" w:type="dxa"/>
            <w:left w:w="108" w:type="dxa"/>
            <w:bottom w:w="0" w:type="dxa"/>
            <w:right w:w="108" w:type="dxa"/>
          </w:tblCellMar>
        </w:tblPrEx>
        <w:tc>
          <w:tcPr>
            <w:tcW w:w="8848" w:type="dxa"/>
            <w:gridSpan w:val="14"/>
            <w:vAlign w:val="center"/>
          </w:tcPr>
          <w:p w14:paraId="47ED5801">
            <w:pPr>
              <w:jc w:val="center"/>
            </w:pPr>
            <w:r>
              <w:rPr>
                <w:rFonts w:ascii="宋体" w:hAnsi="宋体" w:eastAsia="宋体"/>
                <w:sz w:val="24"/>
              </w:rPr>
              <w:t>项目支出绩效自评表</w:t>
            </w:r>
          </w:p>
        </w:tc>
      </w:tr>
      <w:tr w14:paraId="5BA7979C">
        <w:tblPrEx>
          <w:tblCellMar>
            <w:top w:w="0" w:type="dxa"/>
            <w:left w:w="108" w:type="dxa"/>
            <w:bottom w:w="0" w:type="dxa"/>
            <w:right w:w="108" w:type="dxa"/>
          </w:tblCellMar>
        </w:tblPrEx>
        <w:tc>
          <w:tcPr>
            <w:tcW w:w="8848" w:type="dxa"/>
            <w:gridSpan w:val="14"/>
            <w:vAlign w:val="center"/>
          </w:tcPr>
          <w:p w14:paraId="11744B93">
            <w:pPr>
              <w:jc w:val="center"/>
            </w:pPr>
            <w:r>
              <w:rPr>
                <w:rFonts w:ascii="宋体" w:hAnsi="宋体" w:eastAsia="宋体"/>
                <w:sz w:val="24"/>
              </w:rPr>
              <w:t>(2024年度)</w:t>
            </w:r>
          </w:p>
        </w:tc>
      </w:tr>
      <w:tr w14:paraId="33C4A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82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9AA3E">
            <w:pPr>
              <w:jc w:val="center"/>
            </w:pPr>
            <w:r>
              <w:rPr>
                <w:rFonts w:ascii="宋体" w:hAnsi="宋体" w:eastAsia="宋体"/>
                <w:sz w:val="16"/>
              </w:rPr>
              <w:t>网易（霍尔果斯）联合创新中心</w:t>
            </w:r>
          </w:p>
        </w:tc>
      </w:tr>
      <w:tr w14:paraId="179117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F6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B28E3">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DF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716D96">
            <w:pPr>
              <w:jc w:val="center"/>
            </w:pPr>
            <w:r>
              <w:rPr>
                <w:rFonts w:ascii="宋体" w:hAnsi="宋体" w:eastAsia="宋体"/>
                <w:sz w:val="16"/>
              </w:rPr>
              <w:t>霍尔果斯市商务局</w:t>
            </w:r>
          </w:p>
        </w:tc>
      </w:tr>
      <w:tr w14:paraId="59D8C3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29EB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AA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2A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0D2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5C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DCD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C1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0FC6">
            <w:pPr>
              <w:jc w:val="center"/>
            </w:pPr>
            <w:r>
              <w:rPr>
                <w:rFonts w:ascii="宋体" w:hAnsi="宋体" w:eastAsia="宋体"/>
                <w:sz w:val="16"/>
              </w:rPr>
              <w:t>得分</w:t>
            </w:r>
          </w:p>
        </w:tc>
      </w:tr>
      <w:tr w14:paraId="7240C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354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A5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08B9F">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6BBD">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E4CE2">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B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57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61F5">
            <w:pPr>
              <w:jc w:val="center"/>
            </w:pPr>
            <w:r>
              <w:rPr>
                <w:rFonts w:ascii="宋体" w:hAnsi="宋体" w:eastAsia="宋体"/>
                <w:sz w:val="16"/>
              </w:rPr>
              <w:t>10.00</w:t>
            </w:r>
          </w:p>
        </w:tc>
      </w:tr>
      <w:tr w14:paraId="638BF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867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56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3F5F">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65C9">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7C36">
            <w:pPr>
              <w:jc w:val="center"/>
            </w:pPr>
            <w:r>
              <w:rPr>
                <w:rFonts w:ascii="宋体" w:hAnsi="宋体" w:eastAsia="宋体"/>
                <w:sz w:val="16"/>
              </w:rPr>
              <w:t>490.00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58F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7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E645">
            <w:pPr>
              <w:jc w:val="center"/>
            </w:pPr>
            <w:r>
              <w:rPr>
                <w:rFonts w:ascii="宋体" w:hAnsi="宋体" w:eastAsia="宋体"/>
                <w:sz w:val="16"/>
              </w:rPr>
              <w:t>—</w:t>
            </w:r>
          </w:p>
        </w:tc>
      </w:tr>
      <w:tr w14:paraId="07789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CE4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92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C0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DE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72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51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EB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8946">
            <w:pPr>
              <w:jc w:val="center"/>
            </w:pPr>
            <w:r>
              <w:rPr>
                <w:rFonts w:ascii="宋体" w:hAnsi="宋体" w:eastAsia="宋体"/>
                <w:sz w:val="16"/>
              </w:rPr>
              <w:t>—</w:t>
            </w:r>
          </w:p>
        </w:tc>
      </w:tr>
      <w:tr w14:paraId="188BDE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D37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D81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B626A4">
            <w:pPr>
              <w:jc w:val="center"/>
            </w:pPr>
            <w:r>
              <w:rPr>
                <w:rFonts w:ascii="宋体" w:hAnsi="宋体" w:eastAsia="宋体"/>
                <w:sz w:val="16"/>
              </w:rPr>
              <w:t>实际完成情况</w:t>
            </w:r>
          </w:p>
        </w:tc>
      </w:tr>
      <w:tr w14:paraId="01380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676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A60ED">
            <w:pPr>
              <w:jc w:val="both"/>
            </w:pPr>
            <w:r>
              <w:rPr>
                <w:rFonts w:ascii="宋体" w:hAnsi="宋体" w:eastAsia="宋体"/>
                <w:sz w:val="16"/>
              </w:rPr>
              <w:t>根据《霍尔果斯市委财经委员会2024年第二次会议纪要》霍市党财纪</w:t>
            </w:r>
            <w:r>
              <w:rPr>
                <w:rFonts w:hint="eastAsia" w:ascii="宋体" w:hAnsi="宋体"/>
                <w:sz w:val="16"/>
                <w:lang w:eastAsia="zh-CN"/>
              </w:rPr>
              <w:t>〔2024〕2号</w:t>
            </w:r>
            <w:r>
              <w:rPr>
                <w:rFonts w:ascii="宋体" w:hAnsi="宋体" w:eastAsia="宋体"/>
                <w:sz w:val="16"/>
              </w:rPr>
              <w:t>文件要求，为满足霍尔果斯市网易（霍尔果斯）联合创新中心项目尽快开业的要求，享受补贴资金企业1家企业，补贴资金发放2次，加快霍尔果斯数字产业创新发展，促进产业转型升级。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3A362">
            <w:pPr>
              <w:jc w:val="both"/>
            </w:pPr>
            <w:r>
              <w:rPr>
                <w:rFonts w:ascii="宋体" w:hAnsi="宋体" w:eastAsia="宋体"/>
                <w:sz w:val="16"/>
              </w:rPr>
              <w:t>为满足霍尔果斯市网易（霍尔果斯）联合创新中心项目尽快开业的要求，完成发放享受补贴资</w:t>
            </w:r>
            <w:r>
              <w:rPr>
                <w:rFonts w:hint="eastAsia" w:ascii="宋体" w:hAnsi="宋体"/>
                <w:sz w:val="16"/>
                <w:lang w:eastAsia="zh-CN"/>
              </w:rPr>
              <w:t>金的</w:t>
            </w:r>
            <w:r>
              <w:rPr>
                <w:rFonts w:ascii="宋体" w:hAnsi="宋体" w:eastAsia="宋体"/>
                <w:sz w:val="16"/>
              </w:rPr>
              <w:t>企业1家企业，补贴资金发放2次，加快霍尔果斯数字产业创新发展，促进产业转型升级。</w:t>
            </w:r>
          </w:p>
        </w:tc>
      </w:tr>
      <w:tr w14:paraId="22FFE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50B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D3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A4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DA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76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A7E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AF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59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971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34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6A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9D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1C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845B">
            <w:pPr>
              <w:jc w:val="center"/>
            </w:pPr>
            <w:r>
              <w:rPr>
                <w:rFonts w:ascii="宋体" w:hAnsi="宋体" w:eastAsia="宋体"/>
                <w:sz w:val="16"/>
              </w:rPr>
              <w:t>偏差原因分析及改进措施</w:t>
            </w:r>
          </w:p>
        </w:tc>
      </w:tr>
      <w:tr w14:paraId="2FD7C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CCB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7E9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026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CA73">
            <w:pPr>
              <w:jc w:val="center"/>
            </w:pPr>
            <w:r>
              <w:rPr>
                <w:rFonts w:ascii="宋体" w:hAnsi="宋体" w:eastAsia="宋体"/>
                <w:sz w:val="16"/>
              </w:rPr>
              <w:t>享受补贴资金企业数量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1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7FA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0EE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0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E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4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5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B7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4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B519">
            <w:pPr>
              <w:jc w:val="center"/>
            </w:pPr>
          </w:p>
        </w:tc>
      </w:tr>
      <w:tr w14:paraId="7FAA6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5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13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1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46E3">
            <w:pPr>
              <w:jc w:val="center"/>
            </w:pPr>
            <w:r>
              <w:rPr>
                <w:rFonts w:ascii="宋体" w:hAnsi="宋体" w:eastAsia="宋体"/>
                <w:sz w:val="16"/>
              </w:rPr>
              <w:t>补贴资金发放次数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F0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A67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F43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F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6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7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B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9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0A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61C9">
            <w:pPr>
              <w:jc w:val="center"/>
            </w:pPr>
          </w:p>
        </w:tc>
      </w:tr>
      <w:tr w14:paraId="60FB8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3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F5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E7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0BCF">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2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F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4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F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52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C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E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B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7C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44A3">
            <w:pPr>
              <w:jc w:val="center"/>
            </w:pPr>
          </w:p>
        </w:tc>
      </w:tr>
      <w:tr w14:paraId="717E3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D5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4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12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E876">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0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A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5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2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C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2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D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5C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20D0">
            <w:pPr>
              <w:jc w:val="center"/>
            </w:pPr>
          </w:p>
        </w:tc>
      </w:tr>
      <w:tr w14:paraId="639EC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EB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7AF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852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36B5">
            <w:pPr>
              <w:jc w:val="center"/>
            </w:pPr>
            <w:r>
              <w:rPr>
                <w:rFonts w:ascii="宋体" w:hAnsi="宋体" w:eastAsia="宋体"/>
                <w:sz w:val="16"/>
              </w:rPr>
              <w:t>享受补贴资金（第一批）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7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E126">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A96D">
            <w:pPr>
              <w:jc w:val="center"/>
            </w:pPr>
            <w:r>
              <w:rPr>
                <w:rFonts w:ascii="宋体" w:hAnsi="宋体" w:eastAsia="宋体"/>
                <w:sz w:val="16"/>
              </w:rPr>
              <w: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1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5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F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E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5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30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ABD9">
            <w:pPr>
              <w:jc w:val="center"/>
            </w:pPr>
          </w:p>
        </w:tc>
      </w:tr>
      <w:tr w14:paraId="478DB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1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14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52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6BC6">
            <w:pPr>
              <w:jc w:val="center"/>
            </w:pPr>
            <w:r>
              <w:rPr>
                <w:rFonts w:ascii="宋体" w:hAnsi="宋体" w:eastAsia="宋体"/>
                <w:sz w:val="16"/>
              </w:rPr>
              <w:t>享受补贴资金（第二批）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9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9A3E">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5018">
            <w:pPr>
              <w:jc w:val="center"/>
            </w:pPr>
            <w:r>
              <w:rPr>
                <w:rFonts w:ascii="宋体" w:hAnsi="宋体" w:eastAsia="宋体"/>
                <w:sz w:val="16"/>
              </w:rPr>
              <w: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9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A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2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3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3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FC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152B">
            <w:pPr>
              <w:jc w:val="center"/>
            </w:pPr>
          </w:p>
        </w:tc>
      </w:tr>
      <w:tr w14:paraId="6C18E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22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A4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1E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C3EE">
            <w:pPr>
              <w:jc w:val="center"/>
            </w:pPr>
            <w:r>
              <w:rPr>
                <w:rFonts w:ascii="宋体" w:hAnsi="宋体" w:eastAsia="宋体"/>
                <w:sz w:val="16"/>
              </w:rPr>
              <w:t>促进人才培养和产业培育的协同发展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D6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B84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1098">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B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19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D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1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4E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4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B73A">
            <w:pPr>
              <w:jc w:val="center"/>
            </w:pPr>
          </w:p>
        </w:tc>
      </w:tr>
      <w:tr w14:paraId="6757B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EC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3C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E1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C4C0">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E7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50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C396">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7109">
            <w:pPr>
              <w:jc w:val="center"/>
            </w:pPr>
            <w:r>
              <w:rPr>
                <w:rFonts w:ascii="宋体" w:hAnsi="宋体" w:eastAsia="宋体"/>
                <w:sz w:val="16"/>
              </w:rPr>
              <w:t>103.14%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92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A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8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C3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C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F16C">
            <w:pPr>
              <w:jc w:val="center"/>
            </w:pPr>
            <w:r>
              <w:rPr>
                <w:rFonts w:ascii="宋体" w:hAnsi="宋体" w:eastAsia="宋体"/>
                <w:sz w:val="16"/>
              </w:rPr>
              <w:t>企业满意度较高。</w:t>
            </w:r>
          </w:p>
        </w:tc>
      </w:tr>
      <w:tr w14:paraId="5A7D98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858D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5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2B7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7B3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16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6C9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8A1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3E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A42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797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6D3EC"/>
        </w:tc>
      </w:tr>
    </w:tbl>
    <w:p w14:paraId="2643FA0B">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620"/>
        <w:gridCol w:w="856"/>
        <w:gridCol w:w="696"/>
        <w:gridCol w:w="696"/>
        <w:gridCol w:w="625"/>
        <w:gridCol w:w="614"/>
        <w:gridCol w:w="614"/>
        <w:gridCol w:w="615"/>
        <w:gridCol w:w="615"/>
        <w:gridCol w:w="631"/>
      </w:tblGrid>
      <w:tr w14:paraId="433E2B2D">
        <w:tblPrEx>
          <w:tblCellMar>
            <w:top w:w="0" w:type="dxa"/>
            <w:left w:w="108" w:type="dxa"/>
            <w:bottom w:w="0" w:type="dxa"/>
            <w:right w:w="108" w:type="dxa"/>
          </w:tblCellMar>
        </w:tblPrEx>
        <w:tc>
          <w:tcPr>
            <w:tcW w:w="8848" w:type="dxa"/>
            <w:gridSpan w:val="14"/>
            <w:vAlign w:val="center"/>
          </w:tcPr>
          <w:p w14:paraId="72770789">
            <w:pPr>
              <w:jc w:val="center"/>
            </w:pPr>
            <w:r>
              <w:rPr>
                <w:rFonts w:ascii="宋体" w:hAnsi="宋体" w:eastAsia="宋体"/>
                <w:sz w:val="24"/>
              </w:rPr>
              <w:t>项目支出绩效自评表</w:t>
            </w:r>
          </w:p>
        </w:tc>
      </w:tr>
      <w:tr w14:paraId="5F085B51">
        <w:tblPrEx>
          <w:tblCellMar>
            <w:top w:w="0" w:type="dxa"/>
            <w:left w:w="108" w:type="dxa"/>
            <w:bottom w:w="0" w:type="dxa"/>
            <w:right w:w="108" w:type="dxa"/>
          </w:tblCellMar>
        </w:tblPrEx>
        <w:tc>
          <w:tcPr>
            <w:tcW w:w="8848" w:type="dxa"/>
            <w:gridSpan w:val="14"/>
            <w:vAlign w:val="center"/>
          </w:tcPr>
          <w:p w14:paraId="57D7DF8A">
            <w:pPr>
              <w:jc w:val="center"/>
            </w:pPr>
            <w:r>
              <w:rPr>
                <w:rFonts w:ascii="宋体" w:hAnsi="宋体" w:eastAsia="宋体"/>
                <w:sz w:val="24"/>
              </w:rPr>
              <w:t>(2024年度)</w:t>
            </w:r>
          </w:p>
        </w:tc>
      </w:tr>
      <w:tr w14:paraId="2D8FF4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24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A5F79">
            <w:pPr>
              <w:jc w:val="center"/>
            </w:pPr>
            <w:r>
              <w:rPr>
                <w:rFonts w:ascii="宋体" w:hAnsi="宋体" w:eastAsia="宋体"/>
                <w:sz w:val="16"/>
              </w:rPr>
              <w:t>网易（霍尔果斯）联合创新中心项目楼体及外立面制作费用</w:t>
            </w:r>
          </w:p>
        </w:tc>
      </w:tr>
      <w:tr w14:paraId="0E6F4F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F9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CB732">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4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1E9F1">
            <w:pPr>
              <w:jc w:val="center"/>
            </w:pPr>
            <w:r>
              <w:rPr>
                <w:rFonts w:ascii="宋体" w:hAnsi="宋体" w:eastAsia="宋体"/>
                <w:sz w:val="16"/>
              </w:rPr>
              <w:t>霍尔果斯市商务局</w:t>
            </w:r>
          </w:p>
        </w:tc>
      </w:tr>
      <w:tr w14:paraId="6B6A7E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CB1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DC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A7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53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AC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87F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1D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5DB6">
            <w:pPr>
              <w:jc w:val="center"/>
            </w:pPr>
            <w:r>
              <w:rPr>
                <w:rFonts w:ascii="宋体" w:hAnsi="宋体" w:eastAsia="宋体"/>
                <w:sz w:val="16"/>
              </w:rPr>
              <w:t>得分</w:t>
            </w:r>
          </w:p>
        </w:tc>
      </w:tr>
      <w:tr w14:paraId="58FB3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C4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C2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A5069">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2303">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ECCE8">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956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42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1DEF">
            <w:pPr>
              <w:jc w:val="center"/>
            </w:pPr>
            <w:r>
              <w:rPr>
                <w:rFonts w:ascii="宋体" w:hAnsi="宋体" w:eastAsia="宋体"/>
                <w:sz w:val="16"/>
              </w:rPr>
              <w:t>10.00</w:t>
            </w:r>
          </w:p>
        </w:tc>
      </w:tr>
      <w:tr w14:paraId="0823D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5FD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AF0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E64A">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0A49">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3D7F">
            <w:pPr>
              <w:jc w:val="center"/>
            </w:pPr>
            <w:r>
              <w:rPr>
                <w:rFonts w:ascii="宋体" w:hAnsi="宋体" w:eastAsia="宋体"/>
                <w:sz w:val="16"/>
              </w:rPr>
              <w:t>20.83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B10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C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FAB4">
            <w:pPr>
              <w:jc w:val="center"/>
            </w:pPr>
            <w:r>
              <w:rPr>
                <w:rFonts w:ascii="宋体" w:hAnsi="宋体" w:eastAsia="宋体"/>
                <w:sz w:val="16"/>
              </w:rPr>
              <w:t>—</w:t>
            </w:r>
          </w:p>
        </w:tc>
      </w:tr>
      <w:tr w14:paraId="69F16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9FA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6F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79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55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46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5F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28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ADF3">
            <w:pPr>
              <w:jc w:val="center"/>
            </w:pPr>
            <w:r>
              <w:rPr>
                <w:rFonts w:ascii="宋体" w:hAnsi="宋体" w:eastAsia="宋体"/>
                <w:sz w:val="16"/>
              </w:rPr>
              <w:t>—</w:t>
            </w:r>
          </w:p>
        </w:tc>
      </w:tr>
      <w:tr w14:paraId="366D0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0D2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784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62624E">
            <w:pPr>
              <w:jc w:val="center"/>
            </w:pPr>
            <w:r>
              <w:rPr>
                <w:rFonts w:ascii="宋体" w:hAnsi="宋体" w:eastAsia="宋体"/>
                <w:sz w:val="16"/>
              </w:rPr>
              <w:t>实际完成情况</w:t>
            </w:r>
          </w:p>
        </w:tc>
      </w:tr>
      <w:tr w14:paraId="01E7B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D41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E0613">
            <w:pPr>
              <w:jc w:val="both"/>
            </w:pPr>
            <w:r>
              <w:rPr>
                <w:rFonts w:ascii="宋体" w:hAnsi="宋体" w:eastAsia="宋体"/>
                <w:sz w:val="16"/>
              </w:rPr>
              <w:t>根据《霍尔果斯市委财经委员会2024年第二次会议纪要》霍市党财纪</w:t>
            </w:r>
            <w:r>
              <w:rPr>
                <w:rFonts w:hint="eastAsia" w:ascii="宋体" w:hAnsi="宋体"/>
                <w:sz w:val="16"/>
                <w:lang w:eastAsia="zh-CN"/>
              </w:rPr>
              <w:t>〔2024〕2号</w:t>
            </w:r>
            <w:r>
              <w:rPr>
                <w:rFonts w:ascii="宋体" w:hAnsi="宋体" w:eastAsia="宋体"/>
                <w:sz w:val="16"/>
              </w:rPr>
              <w:t>文件要求，通过制作悬挂式广告牌36个，制作立式广告牌，制作外立面标识花费资金共208290元。为加快霍尔果斯数字产业创新发展，促进产业转型升级，助力霍尔果斯地区科技创新、人才培养和产业培育的协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9D0E3">
            <w:pPr>
              <w:jc w:val="both"/>
            </w:pPr>
            <w:r>
              <w:rPr>
                <w:rFonts w:ascii="宋体" w:hAnsi="宋体" w:eastAsia="宋体"/>
                <w:sz w:val="16"/>
              </w:rPr>
              <w:t>通过制作悬挂式广告牌36个，制作立式广告牌，制作外立面标识花费资金共208290元。为加快霍尔果斯数字产业创新发展，促进产业转型升级，助力霍尔果斯地区科技创新、人才培养和产业培育的协同发展。</w:t>
            </w:r>
          </w:p>
        </w:tc>
      </w:tr>
      <w:tr w14:paraId="1773AB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8E5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CC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98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7C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DA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5B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E5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56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C18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3C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B7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9C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7D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52A3">
            <w:pPr>
              <w:jc w:val="center"/>
            </w:pPr>
            <w:r>
              <w:rPr>
                <w:rFonts w:ascii="宋体" w:hAnsi="宋体" w:eastAsia="宋体"/>
                <w:sz w:val="16"/>
              </w:rPr>
              <w:t>偏差原因分析及改进措施</w:t>
            </w:r>
          </w:p>
        </w:tc>
      </w:tr>
      <w:tr w14:paraId="1DA864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A7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277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91B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CAF8">
            <w:pPr>
              <w:jc w:val="center"/>
            </w:pPr>
            <w:r>
              <w:rPr>
                <w:rFonts w:ascii="宋体" w:hAnsi="宋体" w:eastAsia="宋体"/>
                <w:sz w:val="16"/>
              </w:rPr>
              <w:t>制作悬挂式广告牌数量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8D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68E0">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DE14">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9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C1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7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6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6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F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6FD3">
            <w:pPr>
              <w:jc w:val="center"/>
            </w:pPr>
          </w:p>
        </w:tc>
      </w:tr>
      <w:tr w14:paraId="7CC16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11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F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6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1EC4">
            <w:pPr>
              <w:jc w:val="center"/>
            </w:pPr>
            <w:r>
              <w:rPr>
                <w:rFonts w:ascii="宋体" w:hAnsi="宋体" w:eastAsia="宋体"/>
                <w:sz w:val="16"/>
              </w:rPr>
              <w:t>制作立式广告牌数量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4B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B14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D46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D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21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A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C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5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9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0680">
            <w:pPr>
              <w:jc w:val="center"/>
            </w:pPr>
          </w:p>
        </w:tc>
      </w:tr>
      <w:tr w14:paraId="3C3FC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9D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E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B5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C011">
            <w:pPr>
              <w:jc w:val="center"/>
            </w:pPr>
            <w:r>
              <w:rPr>
                <w:rFonts w:ascii="宋体" w:hAnsi="宋体" w:eastAsia="宋体"/>
                <w:sz w:val="16"/>
              </w:rPr>
              <w:t>制作悬挂式广告牌验收合格率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B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A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9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AD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8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37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B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4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E7D8">
            <w:pPr>
              <w:jc w:val="center"/>
            </w:pPr>
          </w:p>
        </w:tc>
      </w:tr>
      <w:tr w14:paraId="75A0D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30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70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B1B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FFBE">
            <w:pPr>
              <w:jc w:val="center"/>
            </w:pPr>
            <w:r>
              <w:rPr>
                <w:rFonts w:ascii="宋体" w:hAnsi="宋体" w:eastAsia="宋体"/>
                <w:sz w:val="16"/>
              </w:rPr>
              <w:t>制作悬挂式广告牌按时完成率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36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C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E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4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52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B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E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C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C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7B30">
            <w:pPr>
              <w:jc w:val="center"/>
            </w:pPr>
          </w:p>
        </w:tc>
      </w:tr>
      <w:tr w14:paraId="71C13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5F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4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8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443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CD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1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7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7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1F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6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90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6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59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E595">
            <w:pPr>
              <w:jc w:val="center"/>
            </w:pPr>
          </w:p>
        </w:tc>
      </w:tr>
      <w:tr w14:paraId="50D41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153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7CE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866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782A">
            <w:pPr>
              <w:jc w:val="center"/>
            </w:pPr>
            <w:r>
              <w:rPr>
                <w:rFonts w:ascii="宋体" w:hAnsi="宋体" w:eastAsia="宋体"/>
                <w:sz w:val="16"/>
              </w:rPr>
              <w:t>制作悬挂式广告牌费用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A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4C36">
            <w:pPr>
              <w:jc w:val="center"/>
            </w:pPr>
            <w:r>
              <w:rPr>
                <w:rFonts w:ascii="宋体" w:hAnsi="宋体" w:eastAsia="宋体"/>
                <w:sz w:val="16"/>
              </w:rPr>
              <w:t>&lt;=95256元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21EF">
            <w:pPr>
              <w:jc w:val="center"/>
            </w:pPr>
            <w:r>
              <w:rPr>
                <w:rFonts w:ascii="宋体" w:hAnsi="宋体" w:eastAsia="宋体"/>
                <w:sz w:val="16"/>
              </w:rPr>
              <w:t>95256元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0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4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0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F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D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9E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A06D">
            <w:pPr>
              <w:jc w:val="center"/>
            </w:pPr>
          </w:p>
        </w:tc>
      </w:tr>
      <w:tr w14:paraId="27CB4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B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78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E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4DEB">
            <w:pPr>
              <w:jc w:val="center"/>
            </w:pPr>
            <w:r>
              <w:rPr>
                <w:rFonts w:ascii="宋体" w:hAnsi="宋体" w:eastAsia="宋体"/>
                <w:sz w:val="16"/>
              </w:rPr>
              <w:t>制作立式广告牌费用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6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AABE">
            <w:pPr>
              <w:jc w:val="center"/>
            </w:pPr>
            <w:r>
              <w:rPr>
                <w:rFonts w:ascii="宋体" w:hAnsi="宋体" w:eastAsia="宋体"/>
                <w:sz w:val="16"/>
              </w:rPr>
              <w:t>&lt;=113034元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2B5B">
            <w:pPr>
              <w:jc w:val="center"/>
            </w:pPr>
            <w:r>
              <w:rPr>
                <w:rFonts w:ascii="宋体" w:hAnsi="宋体" w:eastAsia="宋体"/>
                <w:sz w:val="16"/>
              </w:rPr>
              <w:t>113034元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E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F4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A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F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1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C3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BA2B">
            <w:pPr>
              <w:jc w:val="center"/>
            </w:pPr>
          </w:p>
        </w:tc>
      </w:tr>
      <w:tr w14:paraId="2E174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5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22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C6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AB11">
            <w:pPr>
              <w:jc w:val="center"/>
            </w:pPr>
            <w:r>
              <w:rPr>
                <w:rFonts w:ascii="宋体" w:hAnsi="宋体" w:eastAsia="宋体"/>
                <w:sz w:val="16"/>
              </w:rPr>
              <w:t>提升企业形象，加强品牌宣传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3A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392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725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0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90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7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8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5A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0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20DA">
            <w:pPr>
              <w:jc w:val="center"/>
            </w:pPr>
          </w:p>
        </w:tc>
      </w:tr>
      <w:tr w14:paraId="0D722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18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3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9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1601">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7B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6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4F01">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E10B">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FB3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5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C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59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3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AF40">
            <w:pPr>
              <w:jc w:val="center"/>
            </w:pPr>
            <w:r>
              <w:rPr>
                <w:rFonts w:ascii="宋体" w:hAnsi="宋体" w:eastAsia="宋体"/>
                <w:sz w:val="16"/>
              </w:rPr>
              <w:t>企业满意度较好。</w:t>
            </w:r>
          </w:p>
        </w:tc>
      </w:tr>
      <w:tr w14:paraId="15496D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2655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6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2FA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3DF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DF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6467">
            <w:pPr>
              <w:jc w:val="center"/>
            </w:pPr>
            <w:r>
              <w:rPr>
                <w:rFonts w:ascii="宋体" w:hAnsi="宋体" w:eastAsia="宋体"/>
                <w:sz w:val="16"/>
              </w:rPr>
              <w:t>99.8分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A0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31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26F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2C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F3A5F6"/>
        </w:tc>
      </w:tr>
    </w:tbl>
    <w:p w14:paraId="6EEAE9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64621E7A">
        <w:tblPrEx>
          <w:tblCellMar>
            <w:top w:w="0" w:type="dxa"/>
            <w:left w:w="108" w:type="dxa"/>
            <w:bottom w:w="0" w:type="dxa"/>
            <w:right w:w="108" w:type="dxa"/>
          </w:tblCellMar>
        </w:tblPrEx>
        <w:tc>
          <w:tcPr>
            <w:tcW w:w="8848" w:type="dxa"/>
            <w:gridSpan w:val="14"/>
            <w:vAlign w:val="center"/>
          </w:tcPr>
          <w:p w14:paraId="204D9828">
            <w:pPr>
              <w:jc w:val="center"/>
            </w:pPr>
            <w:r>
              <w:rPr>
                <w:rFonts w:ascii="宋体" w:hAnsi="宋体" w:eastAsia="宋体"/>
                <w:sz w:val="24"/>
              </w:rPr>
              <w:t>项目支出绩效自评表</w:t>
            </w:r>
          </w:p>
        </w:tc>
      </w:tr>
      <w:tr w14:paraId="074BB81C">
        <w:tblPrEx>
          <w:tblCellMar>
            <w:top w:w="0" w:type="dxa"/>
            <w:left w:w="108" w:type="dxa"/>
            <w:bottom w:w="0" w:type="dxa"/>
            <w:right w:w="108" w:type="dxa"/>
          </w:tblCellMar>
        </w:tblPrEx>
        <w:tc>
          <w:tcPr>
            <w:tcW w:w="8848" w:type="dxa"/>
            <w:gridSpan w:val="14"/>
            <w:vAlign w:val="center"/>
          </w:tcPr>
          <w:p w14:paraId="36041160">
            <w:pPr>
              <w:jc w:val="center"/>
            </w:pPr>
            <w:r>
              <w:rPr>
                <w:rFonts w:ascii="宋体" w:hAnsi="宋体" w:eastAsia="宋体"/>
                <w:sz w:val="24"/>
              </w:rPr>
              <w:t>(2024年度)</w:t>
            </w:r>
          </w:p>
        </w:tc>
      </w:tr>
      <w:tr w14:paraId="38DC86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AF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B96890">
            <w:pPr>
              <w:jc w:val="center"/>
            </w:pPr>
            <w:r>
              <w:rPr>
                <w:rFonts w:ascii="宋体" w:hAnsi="宋体" w:eastAsia="宋体"/>
                <w:sz w:val="16"/>
              </w:rPr>
              <w:t>自治区外经贸发展专项资金</w:t>
            </w:r>
          </w:p>
        </w:tc>
      </w:tr>
      <w:tr w14:paraId="21CCF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58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3809A">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BB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78F6F">
            <w:pPr>
              <w:jc w:val="center"/>
            </w:pPr>
            <w:r>
              <w:rPr>
                <w:rFonts w:ascii="宋体" w:hAnsi="宋体" w:eastAsia="宋体"/>
                <w:sz w:val="16"/>
              </w:rPr>
              <w:t>霍尔果斯市商务局</w:t>
            </w:r>
          </w:p>
        </w:tc>
      </w:tr>
      <w:tr w14:paraId="550063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471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72B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FC4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E5A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8D5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4D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3C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ADF1">
            <w:pPr>
              <w:jc w:val="center"/>
            </w:pPr>
            <w:r>
              <w:rPr>
                <w:rFonts w:ascii="宋体" w:hAnsi="宋体" w:eastAsia="宋体"/>
                <w:sz w:val="16"/>
              </w:rPr>
              <w:t>得分</w:t>
            </w:r>
          </w:p>
        </w:tc>
      </w:tr>
      <w:tr w14:paraId="6D808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C4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8B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0D12">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DED6">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4126">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2E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56B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EF37">
            <w:pPr>
              <w:jc w:val="center"/>
            </w:pPr>
            <w:r>
              <w:rPr>
                <w:rFonts w:ascii="宋体" w:hAnsi="宋体" w:eastAsia="宋体"/>
                <w:sz w:val="16"/>
              </w:rPr>
              <w:t>10.00</w:t>
            </w:r>
          </w:p>
        </w:tc>
      </w:tr>
      <w:tr w14:paraId="46411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8F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2A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4D53">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CE8EE">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1BAB">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91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C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9A5E">
            <w:pPr>
              <w:jc w:val="center"/>
            </w:pPr>
            <w:r>
              <w:rPr>
                <w:rFonts w:ascii="宋体" w:hAnsi="宋体" w:eastAsia="宋体"/>
                <w:sz w:val="16"/>
              </w:rPr>
              <w:t>—</w:t>
            </w:r>
          </w:p>
        </w:tc>
      </w:tr>
      <w:tr w14:paraId="1E574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ED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15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DC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5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1D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E0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8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B53D">
            <w:pPr>
              <w:jc w:val="center"/>
            </w:pPr>
            <w:r>
              <w:rPr>
                <w:rFonts w:ascii="宋体" w:hAnsi="宋体" w:eastAsia="宋体"/>
                <w:sz w:val="16"/>
              </w:rPr>
              <w:t>—</w:t>
            </w:r>
          </w:p>
        </w:tc>
      </w:tr>
      <w:tr w14:paraId="633D68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485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C2E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2646A6">
            <w:pPr>
              <w:jc w:val="center"/>
            </w:pPr>
            <w:r>
              <w:rPr>
                <w:rFonts w:ascii="宋体" w:hAnsi="宋体" w:eastAsia="宋体"/>
                <w:sz w:val="16"/>
              </w:rPr>
              <w:t>实际完成情况</w:t>
            </w:r>
          </w:p>
        </w:tc>
      </w:tr>
      <w:tr w14:paraId="40A27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A50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B0794">
            <w:pPr>
              <w:jc w:val="both"/>
            </w:pPr>
            <w:r>
              <w:rPr>
                <w:rFonts w:hint="eastAsia" w:ascii="宋体" w:hAnsi="宋体"/>
                <w:sz w:val="16"/>
                <w:lang w:eastAsia="zh-CN"/>
              </w:rPr>
              <w:t>根据</w:t>
            </w:r>
            <w:r>
              <w:rPr>
                <w:rFonts w:ascii="宋体" w:hAnsi="宋体" w:eastAsia="宋体"/>
                <w:sz w:val="16"/>
              </w:rPr>
              <w:t>《关于拨付自治区外经贸发展专项资金的通知》（伊州财建(2024)126号）要求，通过给5家企业发放自治区外经贸专项资金，共计发放560万元，充分发挥自治区外经贸发展专项资金效益，推动我市商贸物流产业高质量发展，支持企业稳中提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01DDB">
            <w:pPr>
              <w:jc w:val="both"/>
            </w:pPr>
            <w:r>
              <w:rPr>
                <w:rFonts w:ascii="宋体" w:hAnsi="宋体" w:eastAsia="宋体"/>
                <w:sz w:val="16"/>
              </w:rPr>
              <w:t>为充分发挥自治区外经贸发展专项资金效益，推动我市商贸物流产业高质量发展，支持企业稳中提质，</w:t>
            </w:r>
            <w:r>
              <w:rPr>
                <w:rFonts w:hint="eastAsia" w:ascii="宋体" w:hAnsi="宋体"/>
                <w:sz w:val="16"/>
                <w:lang w:eastAsia="zh-CN"/>
              </w:rPr>
              <w:t>根据</w:t>
            </w:r>
            <w:r>
              <w:rPr>
                <w:rFonts w:ascii="宋体" w:hAnsi="宋体" w:eastAsia="宋体"/>
                <w:sz w:val="16"/>
              </w:rPr>
              <w:t>《关于拨付自治区外经贸发展专项资金的通知》（伊州财建(2024)126号）要求给5家企业发放自治区外经贸专项资金，共计发放560万元。</w:t>
            </w:r>
          </w:p>
        </w:tc>
      </w:tr>
      <w:tr w14:paraId="03693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A3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2C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1A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10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3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8E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ED8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22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EB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6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54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B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3C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746C">
            <w:pPr>
              <w:jc w:val="center"/>
            </w:pPr>
            <w:r>
              <w:rPr>
                <w:rFonts w:ascii="宋体" w:hAnsi="宋体" w:eastAsia="宋体"/>
                <w:sz w:val="16"/>
              </w:rPr>
              <w:t>偏差原因分析及改进措施</w:t>
            </w:r>
          </w:p>
        </w:tc>
      </w:tr>
      <w:tr w14:paraId="62123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2EB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129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54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8B04">
            <w:pPr>
              <w:jc w:val="center"/>
            </w:pPr>
            <w:r>
              <w:rPr>
                <w:rFonts w:ascii="宋体" w:hAnsi="宋体" w:eastAsia="宋体"/>
                <w:sz w:val="16"/>
              </w:rPr>
              <w:t>发放专项资金企业数量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3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8784">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4D47">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0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2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A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0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F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B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EEDD">
            <w:pPr>
              <w:jc w:val="center"/>
            </w:pPr>
          </w:p>
        </w:tc>
      </w:tr>
      <w:tr w14:paraId="31C96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F7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E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3C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04F0">
            <w:pPr>
              <w:jc w:val="center"/>
            </w:pPr>
            <w:r>
              <w:rPr>
                <w:rFonts w:ascii="宋体" w:hAnsi="宋体" w:eastAsia="宋体"/>
                <w:sz w:val="16"/>
              </w:rPr>
              <w:t>发放专项资金覆盖率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52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5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5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9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94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B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8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8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3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A8D3">
            <w:pPr>
              <w:jc w:val="center"/>
            </w:pPr>
          </w:p>
        </w:tc>
      </w:tr>
      <w:tr w14:paraId="1E250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30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4F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6E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018E">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B1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D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1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A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18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3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7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4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47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7C57">
            <w:pPr>
              <w:jc w:val="center"/>
            </w:pPr>
          </w:p>
        </w:tc>
      </w:tr>
      <w:tr w14:paraId="74EFC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EE0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B8F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92C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A5F8">
            <w:pPr>
              <w:jc w:val="center"/>
            </w:pPr>
            <w:r>
              <w:rPr>
                <w:rFonts w:ascii="宋体" w:hAnsi="宋体" w:eastAsia="宋体"/>
                <w:sz w:val="16"/>
              </w:rPr>
              <w:t>霍尔果斯阳光捷通数字贸易有限公司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30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558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82A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3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5B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C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3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3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5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CC6D">
            <w:pPr>
              <w:jc w:val="center"/>
            </w:pPr>
          </w:p>
        </w:tc>
      </w:tr>
      <w:tr w14:paraId="2F122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7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D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21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9F36">
            <w:pPr>
              <w:jc w:val="center"/>
            </w:pPr>
            <w:r>
              <w:rPr>
                <w:rFonts w:ascii="宋体" w:hAnsi="宋体" w:eastAsia="宋体"/>
                <w:sz w:val="16"/>
              </w:rPr>
              <w:t>霍尔果斯亚欧信息科技有限公司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B3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94B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0146">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5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0A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A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F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C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B5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C71E">
            <w:pPr>
              <w:jc w:val="center"/>
            </w:pPr>
          </w:p>
        </w:tc>
      </w:tr>
      <w:tr w14:paraId="744A6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6C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E8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F3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CF22">
            <w:pPr>
              <w:jc w:val="center"/>
            </w:pPr>
            <w:r>
              <w:rPr>
                <w:rFonts w:ascii="宋体" w:hAnsi="宋体" w:eastAsia="宋体"/>
                <w:sz w:val="16"/>
              </w:rPr>
              <w:t>霍尔果斯金亿国际贸易（集团）有限公司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F1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438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A644">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B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F4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7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8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3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D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6A1">
            <w:pPr>
              <w:jc w:val="center"/>
            </w:pPr>
          </w:p>
        </w:tc>
      </w:tr>
      <w:tr w14:paraId="48A56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F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53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05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7BFF">
            <w:pPr>
              <w:jc w:val="center"/>
            </w:pPr>
            <w:r>
              <w:rPr>
                <w:rFonts w:ascii="宋体" w:hAnsi="宋体" w:eastAsia="宋体"/>
                <w:sz w:val="16"/>
              </w:rPr>
              <w:t>霍尔果斯中广智达国际贸易有限公司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46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853C">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0FC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C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E9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F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2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D6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D35">
            <w:pPr>
              <w:jc w:val="center"/>
            </w:pPr>
          </w:p>
        </w:tc>
      </w:tr>
      <w:tr w14:paraId="56F88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12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DB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3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46C6">
            <w:pPr>
              <w:jc w:val="center"/>
            </w:pPr>
            <w:r>
              <w:rPr>
                <w:rFonts w:ascii="宋体" w:hAnsi="宋体" w:eastAsia="宋体"/>
                <w:sz w:val="16"/>
              </w:rPr>
              <w:t>霍尔果斯陆港国际物流有限公司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2B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8107">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96E0">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4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4F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C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1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E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6D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460">
            <w:pPr>
              <w:jc w:val="center"/>
            </w:pPr>
          </w:p>
        </w:tc>
      </w:tr>
      <w:tr w14:paraId="13527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65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F8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2DF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C1DE">
            <w:pPr>
              <w:jc w:val="center"/>
            </w:pPr>
            <w:r>
              <w:rPr>
                <w:rFonts w:ascii="宋体" w:hAnsi="宋体" w:eastAsia="宋体"/>
                <w:sz w:val="16"/>
              </w:rPr>
              <w:t>提高商贸物流企业发展水平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29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4CC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219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0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EF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B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1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04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C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1BB9">
            <w:pPr>
              <w:jc w:val="center"/>
            </w:pPr>
          </w:p>
        </w:tc>
      </w:tr>
      <w:tr w14:paraId="627F2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1B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27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3C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4034">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5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18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8AD9">
            <w:pPr>
              <w:jc w:val="center"/>
            </w:pPr>
            <w:r>
              <w:rPr>
                <w:rFonts w:ascii="宋体" w:hAnsi="宋体" w:eastAsia="宋体"/>
                <w:sz w:val="16"/>
              </w:rPr>
              <w:t>97.98%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5BFC">
            <w:pPr>
              <w:jc w:val="center"/>
            </w:pPr>
            <w:r>
              <w:rPr>
                <w:rFonts w:ascii="宋体" w:hAnsi="宋体" w:eastAsia="宋体"/>
                <w:sz w:val="16"/>
              </w:rPr>
              <w:t>103.14%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6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C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B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97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7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D2C3">
            <w:pPr>
              <w:jc w:val="center"/>
            </w:pPr>
            <w:r>
              <w:rPr>
                <w:rFonts w:ascii="宋体" w:hAnsi="宋体" w:eastAsia="宋体"/>
                <w:sz w:val="16"/>
              </w:rPr>
              <w:t>企业满意度较高。</w:t>
            </w:r>
          </w:p>
        </w:tc>
      </w:tr>
      <w:tr w14:paraId="7E4109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6B23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A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5FA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52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9B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DC2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150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F5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9CF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6F0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D85DE"/>
        </w:tc>
      </w:tr>
    </w:tbl>
    <w:p w14:paraId="783936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8EA983B">
        <w:tblPrEx>
          <w:tblCellMar>
            <w:top w:w="0" w:type="dxa"/>
            <w:left w:w="108" w:type="dxa"/>
            <w:bottom w:w="0" w:type="dxa"/>
            <w:right w:w="108" w:type="dxa"/>
          </w:tblCellMar>
        </w:tblPrEx>
        <w:tc>
          <w:tcPr>
            <w:tcW w:w="8848" w:type="dxa"/>
            <w:gridSpan w:val="14"/>
            <w:vAlign w:val="center"/>
          </w:tcPr>
          <w:p w14:paraId="58AE00FF">
            <w:pPr>
              <w:jc w:val="center"/>
            </w:pPr>
            <w:r>
              <w:rPr>
                <w:rFonts w:ascii="宋体" w:hAnsi="宋体" w:eastAsia="宋体"/>
                <w:sz w:val="24"/>
              </w:rPr>
              <w:t>项目支出绩效自评表</w:t>
            </w:r>
          </w:p>
        </w:tc>
      </w:tr>
      <w:tr w14:paraId="04BEF11B">
        <w:tblPrEx>
          <w:tblCellMar>
            <w:top w:w="0" w:type="dxa"/>
            <w:left w:w="108" w:type="dxa"/>
            <w:bottom w:w="0" w:type="dxa"/>
            <w:right w:w="108" w:type="dxa"/>
          </w:tblCellMar>
        </w:tblPrEx>
        <w:tc>
          <w:tcPr>
            <w:tcW w:w="8848" w:type="dxa"/>
            <w:gridSpan w:val="14"/>
            <w:vAlign w:val="center"/>
          </w:tcPr>
          <w:p w14:paraId="7CF73779">
            <w:pPr>
              <w:jc w:val="center"/>
            </w:pPr>
            <w:r>
              <w:rPr>
                <w:rFonts w:ascii="宋体" w:hAnsi="宋体" w:eastAsia="宋体"/>
                <w:sz w:val="24"/>
              </w:rPr>
              <w:t>(2024年度)</w:t>
            </w:r>
          </w:p>
        </w:tc>
      </w:tr>
      <w:tr w14:paraId="74E11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ED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D6BD2C">
            <w:pPr>
              <w:jc w:val="center"/>
            </w:pPr>
            <w:r>
              <w:rPr>
                <w:rFonts w:ascii="宋体" w:hAnsi="宋体" w:eastAsia="宋体"/>
                <w:sz w:val="16"/>
              </w:rPr>
              <w:t>霍尔果斯金亿农产品批发加工产业园项目</w:t>
            </w:r>
          </w:p>
        </w:tc>
      </w:tr>
      <w:tr w14:paraId="7D7FB5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65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AA465">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C1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03F68">
            <w:pPr>
              <w:jc w:val="center"/>
            </w:pPr>
            <w:r>
              <w:rPr>
                <w:rFonts w:ascii="宋体" w:hAnsi="宋体" w:eastAsia="宋体"/>
                <w:sz w:val="16"/>
              </w:rPr>
              <w:t>霍尔果斯市商务局</w:t>
            </w:r>
          </w:p>
        </w:tc>
      </w:tr>
      <w:tr w14:paraId="695A07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BBB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4F4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73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6B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8D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64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229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BD90">
            <w:pPr>
              <w:jc w:val="center"/>
            </w:pPr>
            <w:r>
              <w:rPr>
                <w:rFonts w:ascii="宋体" w:hAnsi="宋体" w:eastAsia="宋体"/>
                <w:sz w:val="16"/>
              </w:rPr>
              <w:t>得分</w:t>
            </w:r>
          </w:p>
        </w:tc>
      </w:tr>
      <w:tr w14:paraId="0770A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53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23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2B98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356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D6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A1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EC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597E">
            <w:pPr>
              <w:jc w:val="center"/>
            </w:pPr>
            <w:r>
              <w:rPr>
                <w:rFonts w:ascii="宋体" w:hAnsi="宋体" w:eastAsia="宋体"/>
                <w:sz w:val="16"/>
              </w:rPr>
              <w:t>10.00</w:t>
            </w:r>
          </w:p>
        </w:tc>
      </w:tr>
      <w:tr w14:paraId="40795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43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49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76D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D5B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0752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16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F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BAD6">
            <w:pPr>
              <w:jc w:val="center"/>
            </w:pPr>
            <w:r>
              <w:rPr>
                <w:rFonts w:ascii="宋体" w:hAnsi="宋体" w:eastAsia="宋体"/>
                <w:sz w:val="16"/>
              </w:rPr>
              <w:t>—</w:t>
            </w:r>
          </w:p>
        </w:tc>
      </w:tr>
      <w:tr w14:paraId="01571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7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F8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5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7B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F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D0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7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1FF2">
            <w:pPr>
              <w:jc w:val="center"/>
            </w:pPr>
            <w:r>
              <w:rPr>
                <w:rFonts w:ascii="宋体" w:hAnsi="宋体" w:eastAsia="宋体"/>
                <w:sz w:val="16"/>
              </w:rPr>
              <w:t>—</w:t>
            </w:r>
          </w:p>
        </w:tc>
      </w:tr>
      <w:tr w14:paraId="73A856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140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875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8A096">
            <w:pPr>
              <w:jc w:val="center"/>
            </w:pPr>
            <w:r>
              <w:rPr>
                <w:rFonts w:ascii="宋体" w:hAnsi="宋体" w:eastAsia="宋体"/>
                <w:sz w:val="16"/>
              </w:rPr>
              <w:t>实际完成情况</w:t>
            </w:r>
          </w:p>
        </w:tc>
      </w:tr>
      <w:tr w14:paraId="450E6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FE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C188B">
            <w:pPr>
              <w:jc w:val="both"/>
            </w:pPr>
            <w:r>
              <w:rPr>
                <w:rFonts w:ascii="宋体" w:hAnsi="宋体" w:eastAsia="宋体"/>
                <w:sz w:val="16"/>
              </w:rPr>
              <w:t>根据《关于申请拨付霍尔果斯金亿农产品批发加工产业园项目中央预算内资金的函》要求，通过项目总建筑面积 15672.08 m，建设保鲜库1栋，建筑面积2800 m'，单体库容 20207.36 立方米</w:t>
            </w:r>
            <w:r>
              <w:rPr>
                <w:rFonts w:hint="eastAsia" w:ascii="宋体" w:hAnsi="宋体"/>
                <w:sz w:val="16"/>
                <w:lang w:eastAsia="zh-CN"/>
              </w:rPr>
              <w:t>；</w:t>
            </w:r>
            <w:r>
              <w:rPr>
                <w:rFonts w:ascii="宋体" w:hAnsi="宋体" w:eastAsia="宋体"/>
                <w:sz w:val="16"/>
              </w:rPr>
              <w:t>果品深加工车间1栋，建筑面积 12872.08 m</w:t>
            </w:r>
            <w:r>
              <w:rPr>
                <w:rFonts w:hint="eastAsia" w:ascii="宋体" w:hAnsi="宋体"/>
                <w:sz w:val="16"/>
                <w:lang w:eastAsia="zh-CN"/>
              </w:rPr>
              <w:t>；</w:t>
            </w:r>
            <w:r>
              <w:rPr>
                <w:rFonts w:ascii="宋体" w:hAnsi="宋体" w:eastAsia="宋体"/>
                <w:sz w:val="16"/>
              </w:rPr>
              <w:t>配套给排水、电力、消防等附属设施，项目投资估算为4600万元，其中建安工程费3953.40万元，设备购置费152.62万元，其他费用299.74万元，基本预备费194.24万元，已支付1000万元，本次支付100万元，提高当地就业人数，提高贸易额，推动当地农产品经济发展，促进区域经济一体化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D5144">
            <w:pPr>
              <w:jc w:val="both"/>
            </w:pPr>
            <w:r>
              <w:rPr>
                <w:rFonts w:ascii="宋体" w:hAnsi="宋体" w:eastAsia="宋体"/>
                <w:sz w:val="16"/>
              </w:rPr>
              <w:t>完成项目总建筑面积 15672.08 m，建设保鲜库1栋，建筑面积 2800 m'，单体库容 20207.36 立方米</w:t>
            </w:r>
            <w:r>
              <w:rPr>
                <w:rFonts w:hint="eastAsia" w:ascii="宋体" w:hAnsi="宋体"/>
                <w:sz w:val="16"/>
                <w:lang w:eastAsia="zh-CN"/>
              </w:rPr>
              <w:t>；</w:t>
            </w:r>
            <w:r>
              <w:rPr>
                <w:rFonts w:ascii="宋体" w:hAnsi="宋体" w:eastAsia="宋体"/>
                <w:sz w:val="16"/>
              </w:rPr>
              <w:t>果品深加工车间1栋，建筑面积 12872.08 m</w:t>
            </w:r>
            <w:r>
              <w:rPr>
                <w:rFonts w:hint="eastAsia" w:ascii="宋体" w:hAnsi="宋体"/>
                <w:sz w:val="16"/>
                <w:lang w:eastAsia="zh-CN"/>
              </w:rPr>
              <w:t>；</w:t>
            </w:r>
            <w:r>
              <w:rPr>
                <w:rFonts w:ascii="宋体" w:hAnsi="宋体" w:eastAsia="宋体"/>
                <w:sz w:val="16"/>
              </w:rPr>
              <w:t>配套给排水、电力、消防等附属设施，项目投资估算为4600万元，其中建安工程费3953.40万元，设备购置费152.62万元，其他费用299.74万元，基本预备费194.24万元，已支付1000万元，本次支付完成100万元，提高当地就业人数，提高贸易额，推动当地农产品经济发展，促进区域经济一体化发展。</w:t>
            </w:r>
          </w:p>
        </w:tc>
      </w:tr>
      <w:tr w14:paraId="3B245C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550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B2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B9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ED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7D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BD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23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71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B9C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48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55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04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87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FAF2">
            <w:pPr>
              <w:jc w:val="center"/>
            </w:pPr>
            <w:r>
              <w:rPr>
                <w:rFonts w:ascii="宋体" w:hAnsi="宋体" w:eastAsia="宋体"/>
                <w:sz w:val="16"/>
              </w:rPr>
              <w:t>偏差原因分析及改进措施</w:t>
            </w:r>
          </w:p>
        </w:tc>
      </w:tr>
      <w:tr w14:paraId="68C4DD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7D1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19E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EC5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4278">
            <w:pPr>
              <w:jc w:val="center"/>
            </w:pPr>
            <w:r>
              <w:rPr>
                <w:rFonts w:ascii="宋体" w:hAnsi="宋体" w:eastAsia="宋体"/>
                <w:sz w:val="16"/>
              </w:rPr>
              <w:t>新建果蔬专用保鲜库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D1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0CCD">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B02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7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B3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B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1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E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9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A461">
            <w:pPr>
              <w:jc w:val="center"/>
            </w:pPr>
          </w:p>
        </w:tc>
      </w:tr>
      <w:tr w14:paraId="3C0F4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3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01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F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FBF1">
            <w:pPr>
              <w:jc w:val="center"/>
            </w:pPr>
            <w:r>
              <w:rPr>
                <w:rFonts w:ascii="宋体" w:hAnsi="宋体" w:eastAsia="宋体"/>
                <w:sz w:val="16"/>
              </w:rPr>
              <w:t>加工车间数量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3E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B760">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1A98">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B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75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6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F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6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92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2099">
            <w:pPr>
              <w:jc w:val="center"/>
            </w:pPr>
          </w:p>
        </w:tc>
      </w:tr>
      <w:tr w14:paraId="121CE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F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AE5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4AF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578E">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48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D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A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6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D7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7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E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E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B6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D19C">
            <w:pPr>
              <w:jc w:val="center"/>
            </w:pPr>
          </w:p>
        </w:tc>
      </w:tr>
      <w:tr w14:paraId="2118B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4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5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C1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AFE6">
            <w:pPr>
              <w:jc w:val="center"/>
            </w:pPr>
            <w:r>
              <w:rPr>
                <w:rFonts w:ascii="宋体" w:hAnsi="宋体" w:eastAsia="宋体"/>
                <w:sz w:val="16"/>
              </w:rPr>
              <w:t>项目竣工率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75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6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9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7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BB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C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3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3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AE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3D1C">
            <w:pPr>
              <w:jc w:val="center"/>
            </w:pPr>
          </w:p>
        </w:tc>
      </w:tr>
      <w:tr w14:paraId="23F17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7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9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8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8870">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89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4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1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2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06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F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2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51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F6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031C">
            <w:pPr>
              <w:jc w:val="center"/>
            </w:pPr>
          </w:p>
        </w:tc>
      </w:tr>
      <w:tr w14:paraId="45E69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0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73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A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78E6">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94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24F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8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7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26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5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2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2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F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4928">
            <w:pPr>
              <w:jc w:val="center"/>
            </w:pPr>
          </w:p>
        </w:tc>
      </w:tr>
      <w:tr w14:paraId="23E92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1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2B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47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E037">
            <w:pPr>
              <w:jc w:val="center"/>
            </w:pPr>
            <w:r>
              <w:rPr>
                <w:rFonts w:ascii="宋体" w:hAnsi="宋体" w:eastAsia="宋体"/>
                <w:sz w:val="16"/>
              </w:rPr>
              <w:t>提高贸易额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BFF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FF6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FFD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7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D78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6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F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84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9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BCA0">
            <w:pPr>
              <w:jc w:val="center"/>
            </w:pPr>
          </w:p>
        </w:tc>
      </w:tr>
      <w:tr w14:paraId="16A993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B081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7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9A4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958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8A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717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48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863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18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C9F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7B690"/>
        </w:tc>
      </w:tr>
    </w:tbl>
    <w:p w14:paraId="480C9A5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856"/>
        <w:gridCol w:w="776"/>
        <w:gridCol w:w="626"/>
        <w:gridCol w:w="615"/>
        <w:gridCol w:w="615"/>
        <w:gridCol w:w="615"/>
        <w:gridCol w:w="616"/>
        <w:gridCol w:w="617"/>
        <w:gridCol w:w="632"/>
      </w:tblGrid>
      <w:tr w14:paraId="26E7805D">
        <w:tc>
          <w:tcPr>
            <w:tcW w:w="8848" w:type="dxa"/>
            <w:gridSpan w:val="14"/>
            <w:vAlign w:val="center"/>
          </w:tcPr>
          <w:p w14:paraId="51BC90F8">
            <w:pPr>
              <w:jc w:val="center"/>
            </w:pPr>
            <w:bookmarkStart w:id="0" w:name="_GoBack"/>
            <w:r>
              <w:rPr>
                <w:rFonts w:ascii="宋体" w:hAnsi="宋体" w:eastAsia="宋体"/>
                <w:sz w:val="24"/>
              </w:rPr>
              <w:t>项目支出绩效自评表</w:t>
            </w:r>
            <w:bookmarkEnd w:id="0"/>
          </w:p>
        </w:tc>
      </w:tr>
      <w:tr w14:paraId="714A3C06">
        <w:tblPrEx>
          <w:tblCellMar>
            <w:top w:w="0" w:type="dxa"/>
            <w:left w:w="108" w:type="dxa"/>
            <w:bottom w:w="0" w:type="dxa"/>
            <w:right w:w="108" w:type="dxa"/>
          </w:tblCellMar>
        </w:tblPrEx>
        <w:tc>
          <w:tcPr>
            <w:tcW w:w="8848" w:type="dxa"/>
            <w:gridSpan w:val="14"/>
            <w:vAlign w:val="center"/>
          </w:tcPr>
          <w:p w14:paraId="508C9025">
            <w:pPr>
              <w:jc w:val="center"/>
            </w:pPr>
            <w:r>
              <w:rPr>
                <w:rFonts w:ascii="宋体" w:hAnsi="宋体" w:eastAsia="宋体"/>
                <w:sz w:val="24"/>
              </w:rPr>
              <w:t>(2024年度)</w:t>
            </w:r>
          </w:p>
        </w:tc>
      </w:tr>
      <w:tr w14:paraId="0FB97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6F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E664C4">
            <w:pPr>
              <w:jc w:val="center"/>
            </w:pPr>
            <w:r>
              <w:rPr>
                <w:rFonts w:ascii="宋体" w:hAnsi="宋体" w:eastAsia="宋体"/>
                <w:sz w:val="16"/>
              </w:rPr>
              <w:t>霍尔果斯陆上边境口岸型国家物流枢纽基础设施建设项目-铁路专用物资仓储库及附属设备项目</w:t>
            </w:r>
          </w:p>
        </w:tc>
      </w:tr>
      <w:tr w14:paraId="73DFB1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67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2B064">
            <w:pPr>
              <w:jc w:val="center"/>
            </w:pPr>
            <w:r>
              <w:rPr>
                <w:rFonts w:ascii="宋体" w:hAnsi="宋体" w:eastAsia="宋体"/>
                <w:sz w:val="16"/>
              </w:rPr>
              <w:t>霍尔果斯市商务局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65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B64C57">
            <w:pPr>
              <w:jc w:val="center"/>
            </w:pPr>
            <w:r>
              <w:rPr>
                <w:rFonts w:ascii="宋体" w:hAnsi="宋体" w:eastAsia="宋体"/>
                <w:sz w:val="16"/>
              </w:rPr>
              <w:t>霍尔果斯市商务局</w:t>
            </w:r>
          </w:p>
        </w:tc>
      </w:tr>
      <w:tr w14:paraId="0DB53C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D5CE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F93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C86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1D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870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5D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88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EC3B">
            <w:pPr>
              <w:jc w:val="center"/>
            </w:pPr>
            <w:r>
              <w:rPr>
                <w:rFonts w:ascii="宋体" w:hAnsi="宋体" w:eastAsia="宋体"/>
                <w:sz w:val="16"/>
              </w:rPr>
              <w:t>得分</w:t>
            </w:r>
          </w:p>
        </w:tc>
      </w:tr>
      <w:tr w14:paraId="7498F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5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957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87AA">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2B54C">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7FF9E">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EB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98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6059">
            <w:pPr>
              <w:jc w:val="center"/>
            </w:pPr>
            <w:r>
              <w:rPr>
                <w:rFonts w:ascii="宋体" w:hAnsi="宋体" w:eastAsia="宋体"/>
                <w:sz w:val="16"/>
              </w:rPr>
              <w:t>10.00</w:t>
            </w:r>
          </w:p>
        </w:tc>
      </w:tr>
      <w:tr w14:paraId="6782D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D1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546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09AD">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B174">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7D98">
            <w:pPr>
              <w:jc w:val="center"/>
            </w:pPr>
            <w:r>
              <w:rPr>
                <w:rFonts w:ascii="宋体" w:hAnsi="宋体" w:eastAsia="宋体"/>
                <w:sz w:val="16"/>
              </w:rPr>
              <w:t>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C4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4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D432">
            <w:pPr>
              <w:jc w:val="center"/>
            </w:pPr>
            <w:r>
              <w:rPr>
                <w:rFonts w:ascii="宋体" w:hAnsi="宋体" w:eastAsia="宋体"/>
                <w:sz w:val="16"/>
              </w:rPr>
              <w:t>—</w:t>
            </w:r>
          </w:p>
        </w:tc>
      </w:tr>
      <w:tr w14:paraId="49963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6B2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47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43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2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02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20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5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4243">
            <w:pPr>
              <w:jc w:val="center"/>
            </w:pPr>
            <w:r>
              <w:rPr>
                <w:rFonts w:ascii="宋体" w:hAnsi="宋体" w:eastAsia="宋体"/>
                <w:sz w:val="16"/>
              </w:rPr>
              <w:t>—</w:t>
            </w:r>
          </w:p>
        </w:tc>
      </w:tr>
      <w:tr w14:paraId="6270EE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87A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EAC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C30ADB">
            <w:pPr>
              <w:jc w:val="center"/>
            </w:pPr>
            <w:r>
              <w:rPr>
                <w:rFonts w:ascii="宋体" w:hAnsi="宋体" w:eastAsia="宋体"/>
                <w:sz w:val="16"/>
              </w:rPr>
              <w:t>实际完成情况</w:t>
            </w:r>
          </w:p>
        </w:tc>
      </w:tr>
      <w:tr w14:paraId="6D48C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98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7427B">
            <w:pPr>
              <w:jc w:val="both"/>
            </w:pPr>
            <w:r>
              <w:rPr>
                <w:rFonts w:ascii="宋体" w:hAnsi="宋体" w:eastAsia="宋体"/>
                <w:sz w:val="16"/>
              </w:rPr>
              <w:t>根据伊犁州财政局、伊犁州住建局、伊犁州发改委印发的《伊犁州直城市市政公用基础设施配套费征收使用实施细则》要求，</w:t>
            </w:r>
            <w:r>
              <w:rPr>
                <w:rFonts w:hint="eastAsia" w:ascii="宋体" w:hAnsi="宋体"/>
                <w:sz w:val="16"/>
                <w:lang w:eastAsia="zh-CN"/>
              </w:rPr>
              <w:t>本单位</w:t>
            </w:r>
            <w:r>
              <w:rPr>
                <w:rFonts w:ascii="宋体" w:hAnsi="宋体" w:eastAsia="宋体"/>
                <w:sz w:val="16"/>
              </w:rPr>
              <w:t>负责建设的霍尔果斯陆上边境口岸型国家物流枢纽基础设施建设项目—铁路专用物资仓储库及附属设施项目，建设内容为1栋5923.68平方米库房及附属设施，土地为划拨用地。按照伊犁州财政局、伊犁州住建局、伊犁州发改委印发的《伊犁州直城市市政公用基础设施配套费征收使用实施细则》文件要求，凡在伊犁州直城市（含县市、独立建制镇和口岸）规划建成区范围内进行工业、民用、公共建筑等项目建设的单位和个人，均应缴纳城市市政</w:t>
            </w:r>
            <w:r>
              <w:rPr>
                <w:rFonts w:hint="eastAsia" w:ascii="宋体" w:hAnsi="宋体"/>
                <w:sz w:val="16"/>
                <w:lang w:eastAsia="zh-CN"/>
              </w:rPr>
              <w:t>公共基础设施</w:t>
            </w:r>
            <w:r>
              <w:rPr>
                <w:rFonts w:ascii="宋体" w:hAnsi="宋体" w:eastAsia="宋体"/>
                <w:sz w:val="16"/>
              </w:rPr>
              <w:t>配套费（简称配套费），配套费专项用于城市市政工程和城市公用事业建设与维护。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884D0">
            <w:pPr>
              <w:jc w:val="both"/>
            </w:pPr>
            <w:r>
              <w:rPr>
                <w:rFonts w:ascii="宋体" w:hAnsi="宋体" w:eastAsia="宋体"/>
                <w:sz w:val="16"/>
              </w:rPr>
              <w:br w:type="textWrapping"/>
            </w:r>
            <w:r>
              <w:rPr>
                <w:rFonts w:ascii="宋体" w:hAnsi="宋体" w:eastAsia="宋体"/>
                <w:sz w:val="16"/>
              </w:rPr>
              <w:t>按照伊犁州财政局、伊犁州住建局、伊犁州发改委印发的《伊犁州直城市市政公用基础设施配套费征收使用实施细则》文件要求，凡在伊犁州直城市（含县市、独立建制镇和口岸）规划建成区范围内进行工业、民用、公共建筑等项目建设的单位和个人，均应缴纳城市市政</w:t>
            </w:r>
            <w:r>
              <w:rPr>
                <w:rFonts w:hint="eastAsia" w:ascii="宋体" w:hAnsi="宋体"/>
                <w:sz w:val="16"/>
                <w:lang w:eastAsia="zh-CN"/>
              </w:rPr>
              <w:t>公共基础设施</w:t>
            </w:r>
            <w:r>
              <w:rPr>
                <w:rFonts w:ascii="宋体" w:hAnsi="宋体" w:eastAsia="宋体"/>
                <w:sz w:val="16"/>
              </w:rPr>
              <w:t>配套费（简称配套费），配套费专项用于城市市政工程和城市公用事业建设与维护。建设内容为1栋5923.68平方米库房及附属设施，钢结构收取标准为1200元/平方米，收取配套费为总计算额的3%，本项目配套费为：5923.68㎡*1200元/㎡*3%=213252.48元</w:t>
            </w:r>
          </w:p>
        </w:tc>
      </w:tr>
      <w:tr w14:paraId="1DD189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8CD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36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94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E2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5B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4E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8A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A2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76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D2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28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5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10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121A">
            <w:pPr>
              <w:jc w:val="center"/>
            </w:pPr>
            <w:r>
              <w:rPr>
                <w:rFonts w:ascii="宋体" w:hAnsi="宋体" w:eastAsia="宋体"/>
                <w:sz w:val="16"/>
              </w:rPr>
              <w:t>偏差原因分析及改进措施</w:t>
            </w:r>
          </w:p>
        </w:tc>
      </w:tr>
      <w:tr w14:paraId="7E04E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104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E8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DA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347C">
            <w:pPr>
              <w:jc w:val="center"/>
            </w:pPr>
            <w:r>
              <w:rPr>
                <w:rFonts w:ascii="宋体" w:hAnsi="宋体" w:eastAsia="宋体"/>
                <w:sz w:val="16"/>
              </w:rPr>
              <w:t>铁路物资仓储库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9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0BF7">
            <w:pPr>
              <w:jc w:val="center"/>
            </w:pPr>
            <w:r>
              <w:rPr>
                <w:rFonts w:ascii="宋体" w:hAnsi="宋体" w:eastAsia="宋体"/>
                <w:sz w:val="16"/>
              </w:rPr>
              <w:t>=5923.68平方米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7E0A">
            <w:pPr>
              <w:jc w:val="center"/>
            </w:pPr>
            <w:r>
              <w:rPr>
                <w:rFonts w:ascii="宋体" w:hAnsi="宋体" w:eastAsia="宋体"/>
                <w:sz w:val="16"/>
              </w:rPr>
              <w:t>5923.68平方米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2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5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F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3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8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7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33B7">
            <w:pPr>
              <w:jc w:val="center"/>
            </w:pPr>
          </w:p>
        </w:tc>
      </w:tr>
      <w:tr w14:paraId="23900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A8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DF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94E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11F4">
            <w:pPr>
              <w:jc w:val="center"/>
            </w:pPr>
            <w:r>
              <w:rPr>
                <w:rFonts w:ascii="宋体" w:hAnsi="宋体" w:eastAsia="宋体"/>
                <w:sz w:val="16"/>
              </w:rPr>
              <w:t>收取计算总额百分比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2E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8D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7D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8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C2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E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4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6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C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B800">
            <w:pPr>
              <w:jc w:val="center"/>
            </w:pPr>
          </w:p>
        </w:tc>
      </w:tr>
      <w:tr w14:paraId="4C1D6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5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A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7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986E">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6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A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4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9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2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8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D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B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0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1C22">
            <w:pPr>
              <w:jc w:val="center"/>
            </w:pPr>
          </w:p>
        </w:tc>
      </w:tr>
      <w:tr w14:paraId="46983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1B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475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C9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1A32">
            <w:pPr>
              <w:jc w:val="center"/>
            </w:pPr>
            <w:r>
              <w:rPr>
                <w:rFonts w:ascii="宋体" w:hAnsi="宋体" w:eastAsia="宋体"/>
                <w:sz w:val="16"/>
              </w:rPr>
              <w:t>缴纳基础设施配套费完成时间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86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E45C">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5903">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45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C8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E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6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9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6B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6C41">
            <w:pPr>
              <w:jc w:val="center"/>
            </w:pPr>
            <w:r>
              <w:rPr>
                <w:rFonts w:ascii="宋体" w:hAnsi="宋体" w:eastAsia="宋体"/>
                <w:sz w:val="16"/>
              </w:rPr>
              <w:t>支付进度缓慢，导致延期1个月</w:t>
            </w:r>
          </w:p>
        </w:tc>
      </w:tr>
      <w:tr w14:paraId="7D65F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5B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5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6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E4D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4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F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A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C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5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7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F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1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5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5AC3">
            <w:pPr>
              <w:jc w:val="center"/>
            </w:pPr>
          </w:p>
        </w:tc>
      </w:tr>
      <w:tr w14:paraId="462FF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09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2E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59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6A2C">
            <w:pPr>
              <w:jc w:val="center"/>
            </w:pPr>
            <w:r>
              <w:rPr>
                <w:rFonts w:ascii="宋体" w:hAnsi="宋体" w:eastAsia="宋体"/>
                <w:sz w:val="16"/>
              </w:rPr>
              <w:t>每平方米收取标准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AA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F42A">
            <w:pPr>
              <w:jc w:val="center"/>
            </w:pPr>
            <w:r>
              <w:rPr>
                <w:rFonts w:ascii="宋体" w:hAnsi="宋体" w:eastAsia="宋体"/>
                <w:sz w:val="16"/>
              </w:rPr>
              <w:t>=1200元/平方米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395E">
            <w:pPr>
              <w:jc w:val="center"/>
            </w:pPr>
            <w:r>
              <w:rPr>
                <w:rFonts w:ascii="宋体" w:hAnsi="宋体" w:eastAsia="宋体"/>
                <w:sz w:val="16"/>
              </w:rPr>
              <w:t>1200元/平方米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2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2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8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0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6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DF96">
            <w:pPr>
              <w:jc w:val="center"/>
            </w:pPr>
          </w:p>
        </w:tc>
      </w:tr>
      <w:tr w14:paraId="5A67C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2F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01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17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B1A7">
            <w:pPr>
              <w:jc w:val="center"/>
            </w:pPr>
            <w:r>
              <w:rPr>
                <w:rFonts w:ascii="宋体" w:hAnsi="宋体" w:eastAsia="宋体"/>
                <w:sz w:val="16"/>
              </w:rPr>
              <w:t>促进地方经济发展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CE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51D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CC6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7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8C2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2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6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ED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B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8400">
            <w:pPr>
              <w:jc w:val="center"/>
            </w:pPr>
          </w:p>
        </w:tc>
      </w:tr>
      <w:tr w14:paraId="2F3ADC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ACDA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A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9F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9C1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01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9112">
            <w:pPr>
              <w:jc w:val="center"/>
            </w:pPr>
            <w:r>
              <w:rPr>
                <w:rFonts w:ascii="宋体" w:hAnsi="宋体" w:eastAsia="宋体"/>
                <w:sz w:val="16"/>
              </w:rPr>
              <w:t>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3C4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341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A8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41B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901E0"/>
        </w:tc>
      </w:tr>
    </w:tbl>
    <w:p w14:paraId="4D42AD8A">
      <w:r>
        <w:br w:type="page"/>
      </w:r>
    </w:p>
    <w:p w14:paraId="2E10A4B8">
      <w:pPr>
        <w:spacing w:line="640" w:lineRule="exact"/>
        <w:ind w:firstLine="640"/>
        <w:jc w:val="both"/>
        <w:outlineLvl w:val="2"/>
      </w:pPr>
      <w:r>
        <w:rPr>
          <w:rFonts w:ascii="黑体" w:hAnsi="黑体" w:eastAsia="黑体"/>
          <w:sz w:val="32"/>
        </w:rPr>
        <w:t>十二、其他需说明的事项</w:t>
      </w:r>
    </w:p>
    <w:p w14:paraId="3F6093F9">
      <w:pPr>
        <w:spacing w:line="580" w:lineRule="exact"/>
        <w:ind w:firstLine="640"/>
        <w:jc w:val="both"/>
      </w:pPr>
      <w:r>
        <w:rPr>
          <w:rFonts w:ascii="仿宋_GB2312" w:hAnsi="仿宋_GB2312" w:eastAsia="仿宋_GB2312"/>
          <w:b w:val="0"/>
          <w:sz w:val="32"/>
        </w:rPr>
        <w:t>本单位无其他需说明的事项。</w:t>
      </w:r>
    </w:p>
    <w:p w14:paraId="1BEF6636">
      <w:r>
        <w:br w:type="page"/>
      </w:r>
    </w:p>
    <w:p w14:paraId="0057F0C1">
      <w:pPr>
        <w:spacing w:line="240" w:lineRule="auto"/>
        <w:jc w:val="center"/>
        <w:outlineLvl w:val="1"/>
      </w:pPr>
      <w:r>
        <w:rPr>
          <w:rFonts w:ascii="黑体" w:hAnsi="黑体" w:eastAsia="黑体"/>
          <w:sz w:val="32"/>
        </w:rPr>
        <w:t>第三部分 专业名词解释</w:t>
      </w:r>
    </w:p>
    <w:p w14:paraId="761F19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333C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2E97E7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3B78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047B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25141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5C983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6558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96A52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F0820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E02B4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FDB9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9E1FF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79E9B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6AA895">
      <w:r>
        <w:br w:type="page"/>
      </w:r>
    </w:p>
    <w:p w14:paraId="308D32A5">
      <w:pPr>
        <w:spacing w:line="240" w:lineRule="auto"/>
        <w:jc w:val="center"/>
        <w:outlineLvl w:val="1"/>
      </w:pPr>
      <w:r>
        <w:rPr>
          <w:rFonts w:ascii="黑体" w:hAnsi="黑体" w:eastAsia="黑体"/>
          <w:sz w:val="32"/>
        </w:rPr>
        <w:t>第四部分 部门决算报表（见附表）</w:t>
      </w:r>
    </w:p>
    <w:p w14:paraId="437A4233">
      <w:pPr>
        <w:spacing w:line="240" w:lineRule="auto"/>
        <w:ind w:firstLine="640"/>
        <w:jc w:val="both"/>
      </w:pPr>
      <w:r>
        <w:rPr>
          <w:rFonts w:ascii="仿宋_GB2312" w:hAnsi="仿宋_GB2312" w:eastAsia="仿宋_GB2312"/>
          <w:b w:val="0"/>
          <w:sz w:val="32"/>
        </w:rPr>
        <w:t>一、《收入支出决算总表》</w:t>
      </w:r>
    </w:p>
    <w:p w14:paraId="2572759A">
      <w:pPr>
        <w:spacing w:line="240" w:lineRule="auto"/>
        <w:ind w:firstLine="640"/>
        <w:jc w:val="both"/>
      </w:pPr>
      <w:r>
        <w:rPr>
          <w:rFonts w:ascii="仿宋_GB2312" w:hAnsi="仿宋_GB2312" w:eastAsia="仿宋_GB2312"/>
          <w:b w:val="0"/>
          <w:sz w:val="32"/>
        </w:rPr>
        <w:t>二、《收入决算表》</w:t>
      </w:r>
    </w:p>
    <w:p w14:paraId="1420B8BF">
      <w:pPr>
        <w:spacing w:line="240" w:lineRule="auto"/>
        <w:ind w:firstLine="640"/>
        <w:jc w:val="both"/>
      </w:pPr>
      <w:r>
        <w:rPr>
          <w:rFonts w:ascii="仿宋_GB2312" w:hAnsi="仿宋_GB2312" w:eastAsia="仿宋_GB2312"/>
          <w:b w:val="0"/>
          <w:sz w:val="32"/>
        </w:rPr>
        <w:t>三、《支出决算表》</w:t>
      </w:r>
    </w:p>
    <w:p w14:paraId="6F8E2CEA">
      <w:pPr>
        <w:spacing w:line="240" w:lineRule="auto"/>
        <w:ind w:firstLine="640"/>
        <w:jc w:val="both"/>
      </w:pPr>
      <w:r>
        <w:rPr>
          <w:rFonts w:ascii="仿宋_GB2312" w:hAnsi="仿宋_GB2312" w:eastAsia="仿宋_GB2312"/>
          <w:b w:val="0"/>
          <w:sz w:val="32"/>
        </w:rPr>
        <w:t>四、《财政拨款收入支出决算总表》</w:t>
      </w:r>
    </w:p>
    <w:p w14:paraId="45F01DE5">
      <w:pPr>
        <w:spacing w:line="240" w:lineRule="auto"/>
        <w:ind w:firstLine="640"/>
        <w:jc w:val="both"/>
      </w:pPr>
      <w:r>
        <w:rPr>
          <w:rFonts w:ascii="仿宋_GB2312" w:hAnsi="仿宋_GB2312" w:eastAsia="仿宋_GB2312"/>
          <w:b w:val="0"/>
          <w:sz w:val="32"/>
        </w:rPr>
        <w:t>五、《一般公共预算财政拨款支出决算表》</w:t>
      </w:r>
    </w:p>
    <w:p w14:paraId="5A011511">
      <w:pPr>
        <w:spacing w:line="240" w:lineRule="auto"/>
        <w:ind w:firstLine="640"/>
        <w:jc w:val="both"/>
      </w:pPr>
      <w:r>
        <w:rPr>
          <w:rFonts w:ascii="仿宋_GB2312" w:hAnsi="仿宋_GB2312" w:eastAsia="仿宋_GB2312"/>
          <w:b w:val="0"/>
          <w:sz w:val="32"/>
        </w:rPr>
        <w:t>六、《一般公共预算财政拨款基本支出决算表》</w:t>
      </w:r>
    </w:p>
    <w:p w14:paraId="7B65B8FA">
      <w:pPr>
        <w:spacing w:line="240" w:lineRule="auto"/>
        <w:ind w:firstLine="640"/>
        <w:jc w:val="both"/>
      </w:pPr>
      <w:r>
        <w:rPr>
          <w:rFonts w:ascii="仿宋_GB2312" w:hAnsi="仿宋_GB2312" w:eastAsia="仿宋_GB2312"/>
          <w:b w:val="0"/>
          <w:sz w:val="32"/>
        </w:rPr>
        <w:t>七、《政府性基金预算财政拨款收入支出决算表》</w:t>
      </w:r>
    </w:p>
    <w:p w14:paraId="08313B4B">
      <w:pPr>
        <w:spacing w:line="240" w:lineRule="auto"/>
        <w:ind w:firstLine="640"/>
        <w:jc w:val="both"/>
      </w:pPr>
      <w:r>
        <w:rPr>
          <w:rFonts w:ascii="仿宋_GB2312" w:hAnsi="仿宋_GB2312" w:eastAsia="仿宋_GB2312"/>
          <w:b w:val="0"/>
          <w:sz w:val="32"/>
        </w:rPr>
        <w:t>八、《国有资本经营预算财政拨款收入支出决算表》</w:t>
      </w:r>
    </w:p>
    <w:p w14:paraId="5F81B7E7">
      <w:pPr>
        <w:spacing w:line="240" w:lineRule="auto"/>
        <w:ind w:firstLine="640"/>
        <w:jc w:val="both"/>
      </w:pPr>
      <w:r>
        <w:rPr>
          <w:rFonts w:ascii="仿宋_GB2312" w:hAnsi="仿宋_GB2312" w:eastAsia="仿宋_GB2312"/>
          <w:b w:val="0"/>
          <w:sz w:val="32"/>
        </w:rPr>
        <w:t>九、《财政拨款“三公”经费支出决算表》</w:t>
      </w:r>
    </w:p>
    <w:p w14:paraId="0758E3F5">
      <w:pPr>
        <w:spacing w:line="240" w:lineRule="auto"/>
        <w:ind w:firstLine="640"/>
        <w:jc w:val="both"/>
      </w:pPr>
    </w:p>
    <w:p w14:paraId="775AA8A2">
      <w:pPr>
        <w:spacing w:line="240" w:lineRule="auto"/>
        <w:ind w:firstLine="640"/>
        <w:jc w:val="both"/>
      </w:pPr>
    </w:p>
    <w:p w14:paraId="44349A7A">
      <w:pPr>
        <w:spacing w:line="240" w:lineRule="auto"/>
        <w:ind w:firstLine="640"/>
        <w:jc w:val="both"/>
      </w:pPr>
    </w:p>
    <w:p w14:paraId="0449512B">
      <w:pPr>
        <w:spacing w:line="240" w:lineRule="auto"/>
        <w:ind w:firstLine="640"/>
        <w:jc w:val="both"/>
      </w:pPr>
    </w:p>
    <w:p w14:paraId="7EAF04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325D72-1154-40E5-B598-34D78FF3D8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CC12FD-D971-4E5B-934D-FF8A160F77A4}"/>
  </w:font>
  <w:font w:name="仿宋_GB2312">
    <w:panose1 w:val="02010609030101010101"/>
    <w:charset w:val="86"/>
    <w:family w:val="modern"/>
    <w:pitch w:val="default"/>
    <w:sig w:usb0="00000001" w:usb1="080E0000" w:usb2="00000000" w:usb3="00000000" w:csb0="00040000" w:csb1="00000000"/>
    <w:embedRegular r:id="rId3" w:fontKey="{E0DD8B09-D18A-4DC0-A3BD-EE2986D294C9}"/>
  </w:font>
  <w:font w:name="楷体_GB2312">
    <w:panose1 w:val="02010609030101010101"/>
    <w:charset w:val="86"/>
    <w:family w:val="auto"/>
    <w:pitch w:val="default"/>
    <w:sig w:usb0="00000001" w:usb1="080E0000" w:usb2="00000000" w:usb3="00000000" w:csb0="00040000" w:csb1="00000000"/>
    <w:embedRegular r:id="rId4" w:fontKey="{39FF2223-7925-4F51-A0FD-4F267A7C500A}"/>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7E142B"/>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091E26"/>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7282</Words>
  <Characters>8341</Characters>
  <Lines>0</Lines>
  <Paragraphs>0</Paragraphs>
  <TotalTime>4</TotalTime>
  <ScaleCrop>false</ScaleCrop>
  <LinksUpToDate>false</LinksUpToDate>
  <CharactersWithSpaces>8349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2025-09-10T11:08:50Z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