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bookmarkStart w:id="0" w:name="_GoBack"/>
      <w:bookmarkEnd w:id="0"/>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霍尔果斯市伊车嘎善锡伯乡卫生院2024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E1BCB00">
      <w:r>
        <w:br w:type="page"/>
      </w:r>
    </w:p>
    <w:p w14:paraId="5796D00E">
      <w:pPr>
        <w:spacing w:line="640" w:lineRule="exact"/>
        <w:jc w:val="center"/>
        <w:outlineLvl w:val="1"/>
      </w:pPr>
      <w:r>
        <w:rPr>
          <w:rFonts w:ascii="黑体" w:hAnsi="黑体" w:eastAsia="黑体"/>
          <w:sz w:val="32"/>
        </w:rPr>
        <w:t>第一部分 单位概况</w:t>
      </w:r>
    </w:p>
    <w:p w14:paraId="461B0409">
      <w:pPr>
        <w:spacing w:line="640" w:lineRule="exact"/>
        <w:ind w:firstLine="640"/>
        <w:jc w:val="both"/>
        <w:outlineLvl w:val="2"/>
      </w:pPr>
      <w:r>
        <w:rPr>
          <w:rFonts w:ascii="黑体" w:hAnsi="黑体" w:eastAsia="黑体"/>
          <w:sz w:val="32"/>
        </w:rPr>
        <w:t>一、主要职能</w:t>
      </w:r>
    </w:p>
    <w:p w14:paraId="0BD9BB2D">
      <w:pPr>
        <w:spacing w:line="580" w:lineRule="exact"/>
        <w:ind w:firstLine="640"/>
        <w:jc w:val="both"/>
      </w:pPr>
      <w:r>
        <w:rPr>
          <w:rFonts w:ascii="仿宋_GB2312" w:hAnsi="仿宋_GB2312" w:eastAsia="仿宋_GB2312"/>
          <w:sz w:val="32"/>
        </w:rPr>
        <w:t>（一）贯彻落实国家、自治区、自治州卫生健康事业发展法律、法规、政策、规章和标准以及国民健康政策。组织实施推进卫生健康基本公共服务工作。</w:t>
      </w:r>
    </w:p>
    <w:p w14:paraId="3A347D42">
      <w:pPr>
        <w:spacing w:line="580" w:lineRule="exact"/>
        <w:ind w:firstLine="640"/>
        <w:jc w:val="both"/>
      </w:pPr>
      <w:r>
        <w:rPr>
          <w:rFonts w:ascii="仿宋_GB2312" w:hAnsi="仿宋_GB2312" w:eastAsia="仿宋_GB2312"/>
          <w:sz w:val="32"/>
        </w:rPr>
        <w:t>（二）推进深化医药卫生体制改革，落实国家、自治区、自治州深化医药卫生体制改革重大方针、政策和措施。贯彻执行国家、自治区、自治州推动卫生健康公共服务提供主体多元化、提供方式多样性的政策措施，提出医疗服务和药品价格政策的</w:t>
      </w:r>
      <w:r>
        <w:rPr>
          <w:rFonts w:hint="eastAsia" w:ascii="仿宋_GB2312" w:hAnsi="仿宋_GB2312" w:eastAsia="仿宋_GB2312"/>
          <w:sz w:val="32"/>
          <w:lang w:val="en-US" w:eastAsia="zh-CN"/>
        </w:rPr>
        <w:t>建议</w:t>
      </w:r>
      <w:r>
        <w:rPr>
          <w:rFonts w:ascii="仿宋_GB2312" w:hAnsi="仿宋_GB2312" w:eastAsia="仿宋_GB2312"/>
          <w:sz w:val="32"/>
        </w:rPr>
        <w:t>。</w:t>
      </w:r>
    </w:p>
    <w:p w14:paraId="147BDB28">
      <w:pPr>
        <w:spacing w:line="580" w:lineRule="exact"/>
        <w:ind w:firstLine="640"/>
        <w:jc w:val="both"/>
      </w:pPr>
      <w:r>
        <w:rPr>
          <w:rFonts w:ascii="仿宋_GB2312" w:hAnsi="仿宋_GB2312" w:eastAsia="仿宋_GB2312"/>
          <w:sz w:val="32"/>
        </w:rPr>
        <w:t>（三）落实疾病预防控制规划、免疫规划及严重危害人民健康的公共卫生问题的干预措施。执行国家检疫传染病和监测传染病目录。负责卫生应急工作，做好突发公共卫生事件的预防控制和各类突发公共事件的医疗卫生救援。</w:t>
      </w:r>
    </w:p>
    <w:p w14:paraId="20DB1209">
      <w:pPr>
        <w:spacing w:line="580" w:lineRule="exact"/>
        <w:ind w:firstLine="640"/>
        <w:jc w:val="both"/>
      </w:pPr>
      <w:r>
        <w:rPr>
          <w:rFonts w:ascii="仿宋_GB2312" w:hAnsi="仿宋_GB2312" w:eastAsia="仿宋_GB2312"/>
          <w:sz w:val="32"/>
        </w:rPr>
        <w:t>（四）贯彻落实国家药物政策和国家基本药物制度，开展药品使用监测、临床综合评价和短缺药品预警。执行国家药品法典，提出基本药物价格政策的建议。配合主管部门开展食品安全风险评估，贯彻落实食品安全标准。</w:t>
      </w:r>
    </w:p>
    <w:p w14:paraId="24A60400">
      <w:pPr>
        <w:spacing w:line="580" w:lineRule="exact"/>
        <w:ind w:firstLine="640"/>
        <w:jc w:val="both"/>
      </w:pPr>
      <w:r>
        <w:rPr>
          <w:rFonts w:ascii="仿宋_GB2312" w:hAnsi="仿宋_GB2312" w:eastAsia="仿宋_GB2312"/>
          <w:sz w:val="32"/>
        </w:rPr>
        <w:t>（五）负责职责范围内的职业卫生、放射卫生、环境卫生、学校卫生、公共场所卫生、饮用水卫生等公共卫生和监督管理，负责传染病防治监督，健全卫生健康综合监督体系。</w:t>
      </w:r>
    </w:p>
    <w:p w14:paraId="740D82F4">
      <w:pPr>
        <w:spacing w:line="580" w:lineRule="exact"/>
        <w:ind w:firstLine="640"/>
        <w:jc w:val="both"/>
      </w:pPr>
      <w:r>
        <w:rPr>
          <w:rFonts w:ascii="仿宋_GB2312" w:hAnsi="仿宋_GB2312" w:eastAsia="仿宋_GB2312"/>
          <w:sz w:val="32"/>
        </w:rPr>
        <w:t>（六）贯彻落实医疗机构、医疗服务行业管理办法并监督实施，落实自治州卫生健康专业技术人员资格标准，执行医疗服务规范标准和卫生健康专业技术人员执业规则、服务规范。</w:t>
      </w:r>
    </w:p>
    <w:p w14:paraId="0B42082D">
      <w:pPr>
        <w:spacing w:line="580" w:lineRule="exact"/>
        <w:ind w:firstLine="640"/>
        <w:jc w:val="both"/>
      </w:pPr>
      <w:r>
        <w:rPr>
          <w:rFonts w:ascii="仿宋_GB2312" w:hAnsi="仿宋_GB2312" w:eastAsia="仿宋_GB2312"/>
          <w:sz w:val="32"/>
        </w:rPr>
        <w:t>（七）协助开展计生管理和服务工作。</w:t>
      </w:r>
    </w:p>
    <w:p w14:paraId="7886FB29">
      <w:pPr>
        <w:spacing w:line="580" w:lineRule="exact"/>
        <w:ind w:firstLine="640"/>
        <w:jc w:val="both"/>
      </w:pPr>
      <w:r>
        <w:rPr>
          <w:rFonts w:ascii="仿宋_GB2312" w:hAnsi="仿宋_GB2312" w:eastAsia="仿宋_GB2312"/>
          <w:sz w:val="32"/>
        </w:rPr>
        <w:t>（八）开展基层医疗卫生、妇幼健康服务体系和全科医生队伍建设。</w:t>
      </w:r>
    </w:p>
    <w:p w14:paraId="0FC66E60">
      <w:pPr>
        <w:spacing w:line="580" w:lineRule="exact"/>
        <w:ind w:firstLine="640"/>
        <w:jc w:val="both"/>
      </w:pPr>
      <w:r>
        <w:rPr>
          <w:rFonts w:ascii="仿宋_GB2312" w:hAnsi="仿宋_GB2312" w:eastAsia="仿宋_GB2312"/>
          <w:sz w:val="32"/>
        </w:rPr>
        <w:t>（九）做好保健对象的医疗保健工作及重要会议与重大活动的医疗卫生保障工作。</w:t>
      </w:r>
    </w:p>
    <w:p w14:paraId="56E0FAD4">
      <w:pPr>
        <w:spacing w:line="640" w:lineRule="exact"/>
        <w:ind w:firstLine="640"/>
        <w:jc w:val="both"/>
        <w:outlineLvl w:val="2"/>
      </w:pPr>
      <w:r>
        <w:rPr>
          <w:rFonts w:ascii="黑体" w:hAnsi="黑体" w:eastAsia="黑体"/>
          <w:sz w:val="32"/>
        </w:rPr>
        <w:t>二、机构设置及人员情况</w:t>
      </w:r>
    </w:p>
    <w:p w14:paraId="0C6AC930">
      <w:pPr>
        <w:spacing w:line="580" w:lineRule="exact"/>
        <w:ind w:firstLine="640"/>
        <w:jc w:val="both"/>
      </w:pPr>
      <w:r>
        <w:rPr>
          <w:rFonts w:ascii="仿宋_GB2312" w:hAnsi="仿宋_GB2312" w:eastAsia="仿宋_GB2312"/>
          <w:sz w:val="32"/>
        </w:rPr>
        <w:t>霍尔果斯市伊车嘎善锡伯乡卫生院2024年度，实有人数29人，其中：在职人员21人，增加0人；离休人员0人，增加0人；退休人员8人,减少1人。</w:t>
      </w:r>
    </w:p>
    <w:p w14:paraId="2567BBD6">
      <w:pPr>
        <w:spacing w:line="580" w:lineRule="exact"/>
        <w:ind w:firstLine="640"/>
        <w:jc w:val="both"/>
      </w:pPr>
      <w:r>
        <w:rPr>
          <w:rFonts w:ascii="仿宋_GB2312" w:hAnsi="仿宋_GB2312" w:eastAsia="仿宋_GB2312"/>
          <w:sz w:val="32"/>
        </w:rPr>
        <w:t>霍尔果斯市伊车嘎善锡伯乡卫生院无下属预算单位，下设16个科室，分别是：门诊部、住院部、药房、收费室、护理部、化验室、心电室、B超室、放射科、公卫科、妇幼室、儿保室、党建</w:t>
      </w:r>
      <w:r>
        <w:rPr>
          <w:rFonts w:hint="eastAsia" w:ascii="仿宋_GB2312" w:hAnsi="仿宋_GB2312" w:eastAsia="仿宋_GB2312"/>
          <w:sz w:val="32"/>
          <w:lang w:val="en-US" w:eastAsia="zh-CN"/>
        </w:rPr>
        <w:t>办</w:t>
      </w:r>
      <w:r>
        <w:rPr>
          <w:rFonts w:ascii="仿宋_GB2312" w:hAnsi="仿宋_GB2312" w:eastAsia="仿宋_GB2312"/>
          <w:sz w:val="32"/>
        </w:rPr>
        <w:t>、办公室、健康扶贫</w:t>
      </w:r>
      <w:r>
        <w:rPr>
          <w:rFonts w:hint="eastAsia" w:ascii="仿宋_GB2312" w:hAnsi="仿宋_GB2312" w:eastAsia="仿宋_GB2312"/>
          <w:sz w:val="32"/>
          <w:lang w:val="en-US" w:eastAsia="zh-CN"/>
        </w:rPr>
        <w:t>办</w:t>
      </w:r>
      <w:r>
        <w:rPr>
          <w:rFonts w:ascii="仿宋_GB2312" w:hAnsi="仿宋_GB2312" w:eastAsia="仿宋_GB2312"/>
          <w:sz w:val="32"/>
        </w:rPr>
        <w:t>、财务室。</w:t>
      </w:r>
    </w:p>
    <w:p w14:paraId="013D6F76">
      <w:r>
        <w:br w:type="page"/>
      </w:r>
    </w:p>
    <w:p w14:paraId="7233C170">
      <w:pPr>
        <w:spacing w:line="240" w:lineRule="auto"/>
        <w:jc w:val="center"/>
        <w:outlineLvl w:val="1"/>
      </w:pPr>
      <w:r>
        <w:rPr>
          <w:rFonts w:ascii="黑体" w:hAnsi="黑体" w:eastAsia="黑体"/>
          <w:sz w:val="32"/>
        </w:rPr>
        <w:t>第二部分 部门决算情况说明</w:t>
      </w:r>
    </w:p>
    <w:p w14:paraId="6C1C5760">
      <w:pPr>
        <w:spacing w:line="640" w:lineRule="exact"/>
        <w:ind w:firstLine="640"/>
        <w:jc w:val="both"/>
        <w:outlineLvl w:val="2"/>
      </w:pPr>
      <w:r>
        <w:rPr>
          <w:rFonts w:ascii="黑体" w:hAnsi="黑体" w:eastAsia="黑体"/>
          <w:sz w:val="32"/>
        </w:rPr>
        <w:t>一、收入支出决算总体情况说明</w:t>
      </w:r>
    </w:p>
    <w:p w14:paraId="53811FE5">
      <w:pPr>
        <w:spacing w:line="580" w:lineRule="exact"/>
        <w:ind w:firstLine="640"/>
        <w:jc w:val="both"/>
      </w:pPr>
      <w:r>
        <w:rPr>
          <w:rFonts w:ascii="仿宋_GB2312" w:hAnsi="仿宋_GB2312" w:eastAsia="仿宋_GB2312"/>
          <w:b/>
          <w:sz w:val="32"/>
        </w:rPr>
        <w:t>2024年度收入总计919.43万元，</w:t>
      </w:r>
      <w:r>
        <w:rPr>
          <w:rFonts w:ascii="仿宋_GB2312" w:hAnsi="仿宋_GB2312" w:eastAsia="仿宋_GB2312"/>
          <w:b w:val="0"/>
          <w:sz w:val="32"/>
        </w:rPr>
        <w:t>其中：本年收入合计858.27万元，使用非财政拨款结余（含专用结余）0.00万元，年初结转和结余61.16万元。</w:t>
      </w:r>
    </w:p>
    <w:p w14:paraId="552EFE2D">
      <w:pPr>
        <w:spacing w:line="580" w:lineRule="exact"/>
        <w:ind w:firstLine="640"/>
        <w:jc w:val="both"/>
      </w:pPr>
      <w:r>
        <w:rPr>
          <w:rFonts w:ascii="仿宋_GB2312" w:hAnsi="仿宋_GB2312" w:eastAsia="仿宋_GB2312"/>
          <w:b/>
          <w:sz w:val="32"/>
        </w:rPr>
        <w:t>2024年度支出总计919.43万元，</w:t>
      </w:r>
      <w:r>
        <w:rPr>
          <w:rFonts w:ascii="仿宋_GB2312" w:hAnsi="仿宋_GB2312" w:eastAsia="仿宋_GB2312"/>
          <w:b w:val="0"/>
          <w:sz w:val="32"/>
        </w:rPr>
        <w:t>其中：本年支出合计891.25万元，结余分配0.00万元，年末结转和结余28.18万元。</w:t>
      </w:r>
    </w:p>
    <w:p w14:paraId="4D8C5CD7">
      <w:pPr>
        <w:spacing w:line="580" w:lineRule="exact"/>
        <w:ind w:firstLine="640"/>
        <w:jc w:val="both"/>
      </w:pPr>
      <w:r>
        <w:rPr>
          <w:rFonts w:ascii="仿宋_GB2312" w:hAnsi="仿宋_GB2312" w:eastAsia="仿宋_GB2312"/>
          <w:b w:val="0"/>
          <w:sz w:val="32"/>
        </w:rPr>
        <w:t>收入支出总体与上年相比，减少220.48万元，下降19.34%，主要原因是：本年度看病人员减少，医疗及药品款等经费较上年减少。</w:t>
      </w:r>
    </w:p>
    <w:p w14:paraId="1661B21A">
      <w:pPr>
        <w:spacing w:line="640" w:lineRule="exact"/>
        <w:ind w:firstLine="640"/>
        <w:jc w:val="both"/>
        <w:outlineLvl w:val="2"/>
      </w:pPr>
      <w:r>
        <w:rPr>
          <w:rFonts w:ascii="黑体" w:hAnsi="黑体" w:eastAsia="黑体"/>
          <w:sz w:val="32"/>
        </w:rPr>
        <w:t>二、收入决算情况说明</w:t>
      </w:r>
    </w:p>
    <w:p w14:paraId="1015D0EA">
      <w:pPr>
        <w:spacing w:line="580" w:lineRule="exact"/>
        <w:ind w:firstLine="640"/>
        <w:jc w:val="both"/>
      </w:pPr>
      <w:r>
        <w:rPr>
          <w:rFonts w:ascii="仿宋_GB2312" w:hAnsi="仿宋_GB2312" w:eastAsia="仿宋_GB2312"/>
          <w:b/>
          <w:sz w:val="32"/>
        </w:rPr>
        <w:t>本年收入858.27万元，</w:t>
      </w:r>
      <w:r>
        <w:rPr>
          <w:rFonts w:ascii="仿宋_GB2312" w:hAnsi="仿宋_GB2312" w:eastAsia="仿宋_GB2312"/>
          <w:b w:val="0"/>
          <w:sz w:val="32"/>
        </w:rPr>
        <w:t>其中：财政拨款收入462.89万元，占53.93%；上级补助收入0.00万元，占0.00%；事业收入219.52万元，占25.58%；经营收入0.00万元，占0.00%；附属单位上缴收入0.00万元，占0.00%；其他收入175.86万元，占20.49%。</w:t>
      </w:r>
    </w:p>
    <w:p w14:paraId="69EA4069">
      <w:pPr>
        <w:spacing w:line="640" w:lineRule="exact"/>
        <w:ind w:firstLine="640"/>
        <w:jc w:val="both"/>
        <w:outlineLvl w:val="2"/>
      </w:pPr>
      <w:r>
        <w:rPr>
          <w:rFonts w:ascii="黑体" w:hAnsi="黑体" w:eastAsia="黑体"/>
          <w:sz w:val="32"/>
        </w:rPr>
        <w:t>三、支出决算情况说明</w:t>
      </w:r>
    </w:p>
    <w:p w14:paraId="5D6BC35A">
      <w:pPr>
        <w:spacing w:line="580" w:lineRule="exact"/>
        <w:ind w:firstLine="640"/>
        <w:jc w:val="both"/>
      </w:pPr>
      <w:r>
        <w:rPr>
          <w:rFonts w:ascii="仿宋_GB2312" w:hAnsi="仿宋_GB2312" w:eastAsia="仿宋_GB2312"/>
          <w:b/>
          <w:sz w:val="32"/>
        </w:rPr>
        <w:t>本年支出891.25万元，</w:t>
      </w:r>
      <w:r>
        <w:rPr>
          <w:rFonts w:ascii="仿宋_GB2312" w:hAnsi="仿宋_GB2312" w:eastAsia="仿宋_GB2312"/>
          <w:b w:val="0"/>
          <w:sz w:val="32"/>
        </w:rPr>
        <w:t>其中：基本支出418.72万元，占46.98%；项目支出472.53万元，占53.02%；上缴上级支出0.00万元，占0.00%；经营支出0.00万元，占0.00%；对附属单位补助支出0.00万元，占0.00%。</w:t>
      </w:r>
    </w:p>
    <w:p w14:paraId="71AE8176">
      <w:pPr>
        <w:spacing w:line="640" w:lineRule="exact"/>
        <w:ind w:firstLine="640"/>
        <w:jc w:val="both"/>
        <w:outlineLvl w:val="2"/>
      </w:pPr>
      <w:r>
        <w:rPr>
          <w:rFonts w:ascii="黑体" w:hAnsi="黑体" w:eastAsia="黑体"/>
          <w:sz w:val="32"/>
        </w:rPr>
        <w:t>四、财政拨款收入支出决算总体情况说明</w:t>
      </w:r>
    </w:p>
    <w:p w14:paraId="54EF7395">
      <w:pPr>
        <w:spacing w:line="580" w:lineRule="exact"/>
        <w:ind w:firstLine="640"/>
        <w:jc w:val="both"/>
      </w:pPr>
      <w:r>
        <w:rPr>
          <w:rFonts w:ascii="仿宋_GB2312" w:hAnsi="仿宋_GB2312" w:eastAsia="仿宋_GB2312"/>
          <w:b/>
          <w:sz w:val="32"/>
        </w:rPr>
        <w:t>2024年度财政拨款收入总计462.89万元，</w:t>
      </w:r>
      <w:r>
        <w:rPr>
          <w:rFonts w:ascii="仿宋_GB2312" w:hAnsi="仿宋_GB2312" w:eastAsia="仿宋_GB2312"/>
          <w:b w:val="0"/>
          <w:sz w:val="32"/>
        </w:rPr>
        <w:t>其中：年初财政拨款结转和结余0.00万元，本年财政拨款收入462.89万元。</w:t>
      </w:r>
      <w:r>
        <w:rPr>
          <w:rFonts w:ascii="仿宋_GB2312" w:hAnsi="仿宋_GB2312" w:eastAsia="仿宋_GB2312"/>
          <w:b/>
          <w:sz w:val="32"/>
        </w:rPr>
        <w:t>财政拨款支出总计462.89万元，</w:t>
      </w:r>
      <w:r>
        <w:rPr>
          <w:rFonts w:ascii="仿宋_GB2312" w:hAnsi="仿宋_GB2312" w:eastAsia="仿宋_GB2312"/>
          <w:b w:val="0"/>
          <w:sz w:val="32"/>
        </w:rPr>
        <w:t>其中：年末财政拨款结转和结余0.00万元，本年财政拨款支出462.89万元。</w:t>
      </w:r>
    </w:p>
    <w:p w14:paraId="5FB7D10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增加10.65万元，增长2.35%，主要原因是：本年在职人员工资调增，社保、公积金基数调增，人员经费增加。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年初预算数448.64万元，决算数462.89万元，预决算差异率3.18%，主要原因是：年中追加人员工资、社保、公积金基数调增部分资金，导致预决算存在差异。</w:t>
      </w:r>
    </w:p>
    <w:p w14:paraId="4E198E1E">
      <w:pPr>
        <w:spacing w:line="640" w:lineRule="exact"/>
        <w:ind w:firstLine="640"/>
        <w:jc w:val="both"/>
        <w:outlineLvl w:val="2"/>
      </w:pPr>
      <w:r>
        <w:rPr>
          <w:rFonts w:ascii="黑体" w:hAnsi="黑体" w:eastAsia="黑体"/>
          <w:sz w:val="32"/>
        </w:rPr>
        <w:t>五、一般公共预算财政拨款支出决算情况说明</w:t>
      </w:r>
    </w:p>
    <w:p w14:paraId="6037BDF3">
      <w:pPr>
        <w:spacing w:line="640" w:lineRule="exact"/>
        <w:ind w:firstLine="640"/>
        <w:jc w:val="both"/>
        <w:outlineLvl w:val="3"/>
      </w:pPr>
      <w:r>
        <w:rPr>
          <w:rFonts w:ascii="楷体_GB2312" w:hAnsi="楷体_GB2312" w:eastAsia="楷体_GB2312"/>
          <w:b/>
          <w:sz w:val="32"/>
        </w:rPr>
        <w:t>（一）一般公共预算财政拨款支出决算总体情况</w:t>
      </w:r>
    </w:p>
    <w:p w14:paraId="155B0B25">
      <w:pPr>
        <w:spacing w:line="580" w:lineRule="exact"/>
        <w:ind w:firstLine="640"/>
        <w:jc w:val="both"/>
      </w:pPr>
      <w:r>
        <w:rPr>
          <w:rFonts w:ascii="仿宋_GB2312" w:hAnsi="仿宋_GB2312" w:eastAsia="仿宋_GB2312"/>
          <w:b/>
          <w:sz w:val="32"/>
        </w:rPr>
        <w:t>2024年度一般公共预算财政拨款支出462.89万元，</w:t>
      </w:r>
      <w:r>
        <w:rPr>
          <w:rFonts w:ascii="仿宋_GB2312" w:hAnsi="仿宋_GB2312" w:eastAsia="仿宋_GB2312"/>
          <w:b w:val="0"/>
          <w:sz w:val="32"/>
        </w:rPr>
        <w:t>占本年支出合计的51.94%。</w:t>
      </w:r>
      <w:r>
        <w:rPr>
          <w:rFonts w:ascii="仿宋_GB2312" w:hAnsi="仿宋_GB2312" w:eastAsia="仿宋_GB2312"/>
          <w:b/>
          <w:sz w:val="32"/>
        </w:rPr>
        <w:t>与上年相比，</w:t>
      </w:r>
      <w:r>
        <w:rPr>
          <w:rFonts w:ascii="仿宋_GB2312" w:hAnsi="仿宋_GB2312" w:eastAsia="仿宋_GB2312"/>
          <w:b w:val="0"/>
          <w:sz w:val="32"/>
        </w:rPr>
        <w:t>增加10.65万元，增长2.35%，主要原因是：本年在职人员工资调增，社保、公积金基数调增，人员经费增加。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年初预算数448.64万元，决算数462.89万元，预决算差异率3.18%，主要原因是：年中追加人员工资、社保、公积金基数调增部分资金，导致预决算存在差异。</w:t>
      </w:r>
    </w:p>
    <w:p w14:paraId="214630F5">
      <w:pPr>
        <w:spacing w:line="640" w:lineRule="exact"/>
        <w:ind w:firstLine="640"/>
        <w:jc w:val="both"/>
        <w:outlineLvl w:val="3"/>
      </w:pPr>
      <w:r>
        <w:rPr>
          <w:rFonts w:ascii="楷体_GB2312" w:hAnsi="楷体_GB2312" w:eastAsia="楷体_GB2312"/>
          <w:b/>
          <w:sz w:val="32"/>
        </w:rPr>
        <w:t>（二）一般公共预算财政拨款支出决算结构情况</w:t>
      </w:r>
    </w:p>
    <w:p w14:paraId="49C436D2">
      <w:pPr>
        <w:spacing w:line="580" w:lineRule="exact"/>
        <w:ind w:firstLine="640"/>
        <w:jc w:val="both"/>
      </w:pPr>
      <w:r>
        <w:rPr>
          <w:rFonts w:ascii="仿宋_GB2312" w:hAnsi="仿宋_GB2312" w:eastAsia="仿宋_GB2312"/>
          <w:b w:val="0"/>
          <w:sz w:val="32"/>
        </w:rPr>
        <w:t>1.社会保障和就业支出(类)50.27万元,占10.86%。</w:t>
      </w:r>
    </w:p>
    <w:p w14:paraId="4EE944E6">
      <w:pPr>
        <w:spacing w:line="580" w:lineRule="exact"/>
        <w:ind w:firstLine="640"/>
        <w:jc w:val="both"/>
      </w:pPr>
      <w:r>
        <w:rPr>
          <w:rFonts w:ascii="仿宋_GB2312" w:hAnsi="仿宋_GB2312" w:eastAsia="仿宋_GB2312"/>
          <w:b w:val="0"/>
          <w:sz w:val="32"/>
        </w:rPr>
        <w:t>2.卫生健康支出(类)380.66万元,占82.24%。</w:t>
      </w:r>
    </w:p>
    <w:p w14:paraId="76859F10">
      <w:pPr>
        <w:spacing w:line="580" w:lineRule="exact"/>
        <w:ind w:firstLine="640"/>
        <w:jc w:val="both"/>
      </w:pPr>
      <w:r>
        <w:rPr>
          <w:rFonts w:ascii="仿宋_GB2312" w:hAnsi="仿宋_GB2312" w:eastAsia="仿宋_GB2312"/>
          <w:b w:val="0"/>
          <w:sz w:val="32"/>
        </w:rPr>
        <w:t>3.住房保障支出(类)31.96万元,占6.90%。</w:t>
      </w:r>
    </w:p>
    <w:p w14:paraId="192F8099">
      <w:pPr>
        <w:spacing w:line="640" w:lineRule="exact"/>
        <w:ind w:firstLine="640"/>
        <w:jc w:val="both"/>
        <w:outlineLvl w:val="3"/>
      </w:pPr>
      <w:r>
        <w:rPr>
          <w:rFonts w:ascii="楷体_GB2312" w:hAnsi="楷体_GB2312" w:eastAsia="楷体_GB2312"/>
          <w:b/>
          <w:sz w:val="32"/>
        </w:rPr>
        <w:t>（三）一般公共预算财政拨款支出决算具体情况</w:t>
      </w:r>
    </w:p>
    <w:p w14:paraId="13305DCE">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1.社会保障和就业支出(类)行政事业单位养老支出(款)事业单位离退休(项):支出决算数为5.89万元，比上年决算增加1.73万元，增长41.59%,主要原因是：本年增加退休人员基础绩效奖，退休费支出增加。</w:t>
      </w:r>
    </w:p>
    <w:p w14:paraId="3327E770">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40.37万元，比上年决算增加4.90万元，增长13.81%,主要原因是：本年在职人员工资基数调增，养老缴费基数上涨，相应支出增加。</w:t>
      </w:r>
    </w:p>
    <w:p w14:paraId="014609D1">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4.00万元，比上年决算增加4.00万元，增长100.00%,主要原因是：上年度市聘在职人员的职业年金缴费上年度在主科目列支，本年单独列支，导致经费较上年增加。</w:t>
      </w:r>
    </w:p>
    <w:p w14:paraId="3EFA66C0">
      <w:pPr>
        <w:spacing w:line="580" w:lineRule="exact"/>
        <w:ind w:firstLine="640"/>
        <w:jc w:val="both"/>
      </w:pPr>
      <w:r>
        <w:rPr>
          <w:rFonts w:ascii="仿宋_GB2312" w:hAnsi="仿宋_GB2312" w:eastAsia="仿宋_GB2312"/>
          <w:b w:val="0"/>
          <w:sz w:val="32"/>
        </w:rPr>
        <w:t>4.卫生健康支出(类)基层医疗卫生机构(款)乡镇卫生院(项):支出决算数为371.04万元，比上年决算减少0.08万元，下降0.02%,主要原因是：退休人员丧葬费抚恤金较上年减少。</w:t>
      </w:r>
    </w:p>
    <w:p w14:paraId="27D0A85D">
      <w:pPr>
        <w:spacing w:line="580" w:lineRule="exact"/>
        <w:ind w:firstLine="640"/>
        <w:jc w:val="both"/>
      </w:pPr>
      <w:r>
        <w:rPr>
          <w:rFonts w:ascii="仿宋_GB2312" w:hAnsi="仿宋_GB2312" w:eastAsia="仿宋_GB2312"/>
          <w:b w:val="0"/>
          <w:sz w:val="32"/>
        </w:rPr>
        <w:t>5.卫生健康支出(类)基层医疗卫生机构(款)其他基层医疗卫生机构支出(项):支出决算数为3.55万元，比上年决算增加2.19万元，增长161.03%,主要原因是：本年度基本药物补助资金经费增加。</w:t>
      </w:r>
    </w:p>
    <w:p w14:paraId="31CD931A">
      <w:pPr>
        <w:spacing w:line="580" w:lineRule="exact"/>
        <w:ind w:firstLine="640"/>
        <w:jc w:val="both"/>
      </w:pPr>
      <w:r>
        <w:rPr>
          <w:rFonts w:ascii="仿宋_GB2312" w:hAnsi="仿宋_GB2312" w:eastAsia="仿宋_GB2312"/>
          <w:b w:val="0"/>
          <w:sz w:val="32"/>
        </w:rPr>
        <w:t>6.卫生健康支出(类)公共卫生(款)基本公共卫生服务(项):支出决算数为5.37万元，比上年决算减少4.34万元，下降44.70%,主要原因是：本年度基本公卫服务项目经费减少。</w:t>
      </w:r>
    </w:p>
    <w:p w14:paraId="066B6DEB">
      <w:pPr>
        <w:spacing w:line="580" w:lineRule="exact"/>
        <w:ind w:firstLine="640"/>
        <w:jc w:val="both"/>
      </w:pPr>
      <w:r>
        <w:rPr>
          <w:rFonts w:ascii="仿宋_GB2312" w:hAnsi="仿宋_GB2312" w:eastAsia="仿宋_GB2312"/>
          <w:b w:val="0"/>
          <w:sz w:val="32"/>
        </w:rPr>
        <w:t>7.卫生健康支出(类)公共卫生(款)重大公共卫生服务(项):支出决算数为0.70万元，比上年决算增加0.70万元，增长100.00%,主要原因是：2024年中央重大传染病防控经费增加。</w:t>
      </w:r>
    </w:p>
    <w:p w14:paraId="711311E1">
      <w:pPr>
        <w:spacing w:line="580" w:lineRule="exact"/>
        <w:ind w:firstLine="640"/>
        <w:jc w:val="both"/>
      </w:pPr>
      <w:r>
        <w:rPr>
          <w:rFonts w:ascii="仿宋_GB2312" w:hAnsi="仿宋_GB2312" w:eastAsia="仿宋_GB2312"/>
          <w:b w:val="0"/>
          <w:sz w:val="32"/>
        </w:rPr>
        <w:t>8.住房保障支出(类)住房改革支出(款)住房公积金(项):支出决算数为31.96万元，比上年决算增加1.54万元，增长5.06%,主要原因是：本年在职人员工资基数调增，公积金缴费基数上涨，相应支出增加。</w:t>
      </w:r>
    </w:p>
    <w:p w14:paraId="178A7351">
      <w:pPr>
        <w:spacing w:line="640" w:lineRule="exact"/>
        <w:ind w:firstLine="640"/>
        <w:jc w:val="both"/>
        <w:outlineLvl w:val="2"/>
      </w:pPr>
      <w:r>
        <w:rPr>
          <w:rFonts w:ascii="黑体" w:hAnsi="黑体" w:eastAsia="黑体"/>
          <w:sz w:val="32"/>
        </w:rPr>
        <w:t>六、一般公共预算财政拨款基本支出决算情况说明</w:t>
      </w:r>
    </w:p>
    <w:p w14:paraId="408A7CDE">
      <w:pPr>
        <w:spacing w:line="580" w:lineRule="exact"/>
        <w:ind w:firstLine="640"/>
        <w:jc w:val="both"/>
      </w:pPr>
      <w:r>
        <w:rPr>
          <w:rFonts w:ascii="仿宋_GB2312" w:hAnsi="仿宋_GB2312" w:eastAsia="仿宋_GB2312"/>
          <w:b w:val="0"/>
          <w:sz w:val="32"/>
        </w:rPr>
        <w:t>2024年度一般公共预算财政拨款基本支出418.72万元，其中：</w:t>
      </w:r>
      <w:r>
        <w:rPr>
          <w:rFonts w:ascii="仿宋_GB2312" w:hAnsi="仿宋_GB2312" w:eastAsia="仿宋_GB2312"/>
          <w:b/>
          <w:sz w:val="32"/>
        </w:rPr>
        <w:t>人员经费399.14万元，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包括：基本工资、津贴补贴、绩效工资、机关事业单位基本养老保险缴费、职业年金缴费、职工基本医疗保险缴费、其他社会保障缴费、住房公积金、其他工资福利支出、退休费。</w:t>
      </w:r>
    </w:p>
    <w:p w14:paraId="40BEB5E2">
      <w:pPr>
        <w:spacing w:line="580" w:lineRule="exact"/>
        <w:ind w:firstLine="640"/>
        <w:jc w:val="both"/>
      </w:pPr>
      <w:r>
        <w:rPr>
          <w:rFonts w:ascii="仿宋_GB2312" w:hAnsi="仿宋_GB2312" w:eastAsia="仿宋_GB2312"/>
          <w:b/>
          <w:sz w:val="32"/>
        </w:rPr>
        <w:t>公用经费19.58万元，</w:t>
      </w:r>
      <w:r>
        <w:rPr>
          <w:rFonts w:ascii="仿宋_GB2312" w:hAnsi="仿宋_GB2312" w:eastAsia="仿宋_GB2312"/>
          <w:b w:val="0"/>
          <w:sz w:val="32"/>
        </w:rPr>
        <w:t>包括：办公费、电费、邮电费、差旅费、维修（护）费、委托业务费、工会经费、福利费、其他交通费用、税金及附加费用。</w:t>
      </w:r>
    </w:p>
    <w:p w14:paraId="37ED12BE">
      <w:pPr>
        <w:spacing w:line="640" w:lineRule="exact"/>
        <w:ind w:firstLine="640"/>
        <w:jc w:val="both"/>
        <w:outlineLvl w:val="2"/>
      </w:pPr>
      <w:r>
        <w:rPr>
          <w:rFonts w:ascii="黑体" w:hAnsi="黑体" w:eastAsia="黑体"/>
          <w:sz w:val="32"/>
        </w:rPr>
        <w:t>七、政府性基金预算财政拨款收入支出决算情况说明</w:t>
      </w:r>
    </w:p>
    <w:p w14:paraId="04D299F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339B733">
      <w:pPr>
        <w:spacing w:line="640" w:lineRule="exact"/>
        <w:ind w:firstLine="640"/>
        <w:jc w:val="both"/>
        <w:outlineLvl w:val="2"/>
      </w:pPr>
      <w:r>
        <w:rPr>
          <w:rFonts w:ascii="黑体" w:hAnsi="黑体" w:eastAsia="黑体"/>
          <w:sz w:val="32"/>
        </w:rPr>
        <w:t>八、国有资本经营预算财政拨款收入支出决算情况说明</w:t>
      </w:r>
    </w:p>
    <w:p w14:paraId="5BBA840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7DC4DB2">
      <w:pPr>
        <w:spacing w:line="640" w:lineRule="exact"/>
        <w:ind w:firstLine="640"/>
        <w:jc w:val="both"/>
        <w:outlineLvl w:val="2"/>
      </w:pPr>
      <w:r>
        <w:rPr>
          <w:rFonts w:ascii="黑体" w:hAnsi="黑体" w:eastAsia="黑体"/>
          <w:sz w:val="32"/>
        </w:rPr>
        <w:t>九、财政拨款“三公”经费支出决算情况说明</w:t>
      </w:r>
    </w:p>
    <w:p w14:paraId="5E3ACFEF">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13D82D1">
      <w:pPr>
        <w:spacing w:line="580" w:lineRule="exact"/>
        <w:ind w:firstLine="640"/>
        <w:jc w:val="both"/>
      </w:pPr>
      <w:r>
        <w:rPr>
          <w:rFonts w:ascii="仿宋_GB2312" w:hAnsi="仿宋_GB2312" w:eastAsia="仿宋_GB2312"/>
          <w:b/>
          <w:sz w:val="32"/>
        </w:rPr>
        <w:t>具体情况如下：</w:t>
      </w:r>
    </w:p>
    <w:p w14:paraId="5A9AEFC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43E11E2">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3辆，与公务用车保有量差异原因是：单位车辆为救护车，预算未安排公务用车运行维护费。</w:t>
      </w:r>
    </w:p>
    <w:p w14:paraId="1748407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6A4021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38AD12A">
      <w:pPr>
        <w:spacing w:line="640" w:lineRule="exact"/>
        <w:ind w:firstLine="640"/>
        <w:jc w:val="both"/>
        <w:outlineLvl w:val="2"/>
      </w:pPr>
      <w:r>
        <w:rPr>
          <w:rFonts w:ascii="黑体" w:hAnsi="黑体" w:eastAsia="黑体"/>
          <w:sz w:val="32"/>
        </w:rPr>
        <w:t>十、其他重要事项的情况说明</w:t>
      </w:r>
    </w:p>
    <w:p w14:paraId="57D06D98">
      <w:pPr>
        <w:spacing w:line="640" w:lineRule="exact"/>
        <w:ind w:firstLine="640"/>
        <w:jc w:val="both"/>
        <w:outlineLvl w:val="3"/>
      </w:pPr>
      <w:r>
        <w:rPr>
          <w:rFonts w:ascii="楷体_GB2312" w:hAnsi="楷体_GB2312" w:eastAsia="楷体_GB2312"/>
          <w:b/>
          <w:sz w:val="32"/>
        </w:rPr>
        <w:t>（一）机关运行经费及公用经费支出情况</w:t>
      </w:r>
    </w:p>
    <w:p w14:paraId="4DCB01E1">
      <w:pPr>
        <w:spacing w:line="580" w:lineRule="exact"/>
        <w:ind w:firstLine="640"/>
        <w:jc w:val="both"/>
      </w:pPr>
      <w:r>
        <w:rPr>
          <w:rFonts w:ascii="仿宋_GB2312" w:hAnsi="仿宋_GB2312" w:eastAsia="仿宋_GB2312"/>
          <w:b w:val="0"/>
          <w:sz w:val="32"/>
        </w:rPr>
        <w:t>2024年度霍尔果斯市伊车嘎善锡伯乡卫生院（事业单位）公用经费支出19.58万元，比上年增加1.50万元，增长8.30%，主要原因是：本年度办公经费较上年增加，公用经费增加。</w:t>
      </w:r>
    </w:p>
    <w:p w14:paraId="40A79FB3">
      <w:pPr>
        <w:spacing w:line="640" w:lineRule="exact"/>
        <w:ind w:firstLine="640"/>
        <w:jc w:val="both"/>
        <w:outlineLvl w:val="3"/>
      </w:pPr>
      <w:r>
        <w:rPr>
          <w:rFonts w:ascii="楷体_GB2312" w:hAnsi="楷体_GB2312" w:eastAsia="楷体_GB2312"/>
          <w:b/>
          <w:sz w:val="32"/>
        </w:rPr>
        <w:t>（二）政府采购情况</w:t>
      </w:r>
    </w:p>
    <w:p w14:paraId="5CAA8EAF">
      <w:pPr>
        <w:spacing w:line="580" w:lineRule="exact"/>
        <w:ind w:firstLine="640"/>
        <w:jc w:val="both"/>
      </w:pPr>
      <w:r>
        <w:rPr>
          <w:rFonts w:ascii="仿宋_GB2312" w:hAnsi="仿宋_GB2312" w:eastAsia="仿宋_GB2312"/>
          <w:b w:val="0"/>
          <w:sz w:val="32"/>
        </w:rPr>
        <w:t>2024年度政府采购支出总额67.67万元，其中：政府采购货物支出19.60万元、政府采购工程支出20.00万元、政府采购服务支出28.07万元。</w:t>
      </w:r>
    </w:p>
    <w:p w14:paraId="433CA168">
      <w:pPr>
        <w:spacing w:line="580" w:lineRule="exact"/>
        <w:ind w:firstLine="640"/>
        <w:jc w:val="both"/>
      </w:pPr>
      <w:r>
        <w:rPr>
          <w:rFonts w:ascii="仿宋_GB2312" w:hAnsi="仿宋_GB2312" w:eastAsia="仿宋_GB2312"/>
          <w:b w:val="0"/>
          <w:sz w:val="32"/>
        </w:rPr>
        <w:t>授予中小企业合同金额65.75万元，占政府采购支出总额的97.16%，其中：授予小微企业合同金额58.56万元，占政府采购支出总额的86.54%。</w:t>
      </w:r>
    </w:p>
    <w:p w14:paraId="6B6EA7FF">
      <w:pPr>
        <w:spacing w:line="640" w:lineRule="exact"/>
        <w:ind w:firstLine="640"/>
        <w:jc w:val="both"/>
        <w:outlineLvl w:val="3"/>
      </w:pPr>
      <w:r>
        <w:rPr>
          <w:rFonts w:ascii="楷体_GB2312" w:hAnsi="楷体_GB2312" w:eastAsia="楷体_GB2312"/>
          <w:b/>
          <w:sz w:val="32"/>
        </w:rPr>
        <w:t>（三）国有资产占用情况说明</w:t>
      </w:r>
    </w:p>
    <w:p w14:paraId="08864483">
      <w:pPr>
        <w:spacing w:line="580" w:lineRule="exact"/>
        <w:ind w:firstLine="640"/>
        <w:jc w:val="both"/>
      </w:pPr>
      <w:r>
        <w:rPr>
          <w:rFonts w:ascii="仿宋_GB2312" w:hAnsi="仿宋_GB2312" w:eastAsia="仿宋_GB2312"/>
          <w:b w:val="0"/>
          <w:sz w:val="32"/>
        </w:rPr>
        <w:t>截至2024年12月31日，房屋3,820.29平方米，价值539.66万元。车辆3辆，价值45.37万元，其中：副部（省）级及以上领导用车0辆、主要负责人用车0辆、机要通信用车0辆、应急保障用车0辆、执法执勤用车0辆、特种专业技术用车0辆、离退休干部服务用车0辆、其他用车3辆，其他用车主要是：单位的救护车。单价100万元（含）以上设备（不含车辆）0台（套）。</w:t>
      </w:r>
    </w:p>
    <w:p w14:paraId="3CAE40C3">
      <w:pPr>
        <w:spacing w:line="640" w:lineRule="exact"/>
        <w:ind w:firstLine="640"/>
        <w:jc w:val="both"/>
        <w:outlineLvl w:val="2"/>
      </w:pPr>
      <w:r>
        <w:rPr>
          <w:rFonts w:ascii="黑体" w:hAnsi="黑体" w:eastAsia="黑体"/>
          <w:sz w:val="32"/>
        </w:rPr>
        <w:t>十一、预算绩效的情况说明</w:t>
      </w:r>
    </w:p>
    <w:p w14:paraId="5B05171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919.43万元，实际执行总额902.13万元；预算绩效评价项目1个，全年预算数21.11万元，全年执行数12.09万元。预算绩效管理取得的成效：一是树立了“花钱必问效”的绩效理念。改变了以往“重投入轻管理、重支出轻绩效”的传统思维，各级行政单位和工作人员普遍认识到预算资金的使用必须讲求效果、效率和效益。绩效意识从财政部门逐步深入到各个预算单位，成为预算编制、执行和评价的重要考量因素。二是建立了预算绩效管理的制度框架。项目事前绩效评估、绩效目标管理、绩效运行监控、绩效评价及结果应用等各环节的管理办法和操作规范，为工作提供了制度保障。三是强化了预算编制的科学性和目标导向。在预算编制环节，普遍要求设定清晰、量化、可衡量的绩效目标。这使得预算安排与部门职责、政策目标、事业发展计划紧密挂钩，预算申请需要论证其预期效果，提高了预算编制的科学性和精准性，减少了盲目性和随意性。四是提升了预算执行的有效性和规范性。通过绩效运行监控，对预算执行进度和绩效目标实现情况进行“双监控”。能够及时发现项目进展缓慢、资金沉淀、偏离目标等问题，并采取纠偏措施，确保资金按预定目标和计划有效使用，提高了预算执行的效率和规范性。五是提高了财政资源配置效率和资金使用效益。优化结构：将有限的财政资金优先投向绩效目标明确、社会效益显著、群众急需的项目和领域，压缩或取消低效无效支出，优化了支出结构。节约成本：强化了成本效益分析，促使单位精打细算，努力在既定目标下降低成本，或在相同成本下追求更大效益。提升效果：促使单位更加关注政策落地和项目实施的实际效果，努力提升公共服务的质量和水平，更好地满足公众需求。发现的问题及原因：一是绩效目标设定不科学。目标模糊空泛（如“提升公共服务质量”），缺乏量化标准和可操作性；指标脱离核心职能，追求数量忽视质量（如过度强调“举办活动次数”，忽略实际效果）；目标与预算脱节，难以支撑资源分配决策。原因：单位对自身职能与政策目标的关联理解不足；缺乏专业绩效管理人才，指标设计能力薄弱；部分目标因政策模糊或跨部门协作困难而难以量化。二是绩效指标体系建设不完善。问题表现：重过程指标（如“资金支出进度”），轻结果指标（如“公众满意度提升率”）；指标同质化严重，未体现行业和项目差异性；数据采集成本高，部分指标难以真实衡量（如社会效益）。原因：公共产品效果滞后性强，短期指标难以反映长期价值；“安全免责”思维导致偏好易量化的过程指标；缺乏统一的行业绩效标准库和共享数据库。三是绩效监控与评价流于形式。问题表现：监控以填报表格为主，未能动态识别执行偏差；绩效自评避重就轻，第三方评价独立性不足；评价方法单一（过度依赖材料审核），忽视实地验证。原因：单位将绩效管理视为“额外负担”，被动应付；财政部门缺乏专业力量开展全覆盖深度监控；问责机制缺失，评价结果与责任脱钩。下一步改进措施：一是我们将加强与财政部门的紧密配合,开展好整体支出及项目资金绩效管理工作,运用好绩效评价的结果,不断提升预算管理水平。二是选取切实可行、操作性较强的考核指标，建立考核指标的标准模板。三是加强资金使用部门对绩效评价工作的认识和重视程度，并将评价结果运用于工作始终。四是做好项目实施管理与资金使用的匹配，根据项目实施计划，制定出科学合理的资金计划，不断提高资金使用效率。具体附整体支出绩效自评表，项目支出绩效自评表和评价报告。</w:t>
      </w:r>
    </w:p>
    <w:p w14:paraId="0CBE3ED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CB54D6D">
        <w:tblPrEx>
          <w:tblCellMar>
            <w:top w:w="0" w:type="dxa"/>
            <w:left w:w="108" w:type="dxa"/>
            <w:bottom w:w="0" w:type="dxa"/>
            <w:right w:w="108" w:type="dxa"/>
          </w:tblCellMar>
        </w:tblPrEx>
        <w:tc>
          <w:tcPr>
            <w:tcW w:w="8840" w:type="dxa"/>
            <w:gridSpan w:val="8"/>
            <w:vAlign w:val="center"/>
          </w:tcPr>
          <w:p w14:paraId="7EEBF48D">
            <w:pPr>
              <w:jc w:val="center"/>
            </w:pPr>
            <w:r>
              <w:rPr>
                <w:rFonts w:ascii="宋体" w:hAnsi="宋体" w:eastAsia="宋体"/>
                <w:sz w:val="24"/>
              </w:rPr>
              <w:t>单位整体支出绩效自评表</w:t>
            </w:r>
          </w:p>
        </w:tc>
      </w:tr>
      <w:tr w14:paraId="34456326">
        <w:tblPrEx>
          <w:tblCellMar>
            <w:top w:w="0" w:type="dxa"/>
            <w:left w:w="108" w:type="dxa"/>
            <w:bottom w:w="0" w:type="dxa"/>
            <w:right w:w="108" w:type="dxa"/>
          </w:tblCellMar>
        </w:tblPrEx>
        <w:tc>
          <w:tcPr>
            <w:tcW w:w="8840" w:type="dxa"/>
            <w:gridSpan w:val="8"/>
            <w:vAlign w:val="center"/>
          </w:tcPr>
          <w:p w14:paraId="38CC10BF">
            <w:pPr>
              <w:jc w:val="center"/>
            </w:pPr>
            <w:r>
              <w:rPr>
                <w:rFonts w:ascii="宋体" w:hAnsi="宋体" w:eastAsia="宋体"/>
                <w:sz w:val="24"/>
              </w:rPr>
              <w:t>（2024年度）</w:t>
            </w:r>
          </w:p>
        </w:tc>
      </w:tr>
      <w:tr w14:paraId="1561BBC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7B1CFF">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EC11F0">
            <w:pPr>
              <w:jc w:val="center"/>
            </w:pPr>
            <w:r>
              <w:rPr>
                <w:rFonts w:ascii="宋体" w:hAnsi="宋体" w:eastAsia="宋体"/>
                <w:sz w:val="16"/>
              </w:rPr>
              <w:t>霍尔果斯市伊车嘎善锡伯乡卫生院</w:t>
            </w:r>
          </w:p>
        </w:tc>
      </w:tr>
      <w:tr w14:paraId="3534DB6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2C6F6">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63ED37">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F1F5B9">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C60A3D">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A69D9B">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25F37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937DF6">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E3AF04">
            <w:pPr>
              <w:jc w:val="center"/>
            </w:pPr>
            <w:r>
              <w:rPr>
                <w:rFonts w:ascii="宋体" w:hAnsi="宋体" w:eastAsia="宋体"/>
                <w:sz w:val="16"/>
              </w:rPr>
              <w:t>得分</w:t>
            </w:r>
          </w:p>
        </w:tc>
      </w:tr>
      <w:tr w14:paraId="5A5777A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59945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987496">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155F5C">
            <w:pPr>
              <w:jc w:val="center"/>
            </w:pPr>
            <w:r>
              <w:rPr>
                <w:rFonts w:ascii="宋体" w:hAnsi="宋体" w:eastAsia="宋体"/>
                <w:sz w:val="16"/>
              </w:rPr>
              <w:t>508.64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953119">
            <w:pPr>
              <w:jc w:val="center"/>
            </w:pPr>
            <w:r>
              <w:rPr>
                <w:rFonts w:ascii="宋体" w:hAnsi="宋体" w:eastAsia="宋体"/>
                <w:sz w:val="16"/>
              </w:rPr>
              <w:t>919.43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0E7BE5">
            <w:pPr>
              <w:jc w:val="center"/>
            </w:pPr>
            <w:r>
              <w:rPr>
                <w:rFonts w:ascii="宋体" w:hAnsi="宋体" w:eastAsia="宋体"/>
                <w:sz w:val="16"/>
              </w:rPr>
              <w:t>902.13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92F76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46E4DF">
            <w:pPr>
              <w:jc w:val="center"/>
            </w:pPr>
            <w:r>
              <w:rPr>
                <w:rFonts w:ascii="宋体" w:hAnsi="宋体" w:eastAsia="宋体"/>
                <w:sz w:val="16"/>
              </w:rPr>
              <w:t>98.12%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9C7381">
            <w:pPr>
              <w:jc w:val="center"/>
            </w:pPr>
            <w:r>
              <w:rPr>
                <w:rFonts w:ascii="宋体" w:hAnsi="宋体" w:eastAsia="宋体"/>
                <w:sz w:val="16"/>
              </w:rPr>
              <w:t>9.81</w:t>
            </w:r>
          </w:p>
        </w:tc>
      </w:tr>
      <w:tr w14:paraId="76F9EF0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61B70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471D84">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034E8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2B5B9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BB5BF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ACC67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F1063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019FBE">
            <w:pPr>
              <w:jc w:val="center"/>
            </w:pPr>
            <w:r>
              <w:rPr>
                <w:rFonts w:ascii="宋体" w:hAnsi="宋体" w:eastAsia="宋体"/>
                <w:sz w:val="16"/>
              </w:rPr>
              <w:t>-</w:t>
            </w:r>
          </w:p>
        </w:tc>
      </w:tr>
      <w:tr w14:paraId="6E13ECD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DCB41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2A9961">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0207DA">
            <w:pPr>
              <w:jc w:val="center"/>
            </w:pPr>
            <w:r>
              <w:rPr>
                <w:rFonts w:ascii="宋体" w:hAnsi="宋体" w:eastAsia="宋体"/>
                <w:sz w:val="16"/>
              </w:rPr>
              <w:t>448.64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1DE6B4">
            <w:pPr>
              <w:jc w:val="center"/>
            </w:pPr>
            <w:r>
              <w:rPr>
                <w:rFonts w:ascii="宋体" w:hAnsi="宋体" w:eastAsia="宋体"/>
                <w:sz w:val="16"/>
              </w:rPr>
              <w:t>859.43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15D44A">
            <w:pPr>
              <w:jc w:val="center"/>
            </w:pPr>
            <w:r>
              <w:rPr>
                <w:rFonts w:ascii="宋体" w:hAnsi="宋体" w:eastAsia="宋体"/>
                <w:sz w:val="16"/>
              </w:rPr>
              <w:t>842.13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216E4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F0672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BFBCC0">
            <w:pPr>
              <w:jc w:val="center"/>
            </w:pPr>
            <w:r>
              <w:rPr>
                <w:rFonts w:ascii="宋体" w:hAnsi="宋体" w:eastAsia="宋体"/>
                <w:sz w:val="16"/>
              </w:rPr>
              <w:t>-</w:t>
            </w:r>
          </w:p>
        </w:tc>
      </w:tr>
      <w:tr w14:paraId="20B4610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3F43B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5BED6C">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C91F76">
            <w:pPr>
              <w:jc w:val="center"/>
            </w:pPr>
            <w:r>
              <w:rPr>
                <w:rFonts w:ascii="宋体" w:hAnsi="宋体" w:eastAsia="宋体"/>
                <w:sz w:val="16"/>
              </w:rPr>
              <w:t>60.00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1A759E">
            <w:pPr>
              <w:jc w:val="center"/>
            </w:pPr>
            <w:r>
              <w:rPr>
                <w:rFonts w:ascii="宋体" w:hAnsi="宋体" w:eastAsia="宋体"/>
                <w:sz w:val="16"/>
              </w:rPr>
              <w:t>60.00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67F199">
            <w:pPr>
              <w:jc w:val="center"/>
            </w:pPr>
            <w:r>
              <w:rPr>
                <w:rFonts w:ascii="宋体" w:hAnsi="宋体" w:eastAsia="宋体"/>
                <w:sz w:val="16"/>
              </w:rPr>
              <w:t>60.00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AB81F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9CCE2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3E2653">
            <w:pPr>
              <w:jc w:val="center"/>
            </w:pPr>
            <w:r>
              <w:rPr>
                <w:rFonts w:ascii="宋体" w:hAnsi="宋体" w:eastAsia="宋体"/>
                <w:sz w:val="16"/>
              </w:rPr>
              <w:t>-</w:t>
            </w:r>
          </w:p>
        </w:tc>
      </w:tr>
      <w:tr w14:paraId="11B72C4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8EDCC5">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81C704">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A8FAFF">
            <w:pPr>
              <w:jc w:val="center"/>
            </w:pPr>
            <w:r>
              <w:rPr>
                <w:rFonts w:ascii="宋体" w:hAnsi="宋体" w:eastAsia="宋体"/>
                <w:sz w:val="16"/>
              </w:rPr>
              <w:t>实际完成情况</w:t>
            </w:r>
          </w:p>
        </w:tc>
      </w:tr>
      <w:tr w14:paraId="521A9EC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7D3BDB"/>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DA8C86">
            <w:pPr>
              <w:jc w:val="both"/>
            </w:pPr>
            <w:r>
              <w:rPr>
                <w:rFonts w:ascii="宋体" w:hAnsi="宋体" w:eastAsia="宋体"/>
                <w:sz w:val="16"/>
              </w:rPr>
              <w:t>组织实施推进卫生健康基本公共服务工作，提供医疗服务行业管理办法并监督实施，做好保健对象的医疗基本公共卫生服务保障工作针对全民健康体检、卫生监督协助管理、电子档案建档率以及重度精神病管理、家庭签约覆盖率的提升并且针对老年人健康管</w:t>
            </w:r>
            <w:r>
              <w:rPr>
                <w:rFonts w:hint="eastAsia" w:ascii="宋体" w:hAnsi="宋体"/>
                <w:sz w:val="16"/>
                <w:lang w:eastAsia="zh-CN"/>
              </w:rPr>
              <w:t>理和</w:t>
            </w:r>
            <w:r>
              <w:rPr>
                <w:rFonts w:ascii="宋体" w:hAnsi="宋体" w:eastAsia="宋体"/>
                <w:sz w:val="16"/>
              </w:rPr>
              <w:t>孕产妇婴幼儿活产率、高血压糖尿病患者管理水平的提升，传染病、地方病防治工作以及免疫规划工作的全面开展做好服务工作。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A378D7">
            <w:pPr>
              <w:jc w:val="both"/>
            </w:pPr>
            <w:r>
              <w:rPr>
                <w:rFonts w:ascii="宋体" w:hAnsi="宋体" w:eastAsia="宋体"/>
                <w:sz w:val="16"/>
              </w:rPr>
              <w:t>完成了全民健康体检4912人；卫生监督4次；居民健康档案建档率、重精管理率、家庭医生签约服务率达到100%；老年人健康管理及孕产妇婴幼儿管理率完成93.37%；高血压、糖尿病等慢性病管理服务率达到100%；传染病防治、免疫规划率完成100%，达到有效提升居民健康水平，使老百姓增强防病意识，提高抗病能力，提升老百姓的健康质量。</w:t>
            </w:r>
          </w:p>
        </w:tc>
      </w:tr>
      <w:tr w14:paraId="64E7CB0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685DCA">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E097A8">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2D164C">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C9EA66">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8BF965">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6CDEE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5EEB68">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FF78FF">
            <w:pPr>
              <w:jc w:val="center"/>
            </w:pPr>
            <w:r>
              <w:rPr>
                <w:rFonts w:ascii="宋体" w:hAnsi="宋体" w:eastAsia="宋体"/>
                <w:sz w:val="16"/>
              </w:rPr>
              <w:t>得分</w:t>
            </w:r>
          </w:p>
        </w:tc>
      </w:tr>
      <w:tr w14:paraId="025867C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0C13B">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9016C">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F228A1">
            <w:pPr>
              <w:jc w:val="center"/>
            </w:pPr>
            <w:r>
              <w:rPr>
                <w:rFonts w:ascii="宋体" w:hAnsi="宋体" w:eastAsia="宋体"/>
                <w:sz w:val="16"/>
              </w:rPr>
              <w:t>全民健康体检</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BE3393">
            <w:pPr>
              <w:jc w:val="center"/>
            </w:pPr>
            <w:r>
              <w:rPr>
                <w:rFonts w:ascii="宋体" w:hAnsi="宋体" w:eastAsia="宋体"/>
                <w:sz w:val="16"/>
              </w:rPr>
              <w:t>&gt;=4843人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6496A8">
            <w:pPr>
              <w:jc w:val="center"/>
            </w:pPr>
            <w:r>
              <w:rPr>
                <w:rFonts w:ascii="宋体" w:hAnsi="宋体" w:eastAsia="宋体"/>
                <w:sz w:val="16"/>
              </w:rPr>
              <w:t>关于印发霍尔果斯市卫生健康事业“十四五”发展规划的通知？霍市政办发〔2022〕20号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54A25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B9D21C">
            <w:pPr>
              <w:jc w:val="center"/>
            </w:pPr>
            <w:r>
              <w:rPr>
                <w:rFonts w:ascii="宋体" w:hAnsi="宋体" w:eastAsia="宋体"/>
                <w:sz w:val="16"/>
              </w:rPr>
              <w:t>4912人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7EFE7B">
            <w:pPr>
              <w:jc w:val="center"/>
            </w:pPr>
            <w:r>
              <w:rPr>
                <w:rFonts w:ascii="宋体" w:hAnsi="宋体" w:eastAsia="宋体"/>
                <w:sz w:val="16"/>
              </w:rPr>
              <w:t>15</w:t>
            </w:r>
          </w:p>
        </w:tc>
      </w:tr>
      <w:tr w14:paraId="10E9019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5034C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C45B3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078733">
            <w:pPr>
              <w:jc w:val="center"/>
            </w:pPr>
            <w:r>
              <w:rPr>
                <w:rFonts w:ascii="宋体" w:hAnsi="宋体" w:eastAsia="宋体"/>
                <w:sz w:val="16"/>
              </w:rPr>
              <w:t>卫生监督协管次数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F738B5">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E59F50">
            <w:pPr>
              <w:jc w:val="center"/>
            </w:pPr>
            <w:r>
              <w:rPr>
                <w:rFonts w:ascii="宋体" w:hAnsi="宋体" w:eastAsia="宋体"/>
                <w:sz w:val="16"/>
              </w:rPr>
              <w:t>关于印发霍尔果斯市卫生健康事业“十四五”发展规划的通知？霍市政办发〔2022〕20号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48F0F9">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8185CD">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E54E6E">
            <w:pPr>
              <w:jc w:val="center"/>
            </w:pPr>
            <w:r>
              <w:rPr>
                <w:rFonts w:ascii="宋体" w:hAnsi="宋体" w:eastAsia="宋体"/>
                <w:sz w:val="16"/>
              </w:rPr>
              <w:t>15</w:t>
            </w:r>
          </w:p>
        </w:tc>
      </w:tr>
      <w:tr w14:paraId="509A4D2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E6BFAD8"/>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B65F0">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94B134">
            <w:pPr>
              <w:jc w:val="center"/>
            </w:pPr>
            <w:r>
              <w:rPr>
                <w:rFonts w:ascii="宋体" w:hAnsi="宋体" w:eastAsia="宋体"/>
                <w:sz w:val="16"/>
              </w:rPr>
              <w:t>电子健康档案建档率、重精管理率、家庭签约覆盖率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917306">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2276AE">
            <w:pPr>
              <w:jc w:val="center"/>
            </w:pPr>
            <w:r>
              <w:rPr>
                <w:rFonts w:ascii="宋体" w:hAnsi="宋体" w:eastAsia="宋体"/>
                <w:sz w:val="16"/>
              </w:rPr>
              <w:t>关于印发霍尔果斯市卫生健康事业“十四五”发展规划的通知？霍市政办发〔2022〕20号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40454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4DE50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4664EA">
            <w:pPr>
              <w:jc w:val="center"/>
            </w:pPr>
            <w:r>
              <w:rPr>
                <w:rFonts w:ascii="宋体" w:hAnsi="宋体" w:eastAsia="宋体"/>
                <w:sz w:val="16"/>
              </w:rPr>
              <w:t>15</w:t>
            </w:r>
          </w:p>
        </w:tc>
      </w:tr>
      <w:tr w14:paraId="011F1F5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7EA50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1A7A47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E805F7">
            <w:pPr>
              <w:jc w:val="center"/>
            </w:pPr>
            <w:r>
              <w:rPr>
                <w:rFonts w:ascii="宋体" w:hAnsi="宋体" w:eastAsia="宋体"/>
                <w:sz w:val="16"/>
              </w:rPr>
              <w:t>老年人健康管理及孕产妇婴幼儿管理率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D71F95">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76B2EC">
            <w:pPr>
              <w:jc w:val="center"/>
            </w:pPr>
            <w:r>
              <w:rPr>
                <w:rFonts w:ascii="宋体" w:hAnsi="宋体" w:eastAsia="宋体"/>
                <w:sz w:val="16"/>
              </w:rPr>
              <w:t>关于印发霍尔果斯市卫生健康事业“十四五”发展规划的通知？霍市政办发〔2022〕20号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EC9BF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895C66">
            <w:pPr>
              <w:jc w:val="center"/>
            </w:pPr>
            <w:r>
              <w:rPr>
                <w:rFonts w:ascii="宋体" w:hAnsi="宋体" w:eastAsia="宋体"/>
                <w:sz w:val="16"/>
              </w:rPr>
              <w:t>0.9337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E14864">
            <w:pPr>
              <w:jc w:val="center"/>
            </w:pPr>
            <w:r>
              <w:rPr>
                <w:rFonts w:ascii="宋体" w:hAnsi="宋体" w:eastAsia="宋体"/>
                <w:sz w:val="16"/>
              </w:rPr>
              <w:t>14.74</w:t>
            </w:r>
          </w:p>
        </w:tc>
      </w:tr>
      <w:tr w14:paraId="6DE3787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62135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46FA7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F616FB">
            <w:pPr>
              <w:jc w:val="center"/>
            </w:pPr>
            <w:r>
              <w:rPr>
                <w:rFonts w:ascii="宋体" w:hAnsi="宋体" w:eastAsia="宋体"/>
                <w:sz w:val="16"/>
              </w:rPr>
              <w:t>高血压、糖尿病等慢病管理服务率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61A7A9">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42D673">
            <w:pPr>
              <w:jc w:val="center"/>
            </w:pPr>
            <w:r>
              <w:rPr>
                <w:rFonts w:ascii="宋体" w:hAnsi="宋体" w:eastAsia="宋体"/>
                <w:sz w:val="16"/>
              </w:rPr>
              <w:t>关于印发霍尔果斯市卫生健康事业“十四五”发展规划的通知？霍市政办发〔2022〕20号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65E11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FC9D20">
            <w:pPr>
              <w:jc w:val="center"/>
            </w:pPr>
            <w:r>
              <w:rPr>
                <w:rFonts w:ascii="宋体" w:hAnsi="宋体" w:eastAsia="宋体"/>
                <w:sz w:val="16"/>
              </w:rPr>
              <w:t>96.41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8737A9">
            <w:pPr>
              <w:jc w:val="center"/>
            </w:pPr>
            <w:r>
              <w:rPr>
                <w:rFonts w:ascii="宋体" w:hAnsi="宋体" w:eastAsia="宋体"/>
                <w:sz w:val="16"/>
              </w:rPr>
              <w:t>15</w:t>
            </w:r>
          </w:p>
        </w:tc>
      </w:tr>
      <w:tr w14:paraId="1E71FFC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9BB0F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4323A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718879">
            <w:pPr>
              <w:jc w:val="center"/>
            </w:pPr>
            <w:r>
              <w:rPr>
                <w:rFonts w:ascii="宋体" w:hAnsi="宋体" w:eastAsia="宋体"/>
                <w:sz w:val="16"/>
              </w:rPr>
              <w:t>传染病防治、免疫规划率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04F627">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9BC4F3">
            <w:pPr>
              <w:jc w:val="center"/>
            </w:pPr>
            <w:r>
              <w:rPr>
                <w:rFonts w:ascii="宋体" w:hAnsi="宋体" w:eastAsia="宋体"/>
                <w:sz w:val="16"/>
              </w:rPr>
              <w:t>关于印发霍尔果斯市卫生健康事业“十四五”发展规划的通知？霍市政办发〔2022〕20号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CE9A9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496D0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1930B0">
            <w:pPr>
              <w:jc w:val="center"/>
            </w:pPr>
            <w:r>
              <w:rPr>
                <w:rFonts w:ascii="宋体" w:hAnsi="宋体" w:eastAsia="宋体"/>
                <w:sz w:val="16"/>
              </w:rPr>
              <w:t>15</w:t>
            </w:r>
          </w:p>
        </w:tc>
      </w:tr>
    </w:tbl>
    <w:p w14:paraId="17E489D5">
      <w:r>
        <w:br w:type="page"/>
      </w:r>
    </w:p>
    <w:tbl>
      <w:tblPr>
        <w:tblStyle w:val="9"/>
        <w:tblW w:w="0" w:type="auto"/>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2"/>
        <w:gridCol w:w="482"/>
        <w:gridCol w:w="530"/>
        <w:gridCol w:w="578"/>
        <w:gridCol w:w="743"/>
        <w:gridCol w:w="770"/>
        <w:gridCol w:w="936"/>
        <w:gridCol w:w="672"/>
        <w:gridCol w:w="679"/>
        <w:gridCol w:w="439"/>
        <w:gridCol w:w="605"/>
        <w:gridCol w:w="446"/>
        <w:gridCol w:w="419"/>
        <w:gridCol w:w="1211"/>
      </w:tblGrid>
      <w:tr w14:paraId="623E6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0" w:type="auto"/>
            <w:gridSpan w:val="14"/>
            <w:tcBorders>
              <w:top w:val="nil"/>
              <w:left w:val="nil"/>
              <w:bottom w:val="nil"/>
              <w:right w:val="nil"/>
            </w:tcBorders>
            <w:shd w:val="clear" w:color="auto" w:fill="auto"/>
            <w:vAlign w:val="center"/>
          </w:tcPr>
          <w:p w14:paraId="2D673842">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043DB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498560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2D6E9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04001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0" w:type="auto"/>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0B036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霍尔果斯市伊车嘎善锡伯乡卫生院村医工资及社保缴纳项目</w:t>
            </w:r>
          </w:p>
        </w:tc>
      </w:tr>
      <w:tr w14:paraId="75BC5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C7D69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5BCBD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霍尔果斯市伊车嘎善锡伯乡卫生院</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2D887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F448C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霍尔果斯市伊车嘎善锡伯乡卫生院</w:t>
            </w:r>
          </w:p>
        </w:tc>
      </w:tr>
      <w:tr w14:paraId="4EDAD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2AB88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120CD1">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3EBF2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A8E74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3B941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88064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83F43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B9FE7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14:paraId="0BFDE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C2DEB9">
            <w:pPr>
              <w:jc w:val="center"/>
              <w:rPr>
                <w:rFonts w:hint="eastAsia" w:ascii="宋体" w:hAnsi="宋体" w:eastAsia="宋体" w:cs="宋体"/>
                <w:b/>
                <w:bCs/>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E1C1F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17B3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5CFC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5169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3CC8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8DF6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57.27%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46BD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14:paraId="4FEA7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15E2FA">
            <w:pPr>
              <w:jc w:val="center"/>
              <w:rPr>
                <w:rFonts w:hint="eastAsia" w:ascii="宋体" w:hAnsi="宋体" w:eastAsia="宋体" w:cs="宋体"/>
                <w:b/>
                <w:bCs/>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F2F93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61BE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F3CF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F163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64B7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26FA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6753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BFBB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98B3F4">
            <w:pPr>
              <w:jc w:val="center"/>
              <w:rPr>
                <w:rFonts w:hint="eastAsia" w:ascii="宋体" w:hAnsi="宋体" w:eastAsia="宋体" w:cs="宋体"/>
                <w:b/>
                <w:bCs/>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743D7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DE54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149D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490D72">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85D5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E68C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E708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627F7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4DB27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222D60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0C2D00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14:paraId="288F4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A56BEB">
            <w:pPr>
              <w:jc w:val="center"/>
              <w:rPr>
                <w:rFonts w:hint="eastAsia" w:ascii="宋体" w:hAnsi="宋体" w:eastAsia="宋体" w:cs="宋体"/>
                <w:b/>
                <w:bCs/>
                <w:i w:val="0"/>
                <w:iCs w:val="0"/>
                <w:color w:val="000000"/>
                <w:sz w:val="18"/>
                <w:szCs w:val="18"/>
                <w:u w:val="none"/>
              </w:rPr>
            </w:pP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2F15B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以科学发展观为指导，坚持以人为本，进一步调动乡村医生承担公共卫生积极性，不断提高居民的健康水平，督促指导乡村医生认真履行公共卫生服务职能，规范乡村居民获得公共卫生服务的同时，改善乡村医生的待遇，提高医疗服务积极性，加大医疗队伍服务诊疗范围，增强服务满意度。</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FC6FE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发放6人工资和缴纳社保，发放12次村医工资9.864万元，村医社保2.226万元。调动了乡村医生承担公共卫生服务的积极性，提高了居民的健康水平，规范了乡村居民获得公共卫生服务的同时，改善了乡村医生及市聘工勤的待遇，按时足额发放工资及缴纳社保提高了医疗服务积极性，加大了医疗队伍服务诊疗范围，增强服务满意度。</w:t>
            </w:r>
          </w:p>
        </w:tc>
      </w:tr>
      <w:tr w14:paraId="6A4B0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D86828">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067B3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CA8AF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7B81E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058AC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2F6D1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7F191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AEE0B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720AA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5FAF2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B5143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547E8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277B8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FB49D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14:paraId="5DCBA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1CB13D">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D9BE08">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E01AA1">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125790">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FB96F0">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67718F">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61B292">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36F8DC">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0A4D91">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6609F4">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291C1F">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BF134F">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955994">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05E270">
            <w:pPr>
              <w:jc w:val="center"/>
              <w:rPr>
                <w:rFonts w:hint="eastAsia" w:ascii="宋体" w:hAnsi="宋体" w:eastAsia="宋体" w:cs="宋体"/>
                <w:b/>
                <w:bCs/>
                <w:i w:val="0"/>
                <w:iCs w:val="0"/>
                <w:color w:val="000000"/>
                <w:sz w:val="18"/>
                <w:szCs w:val="18"/>
                <w:u w:val="none"/>
              </w:rPr>
            </w:pPr>
          </w:p>
        </w:tc>
      </w:tr>
      <w:tr w14:paraId="1FF96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A3390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DF3E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4928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34D4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村医人数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8D83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FBCA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&gt;=7人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71E3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B7EE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85.71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E47D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FABF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99A9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176A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6F94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A5D8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原因：因条件环境影响招聘村医较困难，2024年2月1名村医因个人原因辞职。改进措施：改善村医工作环境，招聘合格村医。</w:t>
            </w:r>
          </w:p>
        </w:tc>
      </w:tr>
      <w:tr w14:paraId="5EA81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D8326A">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8EA62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9E58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ACEF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资金发放次数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3B0B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A150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9B0A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641D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0B0E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1168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E257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18D2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3863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11B018">
            <w:pPr>
              <w:jc w:val="center"/>
              <w:rPr>
                <w:rFonts w:hint="eastAsia" w:ascii="宋体" w:hAnsi="宋体" w:eastAsia="宋体" w:cs="宋体"/>
                <w:i w:val="0"/>
                <w:iCs w:val="0"/>
                <w:color w:val="000000"/>
                <w:sz w:val="18"/>
                <w:szCs w:val="18"/>
                <w:u w:val="none"/>
              </w:rPr>
            </w:pPr>
          </w:p>
        </w:tc>
      </w:tr>
      <w:tr w14:paraId="39712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F19AF0">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2B5FA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7BA1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C471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村医工资发放准确率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9F47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0E19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CBB8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8459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94.74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AB41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C994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E7CE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9E91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542A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B8B9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原因：年初1名村医辞职，导致村医工资及社保未能及时发放。措施：按期准确发放工资。</w:t>
            </w:r>
          </w:p>
        </w:tc>
      </w:tr>
      <w:tr w14:paraId="409AB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4E588F">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DDC54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A18E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05BA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资金发放及时率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4043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01A7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E60C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64D7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94.74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0B66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ED79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E3EB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5757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B34F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CD48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原因：年初1名村医辞职，导致村医工资及社保未能及时发放。措施：按期及时发放工资</w:t>
            </w:r>
          </w:p>
        </w:tc>
      </w:tr>
      <w:tr w14:paraId="3663A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7586AD">
            <w:pPr>
              <w:jc w:val="center"/>
              <w:rPr>
                <w:rFonts w:hint="eastAsia" w:ascii="宋体" w:hAnsi="宋体" w:eastAsia="宋体" w:cs="宋体"/>
                <w:b/>
                <w:bCs/>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FD85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700F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B4CC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村医工资及社保缴纳金额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B11B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B5DD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=2513元/人/月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85CF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1679.16元/月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155F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66.82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759B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13.36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EEBC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1FC3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25EA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3220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8A2B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原因：1、2024年计划新增招聘2名村医，因条件环境影响招聘村医较困难，未招录成功。2、2024年2月1名原在岗村医因个人原因辞职，导致其工资及社保无法发放。改进措施：改善村医工作环境，招聘合格村医。</w:t>
            </w:r>
          </w:p>
        </w:tc>
      </w:tr>
      <w:tr w14:paraId="5588B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DC2803">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819EF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0DB4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AB545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0E82C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30D5B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10987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C81BC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8CF57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DA1A7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9D9C7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C8CE7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3C1E0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7D2F07">
            <w:pPr>
              <w:jc w:val="center"/>
              <w:rPr>
                <w:rFonts w:hint="eastAsia" w:ascii="宋体" w:hAnsi="宋体" w:eastAsia="宋体" w:cs="宋体"/>
                <w:i w:val="0"/>
                <w:iCs w:val="0"/>
                <w:color w:val="000000"/>
                <w:sz w:val="18"/>
                <w:szCs w:val="18"/>
                <w:u w:val="none"/>
              </w:rPr>
            </w:pPr>
          </w:p>
        </w:tc>
      </w:tr>
      <w:tr w14:paraId="08F03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EE50DB">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CFE66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DE74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CA2F2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17374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B072F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DE631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E80FF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90B2D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9DBB8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AFE74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E5167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17341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305D93">
            <w:pPr>
              <w:jc w:val="center"/>
              <w:rPr>
                <w:rFonts w:hint="eastAsia" w:ascii="宋体" w:hAnsi="宋体" w:eastAsia="宋体" w:cs="宋体"/>
                <w:i w:val="0"/>
                <w:iCs w:val="0"/>
                <w:color w:val="000000"/>
                <w:sz w:val="18"/>
                <w:szCs w:val="18"/>
                <w:u w:val="none"/>
              </w:rPr>
            </w:pPr>
          </w:p>
        </w:tc>
      </w:tr>
      <w:tr w14:paraId="1ACF0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13AC5F">
            <w:pPr>
              <w:jc w:val="center"/>
              <w:rPr>
                <w:rFonts w:hint="eastAsia" w:ascii="宋体" w:hAnsi="宋体" w:eastAsia="宋体" w:cs="宋体"/>
                <w:b/>
                <w:bCs/>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2C90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D45D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64E2F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32B7E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24A68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10098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A95E2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EC037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34AEE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C4C82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E36DD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C339E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FCC838">
            <w:pPr>
              <w:jc w:val="center"/>
              <w:rPr>
                <w:rFonts w:hint="eastAsia" w:ascii="宋体" w:hAnsi="宋体" w:eastAsia="宋体" w:cs="宋体"/>
                <w:i w:val="0"/>
                <w:iCs w:val="0"/>
                <w:color w:val="000000"/>
                <w:sz w:val="18"/>
                <w:szCs w:val="18"/>
                <w:u w:val="none"/>
              </w:rPr>
            </w:pPr>
          </w:p>
        </w:tc>
      </w:tr>
      <w:tr w14:paraId="6C9A0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6A1A6A">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189B5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30CC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6DF7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改善城乡居民就医条件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5CE5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C044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明显改善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6A6A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有所改善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F301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4ABB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F504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CD0E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明显改善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4FC6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02D6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6E428C">
            <w:pPr>
              <w:jc w:val="center"/>
              <w:rPr>
                <w:rFonts w:hint="eastAsia" w:ascii="宋体" w:hAnsi="宋体" w:eastAsia="宋体" w:cs="宋体"/>
                <w:i w:val="0"/>
                <w:iCs w:val="0"/>
                <w:color w:val="000000"/>
                <w:sz w:val="18"/>
                <w:szCs w:val="18"/>
                <w:u w:val="none"/>
              </w:rPr>
            </w:pPr>
          </w:p>
        </w:tc>
      </w:tr>
      <w:tr w14:paraId="579A8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2BC9DC">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2FAB8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F2A0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51CD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保障卫生院工作正常开展</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9272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10C3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E9BC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有所改善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21BA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1EB3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0F29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0EDD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0945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ED9B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DE5F52">
            <w:pPr>
              <w:jc w:val="center"/>
              <w:rPr>
                <w:rFonts w:hint="eastAsia" w:ascii="宋体" w:hAnsi="宋体" w:eastAsia="宋体" w:cs="宋体"/>
                <w:i w:val="0"/>
                <w:iCs w:val="0"/>
                <w:color w:val="000000"/>
                <w:sz w:val="18"/>
                <w:szCs w:val="18"/>
                <w:u w:val="none"/>
              </w:rPr>
            </w:pPr>
          </w:p>
        </w:tc>
      </w:tr>
      <w:tr w14:paraId="5AF60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4A2473">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0863C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2564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8E4C6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61077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A73E6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42117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130AC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14EF1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F41E4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98CA9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BCA4C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0927B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A7E3E1">
            <w:pPr>
              <w:jc w:val="center"/>
              <w:rPr>
                <w:rFonts w:hint="eastAsia" w:ascii="宋体" w:hAnsi="宋体" w:eastAsia="宋体" w:cs="宋体"/>
                <w:i w:val="0"/>
                <w:iCs w:val="0"/>
                <w:color w:val="000000"/>
                <w:sz w:val="18"/>
                <w:szCs w:val="18"/>
                <w:u w:val="none"/>
              </w:rPr>
            </w:pPr>
          </w:p>
        </w:tc>
      </w:tr>
      <w:tr w14:paraId="36430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22917E">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C469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1D50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1198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职工满意度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3154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3115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1CCE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FE64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3855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7A7F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0EE6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EDE8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413B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28BAF5">
            <w:pPr>
              <w:jc w:val="center"/>
              <w:rPr>
                <w:rFonts w:hint="eastAsia" w:ascii="宋体" w:hAnsi="宋体" w:eastAsia="宋体" w:cs="宋体"/>
                <w:i w:val="0"/>
                <w:iCs w:val="0"/>
                <w:color w:val="000000"/>
                <w:sz w:val="18"/>
                <w:szCs w:val="18"/>
                <w:u w:val="none"/>
              </w:rPr>
            </w:pPr>
          </w:p>
        </w:tc>
      </w:tr>
      <w:tr w14:paraId="35B59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4"/>
            <w:tcBorders>
              <w:top w:val="single" w:color="000000" w:sz="4" w:space="0"/>
              <w:left w:val="single" w:color="000000" w:sz="4" w:space="0"/>
              <w:bottom w:val="single" w:color="000000" w:sz="4" w:space="0"/>
              <w:right w:val="nil"/>
            </w:tcBorders>
            <w:shd w:val="clear" w:color="auto" w:fill="auto"/>
            <w:vAlign w:val="center"/>
          </w:tcPr>
          <w:p w14:paraId="32AA71E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AEB5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nil"/>
              <w:bottom w:val="single" w:color="000000" w:sz="4" w:space="0"/>
              <w:right w:val="single" w:color="000000" w:sz="4" w:space="0"/>
            </w:tcBorders>
            <w:shd w:val="clear" w:color="auto" w:fill="auto"/>
            <w:vAlign w:val="center"/>
          </w:tcPr>
          <w:p w14:paraId="56E791B0">
            <w:pP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A6DD6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CBC94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BF9D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80.87分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16D39B">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4F2833">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4AAD95">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CD9095">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9251D1">
            <w:pPr>
              <w:rPr>
                <w:rFonts w:hint="eastAsia" w:ascii="宋体" w:hAnsi="宋体" w:eastAsia="宋体" w:cs="宋体"/>
                <w:i w:val="0"/>
                <w:iCs w:val="0"/>
                <w:color w:val="000000"/>
                <w:sz w:val="18"/>
                <w:szCs w:val="18"/>
                <w:u w:val="none"/>
              </w:rPr>
            </w:pPr>
          </w:p>
        </w:tc>
      </w:tr>
    </w:tbl>
    <w:p w14:paraId="0A83F054">
      <w:r>
        <w:br w:type="page"/>
      </w:r>
    </w:p>
    <w:p w14:paraId="768E5B21">
      <w:pPr>
        <w:spacing w:line="640" w:lineRule="exact"/>
        <w:ind w:firstLine="640"/>
        <w:jc w:val="both"/>
        <w:outlineLvl w:val="2"/>
      </w:pPr>
      <w:r>
        <w:rPr>
          <w:rFonts w:ascii="黑体" w:hAnsi="黑体" w:eastAsia="黑体"/>
          <w:sz w:val="32"/>
        </w:rPr>
        <w:t>十二、其他需说明的事项</w:t>
      </w:r>
    </w:p>
    <w:p w14:paraId="78986B0E">
      <w:pPr>
        <w:spacing w:line="580" w:lineRule="exact"/>
        <w:ind w:firstLine="640"/>
        <w:jc w:val="both"/>
      </w:pPr>
      <w:r>
        <w:rPr>
          <w:rFonts w:ascii="仿宋_GB2312" w:hAnsi="仿宋_GB2312" w:eastAsia="仿宋_GB2312"/>
          <w:b w:val="0"/>
          <w:sz w:val="32"/>
        </w:rPr>
        <w:t>本单位无其他需说明的事项。</w:t>
      </w:r>
    </w:p>
    <w:p w14:paraId="312A7EEE">
      <w:r>
        <w:br w:type="page"/>
      </w:r>
    </w:p>
    <w:p w14:paraId="075F39B1">
      <w:pPr>
        <w:spacing w:line="240" w:lineRule="auto"/>
        <w:jc w:val="center"/>
        <w:outlineLvl w:val="1"/>
      </w:pPr>
      <w:r>
        <w:rPr>
          <w:rFonts w:ascii="黑体" w:hAnsi="黑体" w:eastAsia="黑体"/>
          <w:sz w:val="32"/>
        </w:rPr>
        <w:t>第三部分 专业名词解释</w:t>
      </w:r>
    </w:p>
    <w:p w14:paraId="75A1BB1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A4AC96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5412ED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81C740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88F1C0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895B4C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7EE106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AC99CB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8A7DDF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2427AF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D9D331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FCC302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56A5F3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C25DA2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FDE9E85">
      <w:r>
        <w:br w:type="page"/>
      </w:r>
    </w:p>
    <w:p w14:paraId="1C7300EA">
      <w:pPr>
        <w:spacing w:line="240" w:lineRule="auto"/>
        <w:jc w:val="center"/>
        <w:outlineLvl w:val="1"/>
      </w:pPr>
      <w:r>
        <w:rPr>
          <w:rFonts w:ascii="黑体" w:hAnsi="黑体" w:eastAsia="黑体"/>
          <w:sz w:val="32"/>
        </w:rPr>
        <w:t>第四部分 部门决算报表（见附表）</w:t>
      </w:r>
    </w:p>
    <w:p w14:paraId="0C022C40">
      <w:pPr>
        <w:spacing w:line="240" w:lineRule="auto"/>
        <w:ind w:firstLine="640"/>
        <w:jc w:val="both"/>
      </w:pPr>
      <w:r>
        <w:rPr>
          <w:rFonts w:ascii="仿宋_GB2312" w:hAnsi="仿宋_GB2312" w:eastAsia="仿宋_GB2312"/>
          <w:b w:val="0"/>
          <w:sz w:val="32"/>
        </w:rPr>
        <w:t>一、《收入支出决算总表》</w:t>
      </w:r>
    </w:p>
    <w:p w14:paraId="764BD09B">
      <w:pPr>
        <w:spacing w:line="240" w:lineRule="auto"/>
        <w:ind w:firstLine="640"/>
        <w:jc w:val="both"/>
      </w:pPr>
      <w:r>
        <w:rPr>
          <w:rFonts w:ascii="仿宋_GB2312" w:hAnsi="仿宋_GB2312" w:eastAsia="仿宋_GB2312"/>
          <w:b w:val="0"/>
          <w:sz w:val="32"/>
        </w:rPr>
        <w:t>二、《收入决算表》</w:t>
      </w:r>
    </w:p>
    <w:p w14:paraId="6C38EFDE">
      <w:pPr>
        <w:spacing w:line="240" w:lineRule="auto"/>
        <w:ind w:firstLine="640"/>
        <w:jc w:val="both"/>
      </w:pPr>
      <w:r>
        <w:rPr>
          <w:rFonts w:ascii="仿宋_GB2312" w:hAnsi="仿宋_GB2312" w:eastAsia="仿宋_GB2312"/>
          <w:b w:val="0"/>
          <w:sz w:val="32"/>
        </w:rPr>
        <w:t>三、《支出决算表》</w:t>
      </w:r>
    </w:p>
    <w:p w14:paraId="3477116A">
      <w:pPr>
        <w:spacing w:line="240" w:lineRule="auto"/>
        <w:ind w:firstLine="640"/>
        <w:jc w:val="both"/>
      </w:pPr>
      <w:r>
        <w:rPr>
          <w:rFonts w:ascii="仿宋_GB2312" w:hAnsi="仿宋_GB2312" w:eastAsia="仿宋_GB2312"/>
          <w:b w:val="0"/>
          <w:sz w:val="32"/>
        </w:rPr>
        <w:t>四、《财政拨款收入支出决算总表》</w:t>
      </w:r>
    </w:p>
    <w:p w14:paraId="4B641B5B">
      <w:pPr>
        <w:spacing w:line="240" w:lineRule="auto"/>
        <w:ind w:firstLine="640"/>
        <w:jc w:val="both"/>
      </w:pPr>
      <w:r>
        <w:rPr>
          <w:rFonts w:ascii="仿宋_GB2312" w:hAnsi="仿宋_GB2312" w:eastAsia="仿宋_GB2312"/>
          <w:b w:val="0"/>
          <w:sz w:val="32"/>
        </w:rPr>
        <w:t>五、《一般公共预算财政拨款支出决算表》</w:t>
      </w:r>
    </w:p>
    <w:p w14:paraId="76ADC4F4">
      <w:pPr>
        <w:spacing w:line="240" w:lineRule="auto"/>
        <w:ind w:firstLine="640"/>
        <w:jc w:val="both"/>
      </w:pPr>
      <w:r>
        <w:rPr>
          <w:rFonts w:ascii="仿宋_GB2312" w:hAnsi="仿宋_GB2312" w:eastAsia="仿宋_GB2312"/>
          <w:b w:val="0"/>
          <w:sz w:val="32"/>
        </w:rPr>
        <w:t>六、《一般公共预算财政拨款基本支出决算表》</w:t>
      </w:r>
    </w:p>
    <w:p w14:paraId="656AF0CE">
      <w:pPr>
        <w:spacing w:line="240" w:lineRule="auto"/>
        <w:ind w:firstLine="640"/>
        <w:jc w:val="both"/>
      </w:pPr>
      <w:r>
        <w:rPr>
          <w:rFonts w:ascii="仿宋_GB2312" w:hAnsi="仿宋_GB2312" w:eastAsia="仿宋_GB2312"/>
          <w:b w:val="0"/>
          <w:sz w:val="32"/>
        </w:rPr>
        <w:t>七、《政府性基金预算财政拨款收入支出决算表》</w:t>
      </w:r>
    </w:p>
    <w:p w14:paraId="475CC96F">
      <w:pPr>
        <w:spacing w:line="240" w:lineRule="auto"/>
        <w:ind w:firstLine="640"/>
        <w:jc w:val="both"/>
      </w:pPr>
      <w:r>
        <w:rPr>
          <w:rFonts w:ascii="仿宋_GB2312" w:hAnsi="仿宋_GB2312" w:eastAsia="仿宋_GB2312"/>
          <w:b w:val="0"/>
          <w:sz w:val="32"/>
        </w:rPr>
        <w:t>八、《国有资本经营预算财政拨款收入支出决算表》</w:t>
      </w:r>
    </w:p>
    <w:p w14:paraId="6B955073">
      <w:pPr>
        <w:spacing w:line="240" w:lineRule="auto"/>
        <w:ind w:firstLine="640"/>
        <w:jc w:val="both"/>
      </w:pPr>
      <w:r>
        <w:rPr>
          <w:rFonts w:ascii="仿宋_GB2312" w:hAnsi="仿宋_GB2312" w:eastAsia="仿宋_GB2312"/>
          <w:b w:val="0"/>
          <w:sz w:val="32"/>
        </w:rPr>
        <w:t>九、《财政拨款“三公”经费支出决算表》</w:t>
      </w:r>
    </w:p>
    <w:p w14:paraId="5941C1A6">
      <w:pPr>
        <w:spacing w:line="240" w:lineRule="auto"/>
        <w:ind w:firstLine="640"/>
        <w:jc w:val="both"/>
      </w:pPr>
    </w:p>
    <w:p w14:paraId="3753DC85">
      <w:pPr>
        <w:spacing w:line="240" w:lineRule="auto"/>
        <w:ind w:firstLine="640"/>
        <w:jc w:val="both"/>
      </w:pPr>
    </w:p>
    <w:p w14:paraId="773475CE">
      <w:pPr>
        <w:spacing w:line="240" w:lineRule="auto"/>
        <w:ind w:firstLine="640"/>
        <w:jc w:val="both"/>
      </w:pPr>
    </w:p>
    <w:p w14:paraId="6DEAD243">
      <w:pPr>
        <w:spacing w:line="240" w:lineRule="auto"/>
        <w:ind w:firstLine="640"/>
        <w:jc w:val="both"/>
      </w:pPr>
    </w:p>
    <w:p w14:paraId="2921FE8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7F139E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953C2"/>
    <w:rsid w:val="1EAA4A5F"/>
    <w:rsid w:val="1F587A0B"/>
    <w:rsid w:val="2064678E"/>
    <w:rsid w:val="20BC0B75"/>
    <w:rsid w:val="20DD6197"/>
    <w:rsid w:val="21F317F2"/>
    <w:rsid w:val="2241392C"/>
    <w:rsid w:val="23BC04D2"/>
    <w:rsid w:val="25275618"/>
    <w:rsid w:val="27693823"/>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5899</Words>
  <Characters>6558</Characters>
  <Lines>0</Lines>
  <Paragraphs>0</Paragraphs>
  <TotalTime>0</TotalTime>
  <ScaleCrop>false</ScaleCrop>
  <LinksUpToDate>false</LinksUpToDate>
  <CharactersWithSpaces>6566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2025-12-05T05:44:48Z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eyJoZGlkIjoiN2E1ZDY0MDI5MTE3YjM0ZGMyMzg4N2EwMDI4ZjJiM2YiLCJ1c2VySWQiOiI0MzE2NzY3NzkifQ==</vt:lpwstr>
  </property>
</Properties>
</file>