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霍尔果斯市交通运输局</w:t>
      </w:r>
      <w:bookmarkEnd w:id="0"/>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CB1259">
      <w:r>
        <w:br w:type="page"/>
      </w:r>
    </w:p>
    <w:p w14:paraId="762B8F25">
      <w:pPr>
        <w:spacing w:line="640" w:lineRule="exact"/>
        <w:jc w:val="center"/>
        <w:outlineLvl w:val="1"/>
      </w:pPr>
      <w:r>
        <w:rPr>
          <w:rFonts w:ascii="黑体" w:hAnsi="黑体" w:eastAsia="黑体"/>
          <w:sz w:val="32"/>
        </w:rPr>
        <w:t>第一部分 单位概况</w:t>
      </w:r>
    </w:p>
    <w:p w14:paraId="09C9EB29">
      <w:pPr>
        <w:spacing w:line="640" w:lineRule="exact"/>
        <w:ind w:firstLine="640"/>
        <w:jc w:val="both"/>
        <w:outlineLvl w:val="2"/>
      </w:pPr>
      <w:r>
        <w:rPr>
          <w:rFonts w:ascii="黑体" w:hAnsi="黑体" w:eastAsia="黑体"/>
          <w:sz w:val="32"/>
        </w:rPr>
        <w:t>一、主要职能</w:t>
      </w:r>
    </w:p>
    <w:p w14:paraId="1B2791A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贯彻执行国家、自治区有关交通行业的方针、政策，编制并执行我市交通运输行业的规划方案。</w:t>
      </w:r>
    </w:p>
    <w:p w14:paraId="3AFF546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承担公路、运输站场监管责任，组织拟订并监督实施农村公路，运输站场等行业规划、政策和标准，负责交通运输执法检查和监督。</w:t>
      </w:r>
    </w:p>
    <w:p w14:paraId="2995362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负责农村公路项目、运输站场的指导、实施和检查验收工作。</w:t>
      </w:r>
    </w:p>
    <w:p w14:paraId="33DA361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负责收集、整理交通运输行业的信息，为乡村和群众提供科学的资料。</w:t>
      </w:r>
    </w:p>
    <w:p w14:paraId="10518A30">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依法监督和指导农村公路，客运站场政策的贯彻落实，维护群众干部的合法权益。</w:t>
      </w:r>
    </w:p>
    <w:p w14:paraId="6E9033DC">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承办市委、市政府交办的各项工作任务。</w:t>
      </w:r>
    </w:p>
    <w:p w14:paraId="7D649EAF">
      <w:pPr>
        <w:spacing w:line="640" w:lineRule="exact"/>
        <w:ind w:firstLine="640"/>
        <w:jc w:val="both"/>
        <w:outlineLvl w:val="2"/>
      </w:pPr>
      <w:r>
        <w:rPr>
          <w:rFonts w:ascii="黑体" w:hAnsi="黑体" w:eastAsia="黑体"/>
          <w:sz w:val="32"/>
        </w:rPr>
        <w:t>二、机构设置及人员情况</w:t>
      </w:r>
    </w:p>
    <w:p w14:paraId="5E4A27FE">
      <w:pPr>
        <w:spacing w:line="580" w:lineRule="exact"/>
        <w:ind w:firstLine="640"/>
        <w:jc w:val="both"/>
      </w:pPr>
      <w:r>
        <w:rPr>
          <w:rFonts w:ascii="仿宋_GB2312" w:hAnsi="仿宋_GB2312" w:eastAsia="仿宋_GB2312"/>
          <w:sz w:val="32"/>
        </w:rPr>
        <w:t>霍尔果斯市交通运输局2024年度，实有人数2人，其中：在职人员1人，减少1人；离休人员0人，增加0人；退休人员1人,增加0人。</w:t>
      </w:r>
    </w:p>
    <w:p w14:paraId="031BE5B6">
      <w:pPr>
        <w:spacing w:line="580" w:lineRule="exact"/>
        <w:ind w:firstLine="640"/>
        <w:jc w:val="both"/>
      </w:pPr>
      <w:r>
        <w:rPr>
          <w:rFonts w:ascii="仿宋_GB2312" w:hAnsi="仿宋_GB2312" w:eastAsia="仿宋_GB2312"/>
          <w:sz w:val="32"/>
        </w:rPr>
        <w:t>霍尔果斯市交通运输局无下属预算单位，下设3个科室，分别是：综合办公室、项目办公室、执法办公室。</w:t>
      </w:r>
    </w:p>
    <w:p w14:paraId="62C7D5FB">
      <w:r>
        <w:br w:type="page"/>
      </w:r>
    </w:p>
    <w:p w14:paraId="6FC23268">
      <w:pPr>
        <w:spacing w:line="240" w:lineRule="auto"/>
        <w:jc w:val="center"/>
        <w:outlineLvl w:val="1"/>
      </w:pPr>
      <w:r>
        <w:rPr>
          <w:rFonts w:ascii="黑体" w:hAnsi="黑体" w:eastAsia="黑体"/>
          <w:sz w:val="32"/>
        </w:rPr>
        <w:t>第二部分 部门决算情况说明</w:t>
      </w:r>
    </w:p>
    <w:p w14:paraId="46CEFAB9">
      <w:pPr>
        <w:spacing w:line="640" w:lineRule="exact"/>
        <w:ind w:firstLine="640"/>
        <w:jc w:val="both"/>
        <w:outlineLvl w:val="2"/>
      </w:pPr>
      <w:r>
        <w:rPr>
          <w:rFonts w:ascii="黑体" w:hAnsi="黑体" w:eastAsia="黑体"/>
          <w:sz w:val="32"/>
        </w:rPr>
        <w:t>一、收入支出决算总体情况说明</w:t>
      </w:r>
    </w:p>
    <w:p w14:paraId="6921B39D">
      <w:pPr>
        <w:spacing w:line="580" w:lineRule="exact"/>
        <w:ind w:firstLine="640"/>
        <w:jc w:val="both"/>
      </w:pPr>
      <w:r>
        <w:rPr>
          <w:rFonts w:ascii="仿宋_GB2312" w:hAnsi="仿宋_GB2312" w:eastAsia="仿宋_GB2312"/>
          <w:b/>
          <w:sz w:val="32"/>
        </w:rPr>
        <w:t>2024年度收入总计4,733.16万元，</w:t>
      </w:r>
      <w:r>
        <w:rPr>
          <w:rFonts w:ascii="仿宋_GB2312" w:hAnsi="仿宋_GB2312" w:eastAsia="仿宋_GB2312"/>
          <w:b w:val="0"/>
          <w:sz w:val="32"/>
        </w:rPr>
        <w:t>其中：本年收入合计4,732.41万元，使用非财政拨款结余（含专用结余）0.00万元，年初结转和结余0.75万元。</w:t>
      </w:r>
    </w:p>
    <w:p w14:paraId="585D4BE7">
      <w:pPr>
        <w:spacing w:line="580" w:lineRule="exact"/>
        <w:ind w:firstLine="640"/>
        <w:jc w:val="both"/>
      </w:pPr>
      <w:r>
        <w:rPr>
          <w:rFonts w:ascii="仿宋_GB2312" w:hAnsi="仿宋_GB2312" w:eastAsia="仿宋_GB2312"/>
          <w:b/>
          <w:sz w:val="32"/>
        </w:rPr>
        <w:t>2024年度支出总计4,733.16万元，</w:t>
      </w:r>
      <w:r>
        <w:rPr>
          <w:rFonts w:ascii="仿宋_GB2312" w:hAnsi="仿宋_GB2312" w:eastAsia="仿宋_GB2312"/>
          <w:b w:val="0"/>
          <w:sz w:val="32"/>
        </w:rPr>
        <w:t>其中：本年支出合计4,733.16万元，结余分配0.00万元，年末结转和结余0.00万元。</w:t>
      </w:r>
    </w:p>
    <w:p w14:paraId="70D83CAC">
      <w:pPr>
        <w:spacing w:line="580" w:lineRule="exact"/>
        <w:ind w:firstLine="640"/>
        <w:jc w:val="both"/>
      </w:pPr>
      <w:r>
        <w:rPr>
          <w:rFonts w:ascii="仿宋_GB2312" w:hAnsi="仿宋_GB2312" w:eastAsia="仿宋_GB2312"/>
          <w:b w:val="0"/>
          <w:sz w:val="32"/>
        </w:rPr>
        <w:t>收入支出总体与上年相比，增加2,162.98万元，增长84.16%，主要原因是：本年霍尔果斯市公交车政策性运营补贴、农村公路修复养护等项目资金较上年增加。本年增加G219线温泉至霍尔果斯公路工程（第二期）建设项目耕地开垦费、中欧班列枢纽集疏运连接线建设、大规模设备更新和消费品以旧换新等项目。</w:t>
      </w:r>
    </w:p>
    <w:p w14:paraId="0F7B4A15">
      <w:pPr>
        <w:spacing w:line="640" w:lineRule="exact"/>
        <w:ind w:firstLine="640"/>
        <w:jc w:val="both"/>
        <w:outlineLvl w:val="2"/>
      </w:pPr>
      <w:r>
        <w:rPr>
          <w:rFonts w:ascii="黑体" w:hAnsi="黑体" w:eastAsia="黑体"/>
          <w:sz w:val="32"/>
        </w:rPr>
        <w:t>二、收入决算情况说明</w:t>
      </w:r>
    </w:p>
    <w:p w14:paraId="4E00B230">
      <w:pPr>
        <w:spacing w:line="580" w:lineRule="exact"/>
        <w:ind w:firstLine="640"/>
        <w:jc w:val="both"/>
      </w:pPr>
      <w:r>
        <w:rPr>
          <w:rFonts w:ascii="仿宋_GB2312" w:hAnsi="仿宋_GB2312" w:eastAsia="仿宋_GB2312"/>
          <w:b/>
          <w:sz w:val="32"/>
        </w:rPr>
        <w:t>本年收入4,732.41万元，</w:t>
      </w:r>
      <w:r>
        <w:rPr>
          <w:rFonts w:ascii="仿宋_GB2312" w:hAnsi="仿宋_GB2312" w:eastAsia="仿宋_GB2312"/>
          <w:b w:val="0"/>
          <w:sz w:val="32"/>
        </w:rPr>
        <w:t>其中：财政拨款收入4,732.41万元，占100.00%；上级补助收入0.00万元，占0.00%；事业收入0.00万元，占0.00%；经营收入0.00万元，占0.00%；附属单位上缴收入0.00万元，占0.00%；其他收入0.00万元，占0.00%。</w:t>
      </w:r>
    </w:p>
    <w:p w14:paraId="0AD1AADE">
      <w:pPr>
        <w:spacing w:line="640" w:lineRule="exact"/>
        <w:ind w:firstLine="640"/>
        <w:jc w:val="both"/>
        <w:outlineLvl w:val="2"/>
      </w:pPr>
      <w:r>
        <w:rPr>
          <w:rFonts w:ascii="黑体" w:hAnsi="黑体" w:eastAsia="黑体"/>
          <w:sz w:val="32"/>
        </w:rPr>
        <w:t>三、支出决算情况说明</w:t>
      </w:r>
    </w:p>
    <w:p w14:paraId="31FCB771">
      <w:pPr>
        <w:spacing w:line="580" w:lineRule="exact"/>
        <w:ind w:firstLine="640"/>
        <w:jc w:val="both"/>
      </w:pPr>
      <w:r>
        <w:rPr>
          <w:rFonts w:ascii="仿宋_GB2312" w:hAnsi="仿宋_GB2312" w:eastAsia="仿宋_GB2312"/>
          <w:b/>
          <w:sz w:val="32"/>
        </w:rPr>
        <w:t>本年支出4,733.16万元，</w:t>
      </w:r>
      <w:r>
        <w:rPr>
          <w:rFonts w:ascii="仿宋_GB2312" w:hAnsi="仿宋_GB2312" w:eastAsia="仿宋_GB2312"/>
          <w:b w:val="0"/>
          <w:sz w:val="32"/>
        </w:rPr>
        <w:t>其中：基本支出274.84万元，占5.81%；项目支出4,458.31万元，占94.19%；上缴上级支出0.00万元，占0.00%；经营支出0.00万元，占0.00%；对附属单位补助支出0.00万元，占0.00%。</w:t>
      </w:r>
    </w:p>
    <w:p w14:paraId="589E5BAC">
      <w:pPr>
        <w:spacing w:line="640" w:lineRule="exact"/>
        <w:ind w:firstLine="640"/>
        <w:jc w:val="both"/>
        <w:outlineLvl w:val="2"/>
      </w:pPr>
      <w:r>
        <w:rPr>
          <w:rFonts w:ascii="黑体" w:hAnsi="黑体" w:eastAsia="黑体"/>
          <w:sz w:val="32"/>
        </w:rPr>
        <w:t>四、财政拨款收入支出决算总体情况说明</w:t>
      </w:r>
    </w:p>
    <w:p w14:paraId="54B6940D">
      <w:pPr>
        <w:spacing w:line="580" w:lineRule="exact"/>
        <w:ind w:firstLine="640"/>
        <w:jc w:val="both"/>
      </w:pPr>
      <w:r>
        <w:rPr>
          <w:rFonts w:ascii="仿宋_GB2312" w:hAnsi="仿宋_GB2312" w:eastAsia="仿宋_GB2312"/>
          <w:b/>
          <w:sz w:val="32"/>
        </w:rPr>
        <w:t>2024年度财政拨款收入总计4,732.41万元，</w:t>
      </w:r>
      <w:r>
        <w:rPr>
          <w:rFonts w:ascii="仿宋_GB2312" w:hAnsi="仿宋_GB2312" w:eastAsia="仿宋_GB2312"/>
          <w:b w:val="0"/>
          <w:sz w:val="32"/>
        </w:rPr>
        <w:t>其中：年初财政拨款结转和结余0.00万元，本年财政拨款收入4,732.41万元。</w:t>
      </w:r>
      <w:r>
        <w:rPr>
          <w:rFonts w:ascii="仿宋_GB2312" w:hAnsi="仿宋_GB2312" w:eastAsia="仿宋_GB2312"/>
          <w:b/>
          <w:sz w:val="32"/>
        </w:rPr>
        <w:t>财政拨款支出总计4,732.41万元，</w:t>
      </w:r>
      <w:r>
        <w:rPr>
          <w:rFonts w:ascii="仿宋_GB2312" w:hAnsi="仿宋_GB2312" w:eastAsia="仿宋_GB2312"/>
          <w:b w:val="0"/>
          <w:sz w:val="32"/>
        </w:rPr>
        <w:t>其中：年末财政拨款结转和结余0.00万元，本年财政拨款支出4,732.41万元。</w:t>
      </w:r>
    </w:p>
    <w:p w14:paraId="2DD521E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2,168.23万元，增长84.56%，主要原因是：本年霍尔果斯市公交车政策性运营补贴、农村公路修复养护等项目资金较上年增加。本年增加G219线温泉至霍尔果斯公路工程（第二期）建设项目耕地开垦费、中欧班列枢纽集疏运连接线建设、大规模设备更新和消费品以旧换新等项目。</w:t>
      </w:r>
      <w:r>
        <w:rPr>
          <w:rFonts w:ascii="仿宋_GB2312" w:hAnsi="仿宋_GB2312" w:eastAsia="仿宋_GB2312"/>
          <w:b/>
          <w:sz w:val="32"/>
        </w:rPr>
        <w:t>与年初预算相比，</w:t>
      </w:r>
      <w:r>
        <w:rPr>
          <w:rFonts w:ascii="仿宋_GB2312" w:hAnsi="仿宋_GB2312" w:eastAsia="仿宋_GB2312"/>
          <w:b w:val="0"/>
          <w:sz w:val="32"/>
        </w:rPr>
        <w:t>年初预算数1,070.91万元，决算数4,732.41万元，预决算差异率341.91%，主要原因是：年中追加霍尔果斯市公交车政策性运营补贴、农村公路修复养护、G219线温泉至霍尔果斯公路工程（第二期）建设项目耕地开垦费、中欧班列枢纽集疏运连接线建设、大规模设备更新和消费品以旧换新等项目资金，导致预决算存在差异。</w:t>
      </w:r>
    </w:p>
    <w:p w14:paraId="1C23F824">
      <w:pPr>
        <w:spacing w:line="640" w:lineRule="exact"/>
        <w:ind w:firstLine="640"/>
        <w:jc w:val="both"/>
        <w:outlineLvl w:val="2"/>
      </w:pPr>
      <w:r>
        <w:rPr>
          <w:rFonts w:ascii="黑体" w:hAnsi="黑体" w:eastAsia="黑体"/>
          <w:sz w:val="32"/>
        </w:rPr>
        <w:t>五、一般公共预算财政拨款支出决算情况说明</w:t>
      </w:r>
    </w:p>
    <w:p w14:paraId="75B0996B">
      <w:pPr>
        <w:spacing w:line="640" w:lineRule="exact"/>
        <w:ind w:firstLine="640"/>
        <w:jc w:val="both"/>
        <w:outlineLvl w:val="3"/>
      </w:pPr>
      <w:r>
        <w:rPr>
          <w:rFonts w:ascii="楷体_GB2312" w:hAnsi="楷体_GB2312" w:eastAsia="楷体_GB2312"/>
          <w:b/>
          <w:sz w:val="32"/>
        </w:rPr>
        <w:t>（一）一般公共预算财政拨款支出决算总体情况</w:t>
      </w:r>
    </w:p>
    <w:p w14:paraId="5B049B37">
      <w:pPr>
        <w:spacing w:line="580" w:lineRule="exact"/>
        <w:ind w:firstLine="640"/>
        <w:jc w:val="both"/>
      </w:pPr>
      <w:r>
        <w:rPr>
          <w:rFonts w:ascii="仿宋_GB2312" w:hAnsi="仿宋_GB2312" w:eastAsia="仿宋_GB2312"/>
          <w:b/>
          <w:sz w:val="32"/>
        </w:rPr>
        <w:t>2024年度一般公共预算财政拨款支出4,350.76万元，</w:t>
      </w:r>
      <w:r>
        <w:rPr>
          <w:rFonts w:ascii="仿宋_GB2312" w:hAnsi="仿宋_GB2312" w:eastAsia="仿宋_GB2312"/>
          <w:b w:val="0"/>
          <w:sz w:val="32"/>
        </w:rPr>
        <w:t>占本年支出合计的91.92%。</w:t>
      </w:r>
      <w:r>
        <w:rPr>
          <w:rFonts w:ascii="仿宋_GB2312" w:hAnsi="仿宋_GB2312" w:eastAsia="仿宋_GB2312"/>
          <w:b/>
          <w:sz w:val="32"/>
        </w:rPr>
        <w:t>与上年相比，</w:t>
      </w:r>
      <w:r>
        <w:rPr>
          <w:rFonts w:ascii="仿宋_GB2312" w:hAnsi="仿宋_GB2312" w:eastAsia="仿宋_GB2312"/>
          <w:b w:val="0"/>
          <w:sz w:val="32"/>
        </w:rPr>
        <w:t>增加1,786.58万元，增长69.67%，主要原因是：本年霍尔果斯市公交车政策性运营补贴、农村公路修复养护等项目资金较上年增加。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年初预算数1,070.91万元，决算数4,350.76万元，预决算差异率306.27%，主要原因是：年中追加霍尔果斯市公交车政策性运营补贴、农村公路修复养护等项目资金，导致预决算存在差异。</w:t>
      </w:r>
    </w:p>
    <w:p w14:paraId="44F07E05">
      <w:pPr>
        <w:spacing w:line="640" w:lineRule="exact"/>
        <w:ind w:firstLine="640"/>
        <w:jc w:val="both"/>
        <w:outlineLvl w:val="3"/>
      </w:pPr>
      <w:r>
        <w:rPr>
          <w:rFonts w:ascii="楷体_GB2312" w:hAnsi="楷体_GB2312" w:eastAsia="楷体_GB2312"/>
          <w:b/>
          <w:sz w:val="32"/>
        </w:rPr>
        <w:t>（二）一般公共预算财政拨款支出决算结构情况</w:t>
      </w:r>
    </w:p>
    <w:p w14:paraId="197AD6B1">
      <w:pPr>
        <w:spacing w:line="580" w:lineRule="exact"/>
        <w:ind w:firstLine="640"/>
        <w:jc w:val="both"/>
      </w:pPr>
      <w:r>
        <w:rPr>
          <w:rFonts w:ascii="仿宋_GB2312" w:hAnsi="仿宋_GB2312" w:eastAsia="仿宋_GB2312"/>
          <w:b w:val="0"/>
          <w:sz w:val="32"/>
        </w:rPr>
        <w:t>1.社会保障和就业支出(类)38.81万元,占0.89%。</w:t>
      </w:r>
    </w:p>
    <w:p w14:paraId="3F931C09">
      <w:pPr>
        <w:spacing w:line="580" w:lineRule="exact"/>
        <w:ind w:firstLine="640"/>
        <w:jc w:val="both"/>
      </w:pPr>
      <w:r>
        <w:rPr>
          <w:rFonts w:ascii="仿宋_GB2312" w:hAnsi="仿宋_GB2312" w:eastAsia="仿宋_GB2312"/>
          <w:b w:val="0"/>
          <w:sz w:val="32"/>
        </w:rPr>
        <w:t>2.城乡社区支出(类)283.62万元,占6.52%。</w:t>
      </w:r>
    </w:p>
    <w:p w14:paraId="09E1B290">
      <w:pPr>
        <w:spacing w:line="580" w:lineRule="exact"/>
        <w:ind w:firstLine="640"/>
        <w:jc w:val="both"/>
      </w:pPr>
      <w:r>
        <w:rPr>
          <w:rFonts w:ascii="仿宋_GB2312" w:hAnsi="仿宋_GB2312" w:eastAsia="仿宋_GB2312"/>
          <w:b w:val="0"/>
          <w:sz w:val="32"/>
        </w:rPr>
        <w:t>3.农林水支出(类)150.00万元,占3.45%。</w:t>
      </w:r>
    </w:p>
    <w:p w14:paraId="516AFAF8">
      <w:pPr>
        <w:spacing w:line="580" w:lineRule="exact"/>
        <w:ind w:firstLine="640"/>
        <w:jc w:val="both"/>
      </w:pPr>
      <w:r>
        <w:rPr>
          <w:rFonts w:ascii="仿宋_GB2312" w:hAnsi="仿宋_GB2312" w:eastAsia="仿宋_GB2312"/>
          <w:b w:val="0"/>
          <w:sz w:val="32"/>
        </w:rPr>
        <w:t>4.交通运输支出(类)3,858.17万元,占88.68%。</w:t>
      </w:r>
    </w:p>
    <w:p w14:paraId="34B07C3E">
      <w:pPr>
        <w:spacing w:line="580" w:lineRule="exact"/>
        <w:ind w:firstLine="640"/>
        <w:jc w:val="both"/>
      </w:pPr>
      <w:r>
        <w:rPr>
          <w:rFonts w:ascii="仿宋_GB2312" w:hAnsi="仿宋_GB2312" w:eastAsia="仿宋_GB2312"/>
          <w:b w:val="0"/>
          <w:sz w:val="32"/>
        </w:rPr>
        <w:t>5.住房保障支出(类)20.15万元,占0.46%。</w:t>
      </w:r>
    </w:p>
    <w:p w14:paraId="72F747F9">
      <w:pPr>
        <w:spacing w:line="640" w:lineRule="exact"/>
        <w:ind w:firstLine="640"/>
        <w:jc w:val="both"/>
        <w:outlineLvl w:val="3"/>
      </w:pPr>
      <w:r>
        <w:rPr>
          <w:rFonts w:ascii="楷体_GB2312" w:hAnsi="楷体_GB2312" w:eastAsia="楷体_GB2312"/>
          <w:b/>
          <w:sz w:val="32"/>
        </w:rPr>
        <w:t>（三）一般公共预算财政拨款支出决算具体情况</w:t>
      </w:r>
    </w:p>
    <w:p w14:paraId="7CCB7F9B">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1.社会保障和就业支出(类)行政事业单位养老支出(款)行政单位离退休(项):支出决算数为0.65万元，比上年决算增加0.65万元，增长100.00%,主要原因是：本年增加退休人员基础绩效奖，退休费支出增加。</w:t>
      </w:r>
    </w:p>
    <w:p w14:paraId="1A43C89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26.24万元，比上年决算减少0.04万元，下降0.15%,主要原因是：本年在职人员减少，单位基本养老保险缴费较上年减少。</w:t>
      </w:r>
    </w:p>
    <w:p w14:paraId="4C396BCC">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11.91万元，比上年决算增加11.91万元，增长100.00%,主要原因是：本年功能科目调整，机关事业单位职业年金缴费上年度在主科目列支，本年单独列支，导致经费较上年增加。</w:t>
      </w:r>
    </w:p>
    <w:p w14:paraId="79FD52C0">
      <w:pPr>
        <w:spacing w:line="580" w:lineRule="exact"/>
        <w:ind w:firstLine="640"/>
        <w:jc w:val="both"/>
      </w:pPr>
      <w:r>
        <w:rPr>
          <w:rFonts w:ascii="仿宋_GB2312" w:hAnsi="仿宋_GB2312" w:eastAsia="仿宋_GB2312"/>
          <w:b w:val="0"/>
          <w:sz w:val="32"/>
        </w:rPr>
        <w:t>4.城乡社区支出(类)城乡社区公共设施(款)其他城乡社区公共设施支出(项):支出决算数为283.62万元，比上年决算增加283.62万元，增长100.00%,主要原因是：本年霍尔果斯市公交车政策性运营补贴、农村公路修复养护等项目资金较上年增加。</w:t>
      </w:r>
    </w:p>
    <w:p w14:paraId="550C0CCE">
      <w:pPr>
        <w:spacing w:line="580" w:lineRule="exact"/>
        <w:ind w:firstLine="640"/>
        <w:jc w:val="both"/>
      </w:pPr>
      <w:r>
        <w:rPr>
          <w:rFonts w:ascii="仿宋_GB2312" w:hAnsi="仿宋_GB2312" w:eastAsia="仿宋_GB2312"/>
          <w:b w:val="0"/>
          <w:sz w:val="32"/>
        </w:rPr>
        <w:t>5.农林水支出(类)巩固脱贫攻坚成果衔接乡村振兴(款)农村基础设施建设(项):支出决算数为150.00万元，比上年决算增加150.00万元，增长100.00%,主要原因是：本年度霍尔果斯市2024年第一批农村道路建设项目资金增加。</w:t>
      </w:r>
    </w:p>
    <w:p w14:paraId="037F09C8">
      <w:pPr>
        <w:spacing w:line="580" w:lineRule="exact"/>
        <w:ind w:firstLine="640"/>
        <w:jc w:val="both"/>
      </w:pPr>
      <w:r>
        <w:rPr>
          <w:rFonts w:ascii="仿宋_GB2312" w:hAnsi="仿宋_GB2312" w:eastAsia="仿宋_GB2312"/>
          <w:b w:val="0"/>
          <w:sz w:val="32"/>
        </w:rPr>
        <w:t>6.交通运输支出(类)公路水路运输(款)行政运行(项):支出决算数为215.88万元，比上年决算减少16.76万元，下降7.20%,主要原因是：本年在职人员减少，相应人员经费较上年减少。本年功能科目调整，机关事业单位职业年金缴费上年度在主科目列支，本年单独列支，导致行政运行经费较上年减少。</w:t>
      </w:r>
    </w:p>
    <w:p w14:paraId="733E155A">
      <w:pPr>
        <w:spacing w:line="580" w:lineRule="exact"/>
        <w:ind w:firstLine="640"/>
        <w:jc w:val="both"/>
      </w:pPr>
      <w:r>
        <w:rPr>
          <w:rFonts w:ascii="仿宋_GB2312" w:hAnsi="仿宋_GB2312" w:eastAsia="仿宋_GB2312"/>
          <w:b w:val="0"/>
          <w:sz w:val="32"/>
        </w:rPr>
        <w:t>7.交通运输支出(类)公路水路运输(款)一般行政管理事务(项):支出决算数为2,445.99万元，比上年决算增加1,896.58万元，增长345.20%,主要原因是：本年度新增中欧跨里海直达快运发车仪式、G219线温泉至霍尔果斯公路建设项目林地草原补偿费等项目资金。</w:t>
      </w:r>
    </w:p>
    <w:p w14:paraId="5702221C">
      <w:pPr>
        <w:spacing w:line="580" w:lineRule="exact"/>
        <w:ind w:firstLine="640"/>
        <w:jc w:val="both"/>
      </w:pPr>
      <w:r>
        <w:rPr>
          <w:rFonts w:ascii="仿宋_GB2312" w:hAnsi="仿宋_GB2312" w:eastAsia="仿宋_GB2312"/>
          <w:b w:val="0"/>
          <w:sz w:val="32"/>
        </w:rPr>
        <w:t>8.交通运输支出(类)公路水路运输(款)公路建设(项):支出决算数为727.09万元，比上年决算增加727.09万元，增长100.00%,主要原因是：本年度新增2024年车辆购置税收入补助地方（第二批）用于普通省道及农村公路建设以奖代补等项目资金。</w:t>
      </w:r>
    </w:p>
    <w:p w14:paraId="2D0E3B74">
      <w:pPr>
        <w:spacing w:line="580" w:lineRule="exact"/>
        <w:ind w:firstLine="640"/>
        <w:jc w:val="both"/>
      </w:pPr>
      <w:r>
        <w:rPr>
          <w:rFonts w:ascii="仿宋_GB2312" w:hAnsi="仿宋_GB2312" w:eastAsia="仿宋_GB2312"/>
          <w:b w:val="0"/>
          <w:sz w:val="32"/>
        </w:rPr>
        <w:t>9.交通运输支出(类)公路水路运输(款)公路养护(项):支出决算数为70.00万元，比上年决算减少290.00万元，下降80.56%,主要原因是：本年度政府还贷二级公路取消收费后补助项目资金较上年减少。</w:t>
      </w:r>
    </w:p>
    <w:p w14:paraId="33D223F3">
      <w:pPr>
        <w:spacing w:line="580" w:lineRule="exact"/>
        <w:ind w:firstLine="640"/>
        <w:jc w:val="both"/>
      </w:pPr>
      <w:r>
        <w:rPr>
          <w:rFonts w:ascii="仿宋_GB2312" w:hAnsi="仿宋_GB2312" w:eastAsia="仿宋_GB2312"/>
          <w:b w:val="0"/>
          <w:sz w:val="32"/>
        </w:rPr>
        <w:t>10.交通运输支出(类)车辆购置税支出(款)车辆购置税用于公路等基础设施建设支出(项):支出决算数为0.00万元，比上年决算减少600.99万元，下降100.00%,主要原因是：本年度霍尔果斯市东河坝大桥建设、伊车嘎善乡柳树渠村建设等项目资金减少。</w:t>
      </w:r>
    </w:p>
    <w:p w14:paraId="557AFDF2">
      <w:pPr>
        <w:spacing w:line="580" w:lineRule="exact"/>
        <w:ind w:firstLine="640"/>
        <w:jc w:val="both"/>
      </w:pPr>
      <w:r>
        <w:rPr>
          <w:rFonts w:ascii="仿宋_GB2312" w:hAnsi="仿宋_GB2312" w:eastAsia="仿宋_GB2312"/>
          <w:b w:val="0"/>
          <w:sz w:val="32"/>
        </w:rPr>
        <w:t>11.交通运输支出(类)车辆购置税支出(款)车辆购置税用于农村公路建设支出(项):支出决算数为0.00万元，比上年决算减少660.00万元，下降100.00%,主要原因是：本年度2023年霍尔果斯市第一批农村公路及安全生命防护工程建设项目减少。</w:t>
      </w:r>
    </w:p>
    <w:p w14:paraId="53BD8E9C">
      <w:pPr>
        <w:spacing w:line="580" w:lineRule="exact"/>
        <w:ind w:firstLine="640"/>
        <w:jc w:val="both"/>
      </w:pPr>
      <w:r>
        <w:rPr>
          <w:rFonts w:ascii="仿宋_GB2312" w:hAnsi="仿宋_GB2312" w:eastAsia="仿宋_GB2312"/>
          <w:b w:val="0"/>
          <w:sz w:val="32"/>
        </w:rPr>
        <w:t>12.交通运输支出(类)其他交通运输支出(款)公共交通运营补助(项):支出决算数为299.21万元，比上年决算增加299.21万元，增长100.00%,主要原因是：本年度</w:t>
      </w:r>
      <w:r>
        <w:rPr>
          <w:rFonts w:hint="eastAsia" w:ascii="仿宋_GB2312" w:hAnsi="仿宋_GB2312" w:eastAsia="仿宋_GB2312"/>
          <w:b w:val="0"/>
          <w:sz w:val="32"/>
          <w:lang w:val="en-US" w:eastAsia="zh-CN"/>
        </w:rPr>
        <w:t>新增此科目，增加</w:t>
      </w:r>
      <w:r>
        <w:rPr>
          <w:rFonts w:ascii="仿宋_GB2312" w:hAnsi="仿宋_GB2312" w:eastAsia="仿宋_GB2312"/>
          <w:b w:val="0"/>
          <w:sz w:val="32"/>
        </w:rPr>
        <w:t>农村客运补贴资金及城市交通发展奖励资金</w:t>
      </w:r>
      <w:r>
        <w:rPr>
          <w:rFonts w:hint="eastAsia" w:ascii="仿宋_GB2312" w:hAnsi="仿宋_GB2312" w:eastAsia="仿宋_GB2312"/>
          <w:b w:val="0"/>
          <w:sz w:val="32"/>
          <w:lang w:eastAsia="zh-CN"/>
        </w:rPr>
        <w:t>、霍尔果斯市伊车嘎善锡伯乡村庄道路建设项目</w:t>
      </w:r>
      <w:r>
        <w:rPr>
          <w:rFonts w:ascii="仿宋_GB2312" w:hAnsi="仿宋_GB2312" w:eastAsia="仿宋_GB2312"/>
          <w:b w:val="0"/>
          <w:sz w:val="32"/>
        </w:rPr>
        <w:t>。</w:t>
      </w:r>
    </w:p>
    <w:p w14:paraId="64984009">
      <w:pPr>
        <w:spacing w:line="580" w:lineRule="exact"/>
        <w:ind w:firstLine="640"/>
        <w:jc w:val="both"/>
      </w:pPr>
      <w:r>
        <w:rPr>
          <w:rFonts w:ascii="仿宋_GB2312" w:hAnsi="仿宋_GB2312" w:eastAsia="仿宋_GB2312"/>
          <w:b w:val="0"/>
          <w:sz w:val="32"/>
        </w:rPr>
        <w:t>13.交通运输支出(类)其他交通运输支出(款)其他交通运输支出(项):支出决算数为100.00万元，比上年决算减少14.70万元，下降12.82%,主要原因是：本年度</w:t>
      </w:r>
      <w:r>
        <w:rPr>
          <w:rFonts w:hint="eastAsia" w:ascii="仿宋_GB2312" w:hAnsi="仿宋_GB2312" w:eastAsia="仿宋_GB2312"/>
          <w:b w:val="0"/>
          <w:sz w:val="32"/>
          <w:lang w:val="en-US" w:eastAsia="zh-CN"/>
        </w:rPr>
        <w:t>此科目下达的</w:t>
      </w:r>
      <w:r>
        <w:rPr>
          <w:rFonts w:ascii="仿宋_GB2312" w:hAnsi="仿宋_GB2312" w:eastAsia="仿宋_GB2312"/>
          <w:b w:val="0"/>
          <w:sz w:val="32"/>
        </w:rPr>
        <w:t>农村客运补贴资金及城市交通发展奖励资金较上年减少。</w:t>
      </w:r>
    </w:p>
    <w:p w14:paraId="0E005785">
      <w:pPr>
        <w:spacing w:line="580" w:lineRule="exact"/>
        <w:ind w:firstLine="640"/>
        <w:jc w:val="both"/>
      </w:pPr>
      <w:r>
        <w:rPr>
          <w:rFonts w:ascii="仿宋_GB2312" w:hAnsi="仿宋_GB2312" w:eastAsia="仿宋_GB2312"/>
          <w:b w:val="0"/>
          <w:sz w:val="32"/>
        </w:rPr>
        <w:t>14.住房保障支出(类)住房改革支出(款)住房公积金(项):支出决算数为20.15万元，比上年决算减少0.03万元，下降0.15%,主要原因是：本年在职人员减少，住房公积金缴费较上年减少。</w:t>
      </w:r>
    </w:p>
    <w:p w14:paraId="378F7236">
      <w:pPr>
        <w:spacing w:line="640" w:lineRule="exact"/>
        <w:ind w:firstLine="640"/>
        <w:jc w:val="both"/>
        <w:outlineLvl w:val="2"/>
      </w:pPr>
      <w:r>
        <w:rPr>
          <w:rFonts w:ascii="黑体" w:hAnsi="黑体" w:eastAsia="黑体"/>
          <w:sz w:val="32"/>
        </w:rPr>
        <w:t>六、一般公共预算财政拨款基本支出决算情况说明</w:t>
      </w:r>
    </w:p>
    <w:p w14:paraId="05571A33">
      <w:pPr>
        <w:spacing w:line="580" w:lineRule="exact"/>
        <w:ind w:firstLine="640"/>
        <w:jc w:val="both"/>
      </w:pPr>
      <w:r>
        <w:rPr>
          <w:rFonts w:ascii="仿宋_GB2312" w:hAnsi="仿宋_GB2312" w:eastAsia="仿宋_GB2312"/>
          <w:b w:val="0"/>
          <w:sz w:val="32"/>
        </w:rPr>
        <w:t>2024年度一般公共预算财政拨款基本支出274.84万元，其中：</w:t>
      </w:r>
      <w:r>
        <w:rPr>
          <w:rFonts w:ascii="仿宋_GB2312" w:hAnsi="仿宋_GB2312" w:eastAsia="仿宋_GB2312"/>
          <w:b/>
          <w:sz w:val="32"/>
        </w:rPr>
        <w:t>人员经费261.83万元，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w:t>
      </w:r>
    </w:p>
    <w:p w14:paraId="27500A9B">
      <w:pPr>
        <w:spacing w:line="580" w:lineRule="exact"/>
        <w:ind w:firstLine="640"/>
        <w:jc w:val="both"/>
      </w:pPr>
      <w:r>
        <w:rPr>
          <w:rFonts w:ascii="仿宋_GB2312" w:hAnsi="仿宋_GB2312" w:eastAsia="仿宋_GB2312"/>
          <w:b/>
          <w:sz w:val="32"/>
        </w:rPr>
        <w:t>公用经费13.02万元，</w:t>
      </w:r>
      <w:r>
        <w:rPr>
          <w:rFonts w:ascii="仿宋_GB2312" w:hAnsi="仿宋_GB2312" w:eastAsia="仿宋_GB2312"/>
          <w:b w:val="0"/>
          <w:sz w:val="32"/>
        </w:rPr>
        <w:t>包括：办公费、电费、邮电费、差旅费、工会经费、其他交通费用、税金及附加费用。</w:t>
      </w:r>
    </w:p>
    <w:p w14:paraId="2C6EB6D2">
      <w:pPr>
        <w:spacing w:line="640" w:lineRule="exact"/>
        <w:ind w:firstLine="640"/>
        <w:jc w:val="both"/>
        <w:outlineLvl w:val="2"/>
      </w:pPr>
      <w:r>
        <w:rPr>
          <w:rFonts w:ascii="黑体" w:hAnsi="黑体" w:eastAsia="黑体"/>
          <w:sz w:val="32"/>
        </w:rPr>
        <w:t>七、政府性基金预算财政拨款收入支出决算情况说明</w:t>
      </w:r>
    </w:p>
    <w:p w14:paraId="04B2205C">
      <w:pPr>
        <w:spacing w:line="580" w:lineRule="exact"/>
        <w:ind w:firstLine="640"/>
        <w:jc w:val="both"/>
      </w:pPr>
      <w:r>
        <w:rPr>
          <w:rFonts w:ascii="仿宋_GB2312" w:hAnsi="仿宋_GB2312" w:eastAsia="仿宋_GB2312"/>
          <w:b/>
          <w:sz w:val="32"/>
        </w:rPr>
        <w:t>2024年度政府性基金预算财政拨款收入总计381.65万元，</w:t>
      </w:r>
      <w:r>
        <w:rPr>
          <w:rFonts w:ascii="仿宋_GB2312" w:hAnsi="仿宋_GB2312" w:eastAsia="仿宋_GB2312"/>
          <w:b w:val="0"/>
          <w:sz w:val="32"/>
        </w:rPr>
        <w:t>其中：年初结转和结余0.00万元，本年收入381.65万元。</w:t>
      </w:r>
      <w:r>
        <w:rPr>
          <w:rFonts w:ascii="仿宋_GB2312" w:hAnsi="仿宋_GB2312" w:eastAsia="仿宋_GB2312"/>
          <w:b/>
          <w:sz w:val="32"/>
        </w:rPr>
        <w:t>政府性基金预算财政拨款支出总计381.65万元，</w:t>
      </w:r>
      <w:r>
        <w:rPr>
          <w:rFonts w:ascii="仿宋_GB2312" w:hAnsi="仿宋_GB2312" w:eastAsia="仿宋_GB2312"/>
          <w:b w:val="0"/>
          <w:sz w:val="32"/>
        </w:rPr>
        <w:t>其中：年末结转和结余0.00万元，本年支出381.65万元。</w:t>
      </w:r>
    </w:p>
    <w:p w14:paraId="4927D08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增加381.65万元，增长100.00%，主要原因是：本年增加G219线温泉至霍尔果斯公路工程（第二期）建设项目耕地开垦费、中欧班列枢纽集疏运连接线建设、大规模设备更新和消费品以旧换新等项目。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381.65万元，预决算差异率100.00%，主要原因是：年中追加G219线温泉至霍尔果斯公路工程（第二期）建设项目耕地开垦费、中欧班列枢纽集疏运连接线建设、大规模设备更新和消费品以旧换新等项目，导致预决算存在差异。</w:t>
      </w:r>
    </w:p>
    <w:p w14:paraId="7E0D875B">
      <w:pPr>
        <w:spacing w:line="580" w:lineRule="exact"/>
        <w:ind w:firstLine="640"/>
        <w:jc w:val="both"/>
      </w:pPr>
      <w:r>
        <w:rPr>
          <w:rFonts w:ascii="仿宋_GB2312" w:hAnsi="仿宋_GB2312" w:eastAsia="仿宋_GB2312"/>
          <w:b w:val="0"/>
          <w:sz w:val="32"/>
        </w:rPr>
        <w:t>政府性基金预算财政拨款支出381.65万元。</w:t>
      </w:r>
    </w:p>
    <w:p w14:paraId="4CF6F181">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8.91万元，比上年决算增加8.91万元，增长100.00%,主要原因是：本年度增加G219线温泉至霍尔果斯公路工程（第二期）建设项目耕地开垦费项目资金。</w:t>
      </w:r>
    </w:p>
    <w:p w14:paraId="0279F095">
      <w:pPr>
        <w:spacing w:line="580" w:lineRule="exact"/>
        <w:ind w:firstLine="640"/>
        <w:jc w:val="both"/>
      </w:pPr>
      <w:r>
        <w:rPr>
          <w:rFonts w:ascii="仿宋_GB2312" w:hAnsi="仿宋_GB2312" w:eastAsia="仿宋_GB2312"/>
          <w:b w:val="0"/>
          <w:sz w:val="32"/>
        </w:rPr>
        <w:t>2.交通运输支出(类)超长期特别国债安排的支出(款)其他交通运输支出(项):支出决算数为233.94万元，比上年决算增加233.94万元，增长100.00%,主要原因是：本年增加中欧班列枢纽集疏运连接线建设项目资金。</w:t>
      </w:r>
    </w:p>
    <w:p w14:paraId="7D65E75C">
      <w:pPr>
        <w:spacing w:line="580" w:lineRule="exact"/>
        <w:ind w:firstLine="640"/>
        <w:jc w:val="both"/>
      </w:pPr>
      <w:r>
        <w:rPr>
          <w:rFonts w:ascii="仿宋_GB2312" w:hAnsi="仿宋_GB2312" w:eastAsia="仿宋_GB2312"/>
          <w:b w:val="0"/>
          <w:sz w:val="32"/>
        </w:rPr>
        <w:t>3.资源勘探工业信息等支出(类)超长期特别国债安排的支出(款)制造业(项):支出决算数为138.80万元，比上年决算增加138.80万元，增长100.00%,主要原因是：本年增加大规模设备更新和消费品以旧换新项目资金。</w:t>
      </w:r>
    </w:p>
    <w:p w14:paraId="0E848421">
      <w:pPr>
        <w:spacing w:line="640" w:lineRule="exact"/>
        <w:ind w:firstLine="640"/>
        <w:jc w:val="both"/>
        <w:outlineLvl w:val="2"/>
      </w:pPr>
      <w:r>
        <w:rPr>
          <w:rFonts w:ascii="黑体" w:hAnsi="黑体" w:eastAsia="黑体"/>
          <w:sz w:val="32"/>
        </w:rPr>
        <w:t>八、国有资本经营预算财政拨款收入支出决算情况说明</w:t>
      </w:r>
    </w:p>
    <w:p w14:paraId="0B5B2C9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D8AD94E">
      <w:pPr>
        <w:spacing w:line="640" w:lineRule="exact"/>
        <w:ind w:firstLine="640"/>
        <w:jc w:val="both"/>
        <w:outlineLvl w:val="2"/>
      </w:pPr>
      <w:r>
        <w:rPr>
          <w:rFonts w:ascii="黑体" w:hAnsi="黑体" w:eastAsia="黑体"/>
          <w:sz w:val="32"/>
        </w:rPr>
        <w:t>九、财政拨款“三公”经费支出决算情况说明</w:t>
      </w:r>
    </w:p>
    <w:p w14:paraId="2C5417C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DBEB57">
      <w:pPr>
        <w:spacing w:line="580" w:lineRule="exact"/>
        <w:ind w:firstLine="640"/>
        <w:jc w:val="both"/>
      </w:pPr>
      <w:r>
        <w:rPr>
          <w:rFonts w:ascii="仿宋_GB2312" w:hAnsi="仿宋_GB2312" w:eastAsia="仿宋_GB2312"/>
          <w:b/>
          <w:sz w:val="32"/>
        </w:rPr>
        <w:t>具体情况如下：</w:t>
      </w:r>
    </w:p>
    <w:p w14:paraId="00CD739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046D7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93CE32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9B05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4903B7">
      <w:pPr>
        <w:spacing w:line="640" w:lineRule="exact"/>
        <w:ind w:firstLine="640"/>
        <w:jc w:val="both"/>
        <w:outlineLvl w:val="2"/>
      </w:pPr>
      <w:r>
        <w:rPr>
          <w:rFonts w:ascii="黑体" w:hAnsi="黑体" w:eastAsia="黑体"/>
          <w:sz w:val="32"/>
        </w:rPr>
        <w:t>十、其他重要事项的情况说明</w:t>
      </w:r>
    </w:p>
    <w:p w14:paraId="49F513FF">
      <w:pPr>
        <w:spacing w:line="640" w:lineRule="exact"/>
        <w:ind w:firstLine="640"/>
        <w:jc w:val="both"/>
        <w:outlineLvl w:val="3"/>
      </w:pPr>
      <w:r>
        <w:rPr>
          <w:rFonts w:ascii="楷体_GB2312" w:hAnsi="楷体_GB2312" w:eastAsia="楷体_GB2312"/>
          <w:b/>
          <w:sz w:val="32"/>
        </w:rPr>
        <w:t>（一）机关运行经费及公用经费支出情况</w:t>
      </w:r>
    </w:p>
    <w:p w14:paraId="3CD54019">
      <w:pPr>
        <w:spacing w:line="580" w:lineRule="exact"/>
        <w:ind w:firstLine="640"/>
        <w:jc w:val="both"/>
      </w:pPr>
      <w:r>
        <w:rPr>
          <w:rFonts w:ascii="仿宋_GB2312" w:hAnsi="仿宋_GB2312" w:eastAsia="仿宋_GB2312"/>
          <w:b w:val="0"/>
          <w:sz w:val="32"/>
        </w:rPr>
        <w:t>2024年度霍尔果斯市交通运输局（行政单位和参照公务员法管理事业单位）机关运行经费支出13.02万元，比上年减少2.37万元，下降15.40%，主要原因是：本年度在职人员减少，工会经费、福利费较上年减少，机关运行经费支出较上年减少。</w:t>
      </w:r>
    </w:p>
    <w:p w14:paraId="32C30E3B">
      <w:pPr>
        <w:spacing w:line="640" w:lineRule="exact"/>
        <w:ind w:firstLine="640"/>
        <w:jc w:val="both"/>
        <w:outlineLvl w:val="3"/>
      </w:pPr>
      <w:r>
        <w:rPr>
          <w:rFonts w:ascii="楷体_GB2312" w:hAnsi="楷体_GB2312" w:eastAsia="楷体_GB2312"/>
          <w:b/>
          <w:sz w:val="32"/>
        </w:rPr>
        <w:t>（二）政府采购情况</w:t>
      </w:r>
    </w:p>
    <w:p w14:paraId="1D35C80E">
      <w:pPr>
        <w:spacing w:line="580" w:lineRule="exact"/>
        <w:ind w:firstLine="640"/>
        <w:jc w:val="both"/>
      </w:pPr>
      <w:r>
        <w:rPr>
          <w:rFonts w:ascii="仿宋_GB2312" w:hAnsi="仿宋_GB2312" w:eastAsia="仿宋_GB2312"/>
          <w:b w:val="0"/>
          <w:sz w:val="32"/>
        </w:rPr>
        <w:t>2024年度政府采购支出总额48.08万元，其中：政府采购货物支出2.34万元、政府采购工程支出0.00万元、政府采购服务支出45.74万元。</w:t>
      </w:r>
    </w:p>
    <w:p w14:paraId="094A9E8B">
      <w:pPr>
        <w:spacing w:line="580" w:lineRule="exact"/>
        <w:ind w:firstLine="640"/>
        <w:jc w:val="both"/>
      </w:pPr>
      <w:r>
        <w:rPr>
          <w:rFonts w:ascii="仿宋_GB2312" w:hAnsi="仿宋_GB2312" w:eastAsia="仿宋_GB2312"/>
          <w:b w:val="0"/>
          <w:sz w:val="32"/>
        </w:rPr>
        <w:t>授予中小企业合同金额48.06万元，占政府采购支出总额的99.96%，其中：授予小微企业合同金额26.74万元，占政府采购支出总额的55.62%。</w:t>
      </w:r>
    </w:p>
    <w:p w14:paraId="04D97AAF">
      <w:pPr>
        <w:spacing w:line="640" w:lineRule="exact"/>
        <w:ind w:firstLine="640"/>
        <w:jc w:val="both"/>
        <w:outlineLvl w:val="3"/>
      </w:pPr>
      <w:r>
        <w:rPr>
          <w:rFonts w:ascii="楷体_GB2312" w:hAnsi="楷体_GB2312" w:eastAsia="楷体_GB2312"/>
          <w:b/>
          <w:sz w:val="32"/>
        </w:rPr>
        <w:t>（三）国有资产占用情况说明</w:t>
      </w:r>
    </w:p>
    <w:p w14:paraId="04B060F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A9C2BDD">
      <w:pPr>
        <w:spacing w:line="640" w:lineRule="exact"/>
        <w:ind w:firstLine="640"/>
        <w:jc w:val="both"/>
        <w:outlineLvl w:val="2"/>
      </w:pPr>
      <w:r>
        <w:rPr>
          <w:rFonts w:ascii="黑体" w:hAnsi="黑体" w:eastAsia="黑体"/>
          <w:sz w:val="32"/>
        </w:rPr>
        <w:t>十一、预算绩效的情况说明</w:t>
      </w:r>
    </w:p>
    <w:p w14:paraId="0C7B0AA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4,733.16万元，实际执行总额4,733.16万元；预算绩效评价项目11个，全年预算数1,156.98万元，全年执行数1,045.24万元。预算绩效管理取得的成效：一是本项目的绩效目标按照产出、效益和满意度构建绩效评价指标，且具有明确性、可衡量性、可实现性、相关性和时限性等特点，能较为全面地反映本项目的产出和效益；二是可通过数量指标、质量指标、时效指标和成本指标予以量化，并具有确切的评价标准，且指标设定均与目标相关。发现的问题及原因：一是需加强绩效管理观念；二是项目管理人员需提高业务水平。下一步改进措施：一是加强绩效管理观念，根据评价结果改进工作；二是进一步加强对项目管理人员技能的培训，多组织举办理论知识培训班。具体附整体支出绩效自评表，项目支出绩效自评表。</w:t>
      </w:r>
    </w:p>
    <w:p w14:paraId="66B9ACB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990CF87">
        <w:tblPrEx>
          <w:tblCellMar>
            <w:top w:w="0" w:type="dxa"/>
            <w:left w:w="108" w:type="dxa"/>
            <w:bottom w:w="0" w:type="dxa"/>
            <w:right w:w="108" w:type="dxa"/>
          </w:tblCellMar>
        </w:tblPrEx>
        <w:tc>
          <w:tcPr>
            <w:tcW w:w="8840" w:type="dxa"/>
            <w:gridSpan w:val="8"/>
            <w:vAlign w:val="center"/>
          </w:tcPr>
          <w:p w14:paraId="58B7E765">
            <w:pPr>
              <w:jc w:val="center"/>
            </w:pPr>
            <w:r>
              <w:rPr>
                <w:rFonts w:ascii="宋体" w:hAnsi="宋体" w:eastAsia="宋体"/>
                <w:sz w:val="24"/>
              </w:rPr>
              <w:t>单位整体支出绩效自评表</w:t>
            </w:r>
          </w:p>
        </w:tc>
      </w:tr>
      <w:tr w14:paraId="708E929B">
        <w:tblPrEx>
          <w:tblCellMar>
            <w:top w:w="0" w:type="dxa"/>
            <w:left w:w="108" w:type="dxa"/>
            <w:bottom w:w="0" w:type="dxa"/>
            <w:right w:w="108" w:type="dxa"/>
          </w:tblCellMar>
        </w:tblPrEx>
        <w:tc>
          <w:tcPr>
            <w:tcW w:w="8840" w:type="dxa"/>
            <w:gridSpan w:val="8"/>
            <w:vAlign w:val="center"/>
          </w:tcPr>
          <w:p w14:paraId="54C66F0B">
            <w:pPr>
              <w:jc w:val="center"/>
            </w:pPr>
            <w:r>
              <w:rPr>
                <w:rFonts w:ascii="宋体" w:hAnsi="宋体" w:eastAsia="宋体"/>
                <w:sz w:val="24"/>
              </w:rPr>
              <w:t>（2024年度）</w:t>
            </w:r>
          </w:p>
        </w:tc>
      </w:tr>
      <w:tr w14:paraId="68E64C0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54E4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0D2DD">
            <w:pPr>
              <w:jc w:val="center"/>
            </w:pPr>
            <w:r>
              <w:rPr>
                <w:rFonts w:ascii="宋体" w:hAnsi="宋体" w:eastAsia="宋体"/>
                <w:sz w:val="16"/>
              </w:rPr>
              <w:t>霍尔果斯市交通运输局</w:t>
            </w:r>
          </w:p>
        </w:tc>
      </w:tr>
      <w:tr w14:paraId="7C88205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DEAC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43C1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B76C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02DA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CD037">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3065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6B42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E156D">
            <w:pPr>
              <w:jc w:val="center"/>
            </w:pPr>
            <w:r>
              <w:rPr>
                <w:rFonts w:ascii="宋体" w:hAnsi="宋体" w:eastAsia="宋体"/>
                <w:sz w:val="16"/>
              </w:rPr>
              <w:t>得分</w:t>
            </w:r>
          </w:p>
        </w:tc>
      </w:tr>
      <w:tr w14:paraId="567929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A364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F81E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DC7E7">
            <w:pPr>
              <w:jc w:val="center"/>
            </w:pPr>
            <w:r>
              <w:rPr>
                <w:rFonts w:ascii="宋体" w:hAnsi="宋体" w:eastAsia="宋体"/>
                <w:sz w:val="16"/>
              </w:rPr>
              <w:t>1,070.91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0A51B">
            <w:pPr>
              <w:jc w:val="center"/>
            </w:pPr>
            <w:r>
              <w:rPr>
                <w:rFonts w:ascii="宋体" w:hAnsi="宋体" w:eastAsia="宋体"/>
                <w:sz w:val="16"/>
              </w:rPr>
              <w:t>4,733.16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ED606">
            <w:pPr>
              <w:jc w:val="center"/>
            </w:pPr>
            <w:r>
              <w:rPr>
                <w:rFonts w:ascii="宋体" w:hAnsi="宋体" w:eastAsia="宋体"/>
                <w:sz w:val="16"/>
              </w:rPr>
              <w:t>4,733.16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577F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8AD2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7ED1E">
            <w:pPr>
              <w:jc w:val="center"/>
            </w:pPr>
            <w:r>
              <w:rPr>
                <w:rFonts w:ascii="宋体" w:hAnsi="宋体" w:eastAsia="宋体"/>
                <w:sz w:val="16"/>
              </w:rPr>
              <w:t>10</w:t>
            </w:r>
          </w:p>
        </w:tc>
      </w:tr>
      <w:tr w14:paraId="3890ED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1F25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6630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EB076">
            <w:pPr>
              <w:jc w:val="center"/>
            </w:pPr>
            <w:r>
              <w:rPr>
                <w:rFonts w:ascii="宋体" w:hAnsi="宋体" w:eastAsia="宋体"/>
                <w:sz w:val="16"/>
              </w:rPr>
              <w:t>678.45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BA5F7">
            <w:pPr>
              <w:jc w:val="center"/>
            </w:pPr>
            <w:r>
              <w:rPr>
                <w:rFonts w:ascii="宋体" w:hAnsi="宋体" w:eastAsia="宋体"/>
                <w:sz w:val="16"/>
              </w:rPr>
              <w:t>1,477.53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2E8D6">
            <w:pPr>
              <w:jc w:val="center"/>
            </w:pPr>
            <w:r>
              <w:rPr>
                <w:rFonts w:ascii="宋体" w:hAnsi="宋体" w:eastAsia="宋体"/>
                <w:sz w:val="16"/>
              </w:rPr>
              <w:t>1,477.53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598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07E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0A542">
            <w:pPr>
              <w:jc w:val="center"/>
            </w:pPr>
            <w:r>
              <w:rPr>
                <w:rFonts w:ascii="宋体" w:hAnsi="宋体" w:eastAsia="宋体"/>
                <w:sz w:val="16"/>
              </w:rPr>
              <w:t>-</w:t>
            </w:r>
          </w:p>
        </w:tc>
      </w:tr>
      <w:tr w14:paraId="05F0DC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7F52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B0B7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836B6">
            <w:pPr>
              <w:jc w:val="center"/>
            </w:pPr>
            <w:r>
              <w:rPr>
                <w:rFonts w:ascii="宋体" w:hAnsi="宋体" w:eastAsia="宋体"/>
                <w:sz w:val="16"/>
              </w:rPr>
              <w:t>392.46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22788">
            <w:pPr>
              <w:jc w:val="center"/>
            </w:pPr>
            <w:r>
              <w:rPr>
                <w:rFonts w:ascii="宋体" w:hAnsi="宋体" w:eastAsia="宋体"/>
                <w:sz w:val="16"/>
              </w:rPr>
              <w:t>3,255.63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1F9F7">
            <w:pPr>
              <w:jc w:val="center"/>
            </w:pPr>
            <w:r>
              <w:rPr>
                <w:rFonts w:ascii="宋体" w:hAnsi="宋体" w:eastAsia="宋体"/>
                <w:sz w:val="16"/>
              </w:rPr>
              <w:t>3,255.63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B9C6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239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E29BF">
            <w:pPr>
              <w:jc w:val="center"/>
            </w:pPr>
            <w:r>
              <w:rPr>
                <w:rFonts w:ascii="宋体" w:hAnsi="宋体" w:eastAsia="宋体"/>
                <w:sz w:val="16"/>
              </w:rPr>
              <w:t>-</w:t>
            </w:r>
          </w:p>
        </w:tc>
      </w:tr>
      <w:tr w14:paraId="1A3155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D081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FAE1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E0B1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D156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C7A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467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29C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C153E">
            <w:pPr>
              <w:jc w:val="center"/>
            </w:pPr>
            <w:r>
              <w:rPr>
                <w:rFonts w:ascii="宋体" w:hAnsi="宋体" w:eastAsia="宋体"/>
                <w:sz w:val="16"/>
              </w:rPr>
              <w:t>-</w:t>
            </w:r>
          </w:p>
        </w:tc>
      </w:tr>
      <w:tr w14:paraId="2DEE60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FFE7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1AB2D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3D8825">
            <w:pPr>
              <w:jc w:val="center"/>
            </w:pPr>
            <w:r>
              <w:rPr>
                <w:rFonts w:ascii="宋体" w:hAnsi="宋体" w:eastAsia="宋体"/>
                <w:sz w:val="16"/>
              </w:rPr>
              <w:t>实际完成情况</w:t>
            </w:r>
          </w:p>
        </w:tc>
      </w:tr>
      <w:tr w14:paraId="768F49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C2DA4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10B82">
            <w:pPr>
              <w:jc w:val="both"/>
            </w:pPr>
            <w:r>
              <w:rPr>
                <w:rFonts w:ascii="宋体" w:hAnsi="宋体" w:eastAsia="宋体"/>
                <w:sz w:val="16"/>
              </w:rPr>
              <w:t>（一）加强法治政府建设，不断优化营商环境，持续提升执法服务和监管水平。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（二）强力推进项目建设，不断创新投融资机制，着重抓好交通强国试点支撑项目实施，持续提升项目建设管理水平。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（三）强化交通物流保通保畅，提升出行服务品质，推动货运物流提质降本增效，规范道路运输新业态发展，促进交通运输高水平对外开放。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（四）完善农村交通基础设施，提高农村公路管养水平，加快城乡交通运输一体化发展，持续发挥行业优势。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（五）持续深化交通科技创新，大力推进智慧交通建设，不断加快交通绿色低碳发展。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（六）坚决维护社会稳定，切实</w:t>
            </w:r>
            <w:r>
              <w:rPr>
                <w:rFonts w:hint="eastAsia" w:ascii="宋体" w:hAnsi="宋体"/>
                <w:sz w:val="16"/>
                <w:lang w:eastAsia="zh-CN"/>
              </w:rPr>
              <w:t>防范化解重大风险</w:t>
            </w:r>
            <w:r>
              <w:rPr>
                <w:rFonts w:ascii="宋体" w:hAnsi="宋体" w:eastAsia="宋体"/>
                <w:sz w:val="16"/>
              </w:rPr>
              <w:t>，做好交通运输安全生产工作，持续推进交通运输应急管理体系和能力现代化。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七）完成年度预算指标，确保基本工资、津贴补贴、绩效工资、机关事业单位基本养老保险缴费、职工基本医疗保险缴费、其他社会保障缴费、住房公积金缴费，办公费，残疾人保障金，工会经费等正常发放及缴纳；维护单位日常运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65B9BC">
            <w:pPr>
              <w:jc w:val="both"/>
            </w:pPr>
            <w:r>
              <w:rPr>
                <w:rFonts w:ascii="宋体" w:hAnsi="宋体" w:eastAsia="宋体"/>
                <w:sz w:val="16"/>
              </w:rPr>
              <w:t>（一）开展联合执法检查次数完成38次。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（二）企业安全生产检查次数完成22次。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（三）保障全年公路养护总里程完成471.46公里。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（四）年度全社会累计新改建农村公路里程11.83km。</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（五）修建道路等级完成4级道路修建。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达到提升公众出行体验效果，提供更舒适安全的行车环境，增强社会满意度，优化区域发展格局，促进资源，人口，产业合理流动，推动经济协同发展。延长道路使用寿命。体现监管力度加强，风险排查更全面。推动建立企业自查，行业自律，政府监管的治理体系，促进监管信息互联共享，提升风险预警能力。</w:t>
            </w:r>
          </w:p>
        </w:tc>
      </w:tr>
      <w:tr w14:paraId="3FF17EB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4F6E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1FCC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1EEC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1B47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8472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A624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06A5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07354">
            <w:pPr>
              <w:jc w:val="center"/>
            </w:pPr>
            <w:r>
              <w:rPr>
                <w:rFonts w:ascii="宋体" w:hAnsi="宋体" w:eastAsia="宋体"/>
                <w:sz w:val="16"/>
              </w:rPr>
              <w:t>得分</w:t>
            </w:r>
          </w:p>
        </w:tc>
      </w:tr>
      <w:tr w14:paraId="0FCE9C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FE52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6D68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4F7A4">
            <w:pPr>
              <w:jc w:val="center"/>
            </w:pPr>
            <w:r>
              <w:rPr>
                <w:rFonts w:ascii="宋体" w:hAnsi="宋体" w:eastAsia="宋体"/>
                <w:sz w:val="16"/>
              </w:rPr>
              <w:t>开展联合执法检查次数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09FDF">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06B51">
            <w:pPr>
              <w:jc w:val="center"/>
            </w:pPr>
            <w:r>
              <w:rPr>
                <w:rFonts w:ascii="宋体" w:hAnsi="宋体" w:eastAsia="宋体"/>
                <w:sz w:val="16"/>
              </w:rPr>
              <w:t>2023年交通局工作总结2024年工作计划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DC67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6D81A">
            <w:pPr>
              <w:jc w:val="center"/>
            </w:pPr>
            <w:r>
              <w:rPr>
                <w:rFonts w:ascii="宋体" w:hAnsi="宋体" w:eastAsia="宋体"/>
                <w:sz w:val="16"/>
              </w:rPr>
              <w:t>38次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24EF0">
            <w:pPr>
              <w:jc w:val="center"/>
            </w:pPr>
            <w:r>
              <w:rPr>
                <w:rFonts w:ascii="宋体" w:hAnsi="宋体" w:eastAsia="宋体"/>
                <w:sz w:val="16"/>
              </w:rPr>
              <w:t>20</w:t>
            </w:r>
          </w:p>
        </w:tc>
      </w:tr>
      <w:tr w14:paraId="494F52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41A7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22E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FED27">
            <w:pPr>
              <w:jc w:val="center"/>
            </w:pPr>
            <w:r>
              <w:rPr>
                <w:rFonts w:ascii="宋体" w:hAnsi="宋体" w:eastAsia="宋体"/>
                <w:sz w:val="16"/>
              </w:rPr>
              <w:t>企业安全生产检查次数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6C960">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B4DEA">
            <w:pPr>
              <w:jc w:val="center"/>
            </w:pPr>
            <w:r>
              <w:rPr>
                <w:rFonts w:ascii="宋体" w:hAnsi="宋体" w:eastAsia="宋体"/>
                <w:sz w:val="16"/>
              </w:rPr>
              <w:t>2023年交通局工作总结2024年工作计划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9DC3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0DEAB">
            <w:pPr>
              <w:jc w:val="center"/>
            </w:pPr>
            <w:r>
              <w:rPr>
                <w:rFonts w:ascii="宋体" w:hAnsi="宋体" w:eastAsia="宋体"/>
                <w:sz w:val="16"/>
              </w:rPr>
              <w:t>28次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4FEAC">
            <w:pPr>
              <w:jc w:val="center"/>
            </w:pPr>
            <w:r>
              <w:rPr>
                <w:rFonts w:ascii="宋体" w:hAnsi="宋体" w:eastAsia="宋体"/>
                <w:sz w:val="16"/>
              </w:rPr>
              <w:t>20</w:t>
            </w:r>
          </w:p>
        </w:tc>
      </w:tr>
      <w:tr w14:paraId="7F0E7E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4A5F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64A4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B5097">
            <w:pPr>
              <w:jc w:val="center"/>
            </w:pPr>
            <w:r>
              <w:rPr>
                <w:rFonts w:ascii="宋体" w:hAnsi="宋体" w:eastAsia="宋体"/>
                <w:sz w:val="16"/>
              </w:rPr>
              <w:t>保障全年公路养护总里程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C9C79">
            <w:pPr>
              <w:jc w:val="center"/>
            </w:pPr>
            <w:r>
              <w:rPr>
                <w:rFonts w:ascii="宋体" w:hAnsi="宋体" w:eastAsia="宋体"/>
                <w:sz w:val="16"/>
              </w:rPr>
              <w:t>&gt;=471.46公里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FC598">
            <w:pPr>
              <w:jc w:val="center"/>
            </w:pPr>
            <w:r>
              <w:rPr>
                <w:rFonts w:ascii="宋体" w:hAnsi="宋体" w:eastAsia="宋体"/>
                <w:sz w:val="16"/>
              </w:rPr>
              <w:t>2023年交通局工作总结2024年工作计划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0C70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010B2">
            <w:pPr>
              <w:jc w:val="center"/>
            </w:pPr>
            <w:r>
              <w:rPr>
                <w:rFonts w:ascii="宋体" w:hAnsi="宋体" w:eastAsia="宋体"/>
                <w:sz w:val="16"/>
              </w:rPr>
              <w:t>471.46公里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9DA8E">
            <w:pPr>
              <w:jc w:val="center"/>
            </w:pPr>
            <w:r>
              <w:rPr>
                <w:rFonts w:ascii="宋体" w:hAnsi="宋体" w:eastAsia="宋体"/>
                <w:sz w:val="16"/>
              </w:rPr>
              <w:t>15</w:t>
            </w:r>
          </w:p>
        </w:tc>
      </w:tr>
      <w:tr w14:paraId="5803F5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3CC4F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AD37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D70E9">
            <w:pPr>
              <w:jc w:val="center"/>
            </w:pPr>
            <w:r>
              <w:rPr>
                <w:rFonts w:ascii="宋体" w:hAnsi="宋体" w:eastAsia="宋体"/>
                <w:sz w:val="16"/>
              </w:rPr>
              <w:t>年度全社会累计新改建农村公路里程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8439F">
            <w:pPr>
              <w:jc w:val="center"/>
            </w:pPr>
            <w:r>
              <w:rPr>
                <w:rFonts w:ascii="宋体" w:hAnsi="宋体" w:eastAsia="宋体"/>
                <w:sz w:val="16"/>
              </w:rPr>
              <w:t>&gt;=11.83km</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0848E">
            <w:pPr>
              <w:jc w:val="center"/>
            </w:pPr>
            <w:r>
              <w:rPr>
                <w:rFonts w:ascii="宋体" w:hAnsi="宋体" w:eastAsia="宋体"/>
                <w:sz w:val="16"/>
              </w:rPr>
              <w:t>2023年交通局工作总结2024年工作计划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3850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FD4C1">
            <w:pPr>
              <w:jc w:val="center"/>
            </w:pPr>
            <w:r>
              <w:rPr>
                <w:rFonts w:ascii="宋体" w:hAnsi="宋体" w:eastAsia="宋体"/>
                <w:sz w:val="16"/>
              </w:rPr>
              <w:t>11.83km</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15C34">
            <w:pPr>
              <w:jc w:val="center"/>
            </w:pPr>
            <w:r>
              <w:rPr>
                <w:rFonts w:ascii="宋体" w:hAnsi="宋体" w:eastAsia="宋体"/>
                <w:sz w:val="16"/>
              </w:rPr>
              <w:t>15</w:t>
            </w:r>
          </w:p>
        </w:tc>
      </w:tr>
      <w:tr w14:paraId="6EB9BC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3CB5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B463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28AE8">
            <w:pPr>
              <w:jc w:val="center"/>
            </w:pPr>
            <w:r>
              <w:rPr>
                <w:rFonts w:ascii="宋体" w:hAnsi="宋体" w:eastAsia="宋体"/>
                <w:sz w:val="16"/>
              </w:rPr>
              <w:t>修建道路等级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96B46">
            <w:pPr>
              <w:jc w:val="center"/>
            </w:pPr>
            <w:r>
              <w:rPr>
                <w:rFonts w:ascii="宋体" w:hAnsi="宋体" w:eastAsia="宋体"/>
                <w:sz w:val="16"/>
              </w:rPr>
              <w:t>=4级道路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2A73A">
            <w:pPr>
              <w:jc w:val="center"/>
            </w:pPr>
            <w:r>
              <w:rPr>
                <w:rFonts w:ascii="宋体" w:hAnsi="宋体" w:eastAsia="宋体"/>
                <w:sz w:val="16"/>
              </w:rPr>
              <w:t>2023年交通局工作总结2024年工作计划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2259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0517E">
            <w:pPr>
              <w:jc w:val="center"/>
            </w:pPr>
            <w:r>
              <w:rPr>
                <w:rFonts w:ascii="宋体" w:hAnsi="宋体" w:eastAsia="宋体"/>
                <w:sz w:val="16"/>
              </w:rPr>
              <w:t>4级道路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57C37">
            <w:pPr>
              <w:jc w:val="center"/>
            </w:pPr>
            <w:r>
              <w:rPr>
                <w:rFonts w:ascii="宋体" w:hAnsi="宋体" w:eastAsia="宋体"/>
                <w:sz w:val="16"/>
              </w:rPr>
              <w:t>20</w:t>
            </w:r>
          </w:p>
        </w:tc>
      </w:tr>
    </w:tbl>
    <w:p w14:paraId="7ADE4A5F">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936"/>
        <w:gridCol w:w="776"/>
        <w:gridCol w:w="622"/>
        <w:gridCol w:w="630"/>
        <w:gridCol w:w="605"/>
        <w:gridCol w:w="605"/>
        <w:gridCol w:w="606"/>
        <w:gridCol w:w="606"/>
        <w:gridCol w:w="623"/>
      </w:tblGrid>
      <w:tr w14:paraId="2DE3452A">
        <w:tblPrEx>
          <w:tblCellMar>
            <w:top w:w="0" w:type="dxa"/>
            <w:left w:w="108" w:type="dxa"/>
            <w:bottom w:w="0" w:type="dxa"/>
            <w:right w:w="108" w:type="dxa"/>
          </w:tblCellMar>
        </w:tblPrEx>
        <w:tc>
          <w:tcPr>
            <w:tcW w:w="8848" w:type="dxa"/>
            <w:gridSpan w:val="14"/>
            <w:vAlign w:val="center"/>
          </w:tcPr>
          <w:p w14:paraId="35F9780F">
            <w:pPr>
              <w:jc w:val="center"/>
            </w:pPr>
            <w:r>
              <w:rPr>
                <w:rFonts w:ascii="宋体" w:hAnsi="宋体" w:eastAsia="宋体"/>
                <w:sz w:val="24"/>
              </w:rPr>
              <w:t>项目支出绩效自评表</w:t>
            </w:r>
          </w:p>
        </w:tc>
      </w:tr>
      <w:tr w14:paraId="36188140">
        <w:tblPrEx>
          <w:tblCellMar>
            <w:top w:w="0" w:type="dxa"/>
            <w:left w:w="108" w:type="dxa"/>
            <w:bottom w:w="0" w:type="dxa"/>
            <w:right w:w="108" w:type="dxa"/>
          </w:tblCellMar>
        </w:tblPrEx>
        <w:tc>
          <w:tcPr>
            <w:tcW w:w="8848" w:type="dxa"/>
            <w:gridSpan w:val="14"/>
            <w:vAlign w:val="center"/>
          </w:tcPr>
          <w:p w14:paraId="3A182D03">
            <w:pPr>
              <w:jc w:val="center"/>
            </w:pPr>
            <w:r>
              <w:rPr>
                <w:rFonts w:ascii="宋体" w:hAnsi="宋体" w:eastAsia="宋体"/>
                <w:sz w:val="24"/>
              </w:rPr>
              <w:t>(2024年度)</w:t>
            </w:r>
          </w:p>
        </w:tc>
      </w:tr>
      <w:tr w14:paraId="0A2C9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16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E3889C">
            <w:pPr>
              <w:jc w:val="center"/>
            </w:pPr>
            <w:r>
              <w:rPr>
                <w:rFonts w:ascii="宋体" w:hAnsi="宋体" w:eastAsia="宋体"/>
                <w:sz w:val="16"/>
              </w:rPr>
              <w:t>2023年车辆购置税收入补助地方资金预算</w:t>
            </w:r>
          </w:p>
        </w:tc>
      </w:tr>
      <w:tr w14:paraId="5CF82A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ED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839A8">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25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741E1">
            <w:pPr>
              <w:jc w:val="center"/>
            </w:pPr>
            <w:r>
              <w:rPr>
                <w:rFonts w:ascii="宋体" w:hAnsi="宋体" w:eastAsia="宋体"/>
                <w:sz w:val="16"/>
              </w:rPr>
              <w:t>霍尔果斯市交通运输局</w:t>
            </w:r>
          </w:p>
        </w:tc>
      </w:tr>
      <w:tr w14:paraId="490AF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B03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E0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CD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13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B4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78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93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EA29">
            <w:pPr>
              <w:jc w:val="center"/>
            </w:pPr>
            <w:r>
              <w:rPr>
                <w:rFonts w:ascii="宋体" w:hAnsi="宋体" w:eastAsia="宋体"/>
                <w:sz w:val="16"/>
              </w:rPr>
              <w:t>得分</w:t>
            </w:r>
          </w:p>
        </w:tc>
      </w:tr>
      <w:tr w14:paraId="5B174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E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833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CA590">
            <w:pPr>
              <w:jc w:val="center"/>
            </w:pPr>
            <w:r>
              <w:rPr>
                <w:rFonts w:ascii="宋体" w:hAnsi="宋体" w:eastAsia="宋体"/>
                <w:sz w:val="16"/>
              </w:rPr>
              <w:t>458.45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2BE4">
            <w:pPr>
              <w:jc w:val="center"/>
            </w:pPr>
            <w:r>
              <w:rPr>
                <w:rFonts w:ascii="宋体" w:hAnsi="宋体" w:eastAsia="宋体"/>
                <w:sz w:val="16"/>
              </w:rPr>
              <w:t>458.45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ECBA9">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7E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BA5D">
            <w:pPr>
              <w:jc w:val="center"/>
            </w:pPr>
            <w:r>
              <w:rPr>
                <w:rFonts w:ascii="宋体" w:hAnsi="宋体" w:eastAsia="宋体"/>
                <w:sz w:val="16"/>
              </w:rPr>
              <w:t>85.07%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6BA8">
            <w:pPr>
              <w:jc w:val="center"/>
            </w:pPr>
            <w:r>
              <w:rPr>
                <w:rFonts w:ascii="宋体" w:hAnsi="宋体" w:eastAsia="宋体"/>
                <w:sz w:val="16"/>
              </w:rPr>
              <w:t>6.27</w:t>
            </w:r>
          </w:p>
        </w:tc>
      </w:tr>
      <w:tr w14:paraId="39E18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C51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5A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8A4A">
            <w:pPr>
              <w:jc w:val="center"/>
            </w:pPr>
            <w:r>
              <w:rPr>
                <w:rFonts w:ascii="宋体" w:hAnsi="宋体" w:eastAsia="宋体"/>
                <w:sz w:val="16"/>
              </w:rPr>
              <w:t>458.45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03E9">
            <w:pPr>
              <w:jc w:val="center"/>
            </w:pPr>
            <w:r>
              <w:rPr>
                <w:rFonts w:ascii="宋体" w:hAnsi="宋体" w:eastAsia="宋体"/>
                <w:sz w:val="16"/>
              </w:rPr>
              <w:t>458.45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DE6EC">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C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FA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EA14">
            <w:pPr>
              <w:jc w:val="center"/>
            </w:pPr>
            <w:r>
              <w:rPr>
                <w:rFonts w:ascii="宋体" w:hAnsi="宋体" w:eastAsia="宋体"/>
                <w:sz w:val="16"/>
              </w:rPr>
              <w:t>—</w:t>
            </w:r>
          </w:p>
        </w:tc>
      </w:tr>
      <w:tr w14:paraId="124A5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98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EF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3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9B4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2B7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72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F2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DB53">
            <w:pPr>
              <w:jc w:val="center"/>
            </w:pPr>
            <w:r>
              <w:rPr>
                <w:rFonts w:ascii="宋体" w:hAnsi="宋体" w:eastAsia="宋体"/>
                <w:sz w:val="16"/>
              </w:rPr>
              <w:t>—</w:t>
            </w:r>
          </w:p>
        </w:tc>
      </w:tr>
      <w:tr w14:paraId="7FAB2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AD3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332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FD561">
            <w:pPr>
              <w:jc w:val="center"/>
            </w:pPr>
            <w:r>
              <w:rPr>
                <w:rFonts w:ascii="宋体" w:hAnsi="宋体" w:eastAsia="宋体"/>
                <w:sz w:val="16"/>
              </w:rPr>
              <w:t>实际完成情况</w:t>
            </w:r>
          </w:p>
        </w:tc>
      </w:tr>
      <w:tr w14:paraId="3D912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478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A5DE5">
            <w:pPr>
              <w:jc w:val="both"/>
            </w:pPr>
            <w:r>
              <w:rPr>
                <w:rFonts w:ascii="宋体" w:hAnsi="宋体" w:eastAsia="宋体"/>
                <w:sz w:val="16"/>
              </w:rPr>
              <w:t>2024年车辆购置税收入补助地方资金预算[第一批]对霍尔果斯市道路基础设施项目及配套附属项目进行支付。完成提升城市承载力优化人居环境，改善居民出行环境的目标，达到提升居民幸福感、优化营商环境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909E3">
            <w:pPr>
              <w:jc w:val="both"/>
            </w:pPr>
            <w:r>
              <w:rPr>
                <w:rFonts w:ascii="宋体" w:hAnsi="宋体" w:eastAsia="宋体"/>
                <w:sz w:val="16"/>
              </w:rPr>
              <w:t>完成新改建农村公路里程11.83千米，共计支付390万车购税用于农村道路建设，提高了居民出行环境，提升了群众幸福感。</w:t>
            </w:r>
          </w:p>
        </w:tc>
      </w:tr>
      <w:tr w14:paraId="0C83E7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EC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5A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01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93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F0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9A0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CF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CC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484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C2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C0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C6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C0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C59B">
            <w:pPr>
              <w:jc w:val="center"/>
            </w:pPr>
            <w:r>
              <w:rPr>
                <w:rFonts w:ascii="宋体" w:hAnsi="宋体" w:eastAsia="宋体"/>
                <w:sz w:val="16"/>
              </w:rPr>
              <w:t>偏差原因分析及改进措施</w:t>
            </w:r>
          </w:p>
        </w:tc>
      </w:tr>
      <w:tr w14:paraId="55D5CA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A4E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363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CBF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DCDC">
            <w:pPr>
              <w:jc w:val="center"/>
            </w:pPr>
            <w:r>
              <w:rPr>
                <w:rFonts w:ascii="宋体" w:hAnsi="宋体" w:eastAsia="宋体"/>
                <w:sz w:val="16"/>
              </w:rPr>
              <w:t>年度全社会累计新改建农村公路里程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38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CC3E">
            <w:pPr>
              <w:jc w:val="center"/>
            </w:pPr>
            <w:r>
              <w:rPr>
                <w:rFonts w:ascii="宋体" w:hAnsi="宋体" w:eastAsia="宋体"/>
                <w:sz w:val="16"/>
              </w:rPr>
              <w:t>&gt;=11.83km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5947">
            <w:pPr>
              <w:jc w:val="center"/>
            </w:pPr>
            <w:r>
              <w:rPr>
                <w:rFonts w:ascii="宋体" w:hAnsi="宋体" w:eastAsia="宋体"/>
                <w:sz w:val="16"/>
              </w:rPr>
              <w:t>11.83km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3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7B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7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6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1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D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FC77">
            <w:pPr>
              <w:jc w:val="center"/>
            </w:pPr>
          </w:p>
        </w:tc>
      </w:tr>
      <w:tr w14:paraId="49DD8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8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B3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57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3FA9">
            <w:pPr>
              <w:jc w:val="center"/>
            </w:pPr>
            <w:r>
              <w:rPr>
                <w:rFonts w:ascii="宋体" w:hAnsi="宋体" w:eastAsia="宋体"/>
                <w:sz w:val="16"/>
              </w:rPr>
              <w:t>年度全社会新增通硬化路较大人口规模自然村个数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5E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9185">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48F4">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8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42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8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C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1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6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AEB9">
            <w:pPr>
              <w:jc w:val="center"/>
            </w:pPr>
          </w:p>
        </w:tc>
      </w:tr>
      <w:tr w14:paraId="42944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1B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7D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468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2B67">
            <w:pPr>
              <w:jc w:val="center"/>
            </w:pPr>
            <w:r>
              <w:rPr>
                <w:rFonts w:ascii="宋体" w:hAnsi="宋体" w:eastAsia="宋体"/>
                <w:sz w:val="16"/>
              </w:rPr>
              <w:t>资金支付合规性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1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5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E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D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7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C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0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3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5A15">
            <w:pPr>
              <w:jc w:val="center"/>
            </w:pPr>
          </w:p>
        </w:tc>
      </w:tr>
      <w:tr w14:paraId="0A679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3C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CA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76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E8E5">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3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4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9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8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8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7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2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C4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9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505F">
            <w:pPr>
              <w:jc w:val="center"/>
            </w:pPr>
          </w:p>
        </w:tc>
      </w:tr>
      <w:tr w14:paraId="74A02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71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4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8C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A59A">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4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2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8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3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28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7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F5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9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5BC6">
            <w:pPr>
              <w:jc w:val="center"/>
            </w:pPr>
          </w:p>
        </w:tc>
      </w:tr>
      <w:tr w14:paraId="56AE9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C0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C08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894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E7B1">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D2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B19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18C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2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1B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3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90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93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6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EC23">
            <w:pPr>
              <w:jc w:val="center"/>
            </w:pPr>
          </w:p>
        </w:tc>
      </w:tr>
      <w:tr w14:paraId="202D0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CC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22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B27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831C">
            <w:pPr>
              <w:jc w:val="center"/>
            </w:pPr>
            <w:r>
              <w:rPr>
                <w:rFonts w:ascii="宋体" w:hAnsi="宋体" w:eastAsia="宋体"/>
                <w:sz w:val="16"/>
              </w:rPr>
              <w:t>基本公共服务水平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84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75D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877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B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31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A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29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9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BF46">
            <w:pPr>
              <w:jc w:val="center"/>
            </w:pPr>
          </w:p>
        </w:tc>
      </w:tr>
      <w:tr w14:paraId="0867E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5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2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2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3F69">
            <w:pPr>
              <w:jc w:val="center"/>
            </w:pPr>
            <w:r>
              <w:rPr>
                <w:rFonts w:ascii="宋体" w:hAnsi="宋体" w:eastAsia="宋体"/>
                <w:sz w:val="16"/>
              </w:rPr>
              <w:t>新改建公路项目适应未来一定时期内交通需求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23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D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7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C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F1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F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6D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F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112E">
            <w:pPr>
              <w:jc w:val="center"/>
            </w:pPr>
          </w:p>
        </w:tc>
      </w:tr>
      <w:tr w14:paraId="318D7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10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80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93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F84A">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E5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22E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926B">
            <w:pPr>
              <w:jc w:val="center"/>
            </w:pPr>
            <w:r>
              <w:rPr>
                <w:rFonts w:ascii="宋体" w:hAnsi="宋体" w:eastAsia="宋体"/>
                <w:sz w:val="16"/>
              </w:rPr>
              <w:tab/>
            </w: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4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A7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E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A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30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2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FE5E">
            <w:pPr>
              <w:jc w:val="center"/>
            </w:pPr>
          </w:p>
        </w:tc>
      </w:tr>
      <w:tr w14:paraId="24BB3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76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7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B15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B868">
            <w:pPr>
              <w:jc w:val="center"/>
            </w:pPr>
            <w:r>
              <w:rPr>
                <w:rFonts w:ascii="宋体" w:hAnsi="宋体" w:eastAsia="宋体"/>
                <w:sz w:val="16"/>
              </w:rPr>
              <w:t>交通建设符合环评审批要求合格率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76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1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F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C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A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0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6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E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0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951C">
            <w:pPr>
              <w:jc w:val="center"/>
            </w:pPr>
          </w:p>
        </w:tc>
      </w:tr>
      <w:tr w14:paraId="41978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23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17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5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625B">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2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CFE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1F5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A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0F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2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F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2B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6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2B08">
            <w:pPr>
              <w:jc w:val="center"/>
            </w:pPr>
          </w:p>
        </w:tc>
      </w:tr>
      <w:tr w14:paraId="373D7E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E59B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B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4B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B5A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04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7873">
            <w:pPr>
              <w:jc w:val="center"/>
            </w:pPr>
            <w:r>
              <w:rPr>
                <w:rFonts w:ascii="宋体" w:hAnsi="宋体" w:eastAsia="宋体"/>
                <w:sz w:val="16"/>
              </w:rPr>
              <w:t>96.27分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3FC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05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0A6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4F2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C15EE"/>
        </w:tc>
      </w:tr>
    </w:tbl>
    <w:p w14:paraId="69373E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69D451EE">
        <w:tblPrEx>
          <w:tblCellMar>
            <w:top w:w="0" w:type="dxa"/>
            <w:left w:w="108" w:type="dxa"/>
            <w:bottom w:w="0" w:type="dxa"/>
            <w:right w:w="108" w:type="dxa"/>
          </w:tblCellMar>
        </w:tblPrEx>
        <w:tc>
          <w:tcPr>
            <w:tcW w:w="8848" w:type="dxa"/>
            <w:gridSpan w:val="14"/>
            <w:vAlign w:val="center"/>
          </w:tcPr>
          <w:p w14:paraId="184DD328">
            <w:pPr>
              <w:jc w:val="center"/>
            </w:pPr>
            <w:r>
              <w:rPr>
                <w:rFonts w:ascii="宋体" w:hAnsi="宋体" w:eastAsia="宋体"/>
                <w:sz w:val="24"/>
              </w:rPr>
              <w:t>项目支出绩效自评表</w:t>
            </w:r>
          </w:p>
        </w:tc>
      </w:tr>
      <w:tr w14:paraId="4FEE0A94">
        <w:tblPrEx>
          <w:tblCellMar>
            <w:top w:w="0" w:type="dxa"/>
            <w:left w:w="108" w:type="dxa"/>
            <w:bottom w:w="0" w:type="dxa"/>
            <w:right w:w="108" w:type="dxa"/>
          </w:tblCellMar>
        </w:tblPrEx>
        <w:tc>
          <w:tcPr>
            <w:tcW w:w="8848" w:type="dxa"/>
            <w:gridSpan w:val="14"/>
            <w:vAlign w:val="center"/>
          </w:tcPr>
          <w:p w14:paraId="5261ABB4">
            <w:pPr>
              <w:jc w:val="center"/>
            </w:pPr>
            <w:r>
              <w:rPr>
                <w:rFonts w:ascii="宋体" w:hAnsi="宋体" w:eastAsia="宋体"/>
                <w:sz w:val="24"/>
              </w:rPr>
              <w:t>(2024年度)</w:t>
            </w:r>
          </w:p>
        </w:tc>
      </w:tr>
      <w:tr w14:paraId="758A4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85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B6B4C3">
            <w:pPr>
              <w:jc w:val="center"/>
            </w:pPr>
            <w:r>
              <w:rPr>
                <w:rFonts w:ascii="宋体" w:hAnsi="宋体" w:eastAsia="宋体"/>
                <w:sz w:val="16"/>
              </w:rPr>
              <w:t>2023年霍尔果斯市伊车嘎善锡伯乡村庄道路建设项目（赤哲嘎善村）</w:t>
            </w:r>
          </w:p>
        </w:tc>
      </w:tr>
      <w:tr w14:paraId="313B9E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19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D56E8">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9D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EA8DB7">
            <w:pPr>
              <w:jc w:val="center"/>
            </w:pPr>
            <w:r>
              <w:rPr>
                <w:rFonts w:ascii="宋体" w:hAnsi="宋体" w:eastAsia="宋体"/>
                <w:sz w:val="16"/>
              </w:rPr>
              <w:t>霍尔果斯市交通运输局</w:t>
            </w:r>
          </w:p>
        </w:tc>
      </w:tr>
      <w:tr w14:paraId="74CB19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D4F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0D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B53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088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1A8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19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E5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5040">
            <w:pPr>
              <w:jc w:val="center"/>
            </w:pPr>
            <w:r>
              <w:rPr>
                <w:rFonts w:ascii="宋体" w:hAnsi="宋体" w:eastAsia="宋体"/>
                <w:sz w:val="16"/>
              </w:rPr>
              <w:t>得分</w:t>
            </w:r>
          </w:p>
        </w:tc>
      </w:tr>
      <w:tr w14:paraId="70F51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93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16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F703">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09BB">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F561">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CE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CA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481F">
            <w:pPr>
              <w:jc w:val="center"/>
            </w:pPr>
            <w:r>
              <w:rPr>
                <w:rFonts w:ascii="宋体" w:hAnsi="宋体" w:eastAsia="宋体"/>
                <w:sz w:val="16"/>
              </w:rPr>
              <w:t>10.00</w:t>
            </w:r>
          </w:p>
        </w:tc>
      </w:tr>
      <w:tr w14:paraId="06C9D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BB0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B9C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1F7C">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34F6">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6028">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6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6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041F">
            <w:pPr>
              <w:jc w:val="center"/>
            </w:pPr>
            <w:r>
              <w:rPr>
                <w:rFonts w:ascii="宋体" w:hAnsi="宋体" w:eastAsia="宋体"/>
                <w:sz w:val="16"/>
              </w:rPr>
              <w:t>—</w:t>
            </w:r>
          </w:p>
        </w:tc>
      </w:tr>
      <w:tr w14:paraId="6C32D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F6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6E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B3E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8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2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C5F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A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B64E">
            <w:pPr>
              <w:jc w:val="center"/>
            </w:pPr>
            <w:r>
              <w:rPr>
                <w:rFonts w:ascii="宋体" w:hAnsi="宋体" w:eastAsia="宋体"/>
                <w:sz w:val="16"/>
              </w:rPr>
              <w:t>—</w:t>
            </w:r>
          </w:p>
        </w:tc>
      </w:tr>
      <w:tr w14:paraId="02B9F6A8">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E0B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E6A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BC430">
            <w:pPr>
              <w:jc w:val="center"/>
            </w:pPr>
            <w:r>
              <w:rPr>
                <w:rFonts w:ascii="宋体" w:hAnsi="宋体" w:eastAsia="宋体"/>
                <w:sz w:val="16"/>
              </w:rPr>
              <w:t>实际完成情况</w:t>
            </w:r>
          </w:p>
        </w:tc>
      </w:tr>
      <w:tr w14:paraId="37DE6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01B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60382">
            <w:pPr>
              <w:jc w:val="both"/>
            </w:pPr>
            <w:r>
              <w:rPr>
                <w:rFonts w:ascii="宋体" w:hAnsi="宋体" w:eastAsia="宋体"/>
                <w:sz w:val="16"/>
              </w:rPr>
              <w:t>2023年霍尔果斯市伊车嘎善锡伯乡村庄道路建设项目（赤哲嘎善村），拟建设四级公路2.754km，完成提升城市承载力优化人居环境，改善居民出行环境的目标，达到提升居民幸福感、优化营商环境效果。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C0885">
            <w:pPr>
              <w:jc w:val="both"/>
            </w:pPr>
            <w:r>
              <w:rPr>
                <w:rFonts w:ascii="宋体" w:hAnsi="宋体" w:eastAsia="宋体"/>
                <w:sz w:val="16"/>
              </w:rPr>
              <w:t>2023年霍尔果斯市伊车嘎善锡伯乡村庄道路建设项目（赤哲嘎善村），建设完成四级公路2.754km，共计支付130万元，有效改善居民出行环境，提升了城市承载力优化人居环境，提升了人民群众幸福感。</w:t>
            </w:r>
          </w:p>
        </w:tc>
      </w:tr>
      <w:tr w14:paraId="3BE799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3E3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9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E0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61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10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49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984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DE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EE3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59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A4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52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54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CB78">
            <w:pPr>
              <w:jc w:val="center"/>
            </w:pPr>
            <w:r>
              <w:rPr>
                <w:rFonts w:ascii="宋体" w:hAnsi="宋体" w:eastAsia="宋体"/>
                <w:sz w:val="16"/>
              </w:rPr>
              <w:t>偏差原因分析及改进措施</w:t>
            </w:r>
          </w:p>
        </w:tc>
      </w:tr>
      <w:tr w14:paraId="138657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D6D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7B7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38F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A1DF">
            <w:pPr>
              <w:jc w:val="center"/>
            </w:pPr>
            <w:r>
              <w:rPr>
                <w:rFonts w:ascii="宋体" w:hAnsi="宋体" w:eastAsia="宋体"/>
                <w:sz w:val="16"/>
              </w:rPr>
              <w:t>道路基础设施项目个数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74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A19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F5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6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30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6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2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F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E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4162">
            <w:pPr>
              <w:jc w:val="center"/>
            </w:pPr>
          </w:p>
        </w:tc>
      </w:tr>
      <w:tr w14:paraId="3CAF8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F6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60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42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6EC">
            <w:pPr>
              <w:jc w:val="center"/>
            </w:pPr>
            <w:r>
              <w:rPr>
                <w:rFonts w:ascii="宋体" w:hAnsi="宋体" w:eastAsia="宋体"/>
                <w:sz w:val="16"/>
              </w:rPr>
              <w:t>新建四级公路里程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91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956F">
            <w:pPr>
              <w:jc w:val="center"/>
            </w:pPr>
            <w:r>
              <w:rPr>
                <w:rFonts w:ascii="宋体" w:hAnsi="宋体" w:eastAsia="宋体"/>
                <w:sz w:val="16"/>
              </w:rPr>
              <w:t>&gt;=2.75千米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BAE1">
            <w:pPr>
              <w:jc w:val="center"/>
            </w:pPr>
            <w:r>
              <w:rPr>
                <w:rFonts w:ascii="宋体" w:hAnsi="宋体" w:eastAsia="宋体"/>
                <w:sz w:val="16"/>
              </w:rPr>
              <w:t>2.75千米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4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FA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8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2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F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5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4860">
            <w:pPr>
              <w:jc w:val="center"/>
            </w:pPr>
          </w:p>
        </w:tc>
      </w:tr>
      <w:tr w14:paraId="32715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AA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CEC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FA2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8EA8">
            <w:pPr>
              <w:jc w:val="center"/>
            </w:pPr>
            <w:r>
              <w:rPr>
                <w:rFonts w:ascii="宋体" w:hAnsi="宋体" w:eastAsia="宋体"/>
                <w:sz w:val="16"/>
              </w:rPr>
              <w:t>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0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0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D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1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21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3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8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3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D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707A">
            <w:pPr>
              <w:jc w:val="center"/>
            </w:pPr>
          </w:p>
        </w:tc>
      </w:tr>
      <w:tr w14:paraId="700E0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2B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87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C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989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2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F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6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6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6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027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D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B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0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0BCC">
            <w:pPr>
              <w:jc w:val="center"/>
            </w:pPr>
          </w:p>
        </w:tc>
      </w:tr>
      <w:tr w14:paraId="0E6AF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99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6D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8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AFF7">
            <w:pPr>
              <w:jc w:val="center"/>
            </w:pPr>
            <w:r>
              <w:rPr>
                <w:rFonts w:ascii="宋体" w:hAnsi="宋体" w:eastAsia="宋体"/>
                <w:sz w:val="16"/>
              </w:rPr>
              <w:t>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62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45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86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B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33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A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C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5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E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2859">
            <w:pPr>
              <w:jc w:val="center"/>
            </w:pPr>
          </w:p>
        </w:tc>
      </w:tr>
      <w:tr w14:paraId="2C7E9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A7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E5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D99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8B69">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12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3778">
            <w:pPr>
              <w:jc w:val="center"/>
            </w:pPr>
            <w:r>
              <w:rPr>
                <w:rFonts w:ascii="宋体" w:hAnsi="宋体" w:eastAsia="宋体"/>
                <w:sz w:val="16"/>
              </w:rPr>
              <w:t>=2024年3月30日之前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EA94">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C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F8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C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F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B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249D">
            <w:pPr>
              <w:jc w:val="center"/>
            </w:pPr>
          </w:p>
        </w:tc>
      </w:tr>
      <w:tr w14:paraId="70A62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49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6E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32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EB45">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15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B4C2">
            <w:pPr>
              <w:jc w:val="center"/>
            </w:pPr>
            <w:r>
              <w:rPr>
                <w:rFonts w:ascii="宋体" w:hAnsi="宋体" w:eastAsia="宋体"/>
                <w:sz w:val="16"/>
              </w:rPr>
              <w:t>=2024年7月30日之前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0E25">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0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61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4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D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C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6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0A77">
            <w:pPr>
              <w:jc w:val="center"/>
            </w:pPr>
          </w:p>
        </w:tc>
      </w:tr>
      <w:tr w14:paraId="32DB9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48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CD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4A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801C">
            <w:pPr>
              <w:jc w:val="center"/>
            </w:pPr>
            <w:r>
              <w:rPr>
                <w:rFonts w:ascii="宋体" w:hAnsi="宋体" w:eastAsia="宋体"/>
                <w:sz w:val="16"/>
              </w:rPr>
              <w:t>每公里建设里程投入资金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EA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A56D">
            <w:pPr>
              <w:jc w:val="center"/>
            </w:pPr>
            <w:r>
              <w:rPr>
                <w:rFonts w:ascii="宋体" w:hAnsi="宋体" w:eastAsia="宋体"/>
                <w:sz w:val="16"/>
              </w:rPr>
              <w:t>&lt;=47.27万元/千米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CD27">
            <w:pPr>
              <w:jc w:val="center"/>
            </w:pPr>
            <w:r>
              <w:rPr>
                <w:rFonts w:ascii="宋体" w:hAnsi="宋体" w:eastAsia="宋体"/>
                <w:sz w:val="16"/>
              </w:rPr>
              <w:t>47.27万元/千米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1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47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E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9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8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5C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433B">
            <w:pPr>
              <w:jc w:val="center"/>
            </w:pPr>
          </w:p>
        </w:tc>
      </w:tr>
      <w:tr w14:paraId="0DA7F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EA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44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52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B411">
            <w:pPr>
              <w:jc w:val="center"/>
            </w:pPr>
            <w:r>
              <w:rPr>
                <w:rFonts w:ascii="宋体" w:hAnsi="宋体" w:eastAsia="宋体"/>
                <w:sz w:val="16"/>
              </w:rPr>
              <w:t>改善居民出行环境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24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4F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56B4">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0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F5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1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8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8F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C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2853">
            <w:pPr>
              <w:jc w:val="center"/>
            </w:pPr>
          </w:p>
        </w:tc>
      </w:tr>
      <w:tr w14:paraId="0BCDB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1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A4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17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3443">
            <w:pPr>
              <w:jc w:val="center"/>
            </w:pPr>
            <w:r>
              <w:rPr>
                <w:rFonts w:ascii="宋体" w:hAnsi="宋体" w:eastAsia="宋体"/>
                <w:sz w:val="16"/>
              </w:rPr>
              <w:t>附近居民满意度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7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5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37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B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4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0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6D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0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DCA5">
            <w:pPr>
              <w:jc w:val="center"/>
            </w:pPr>
          </w:p>
        </w:tc>
      </w:tr>
      <w:tr w14:paraId="0165A1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335A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7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D23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731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62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F33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0A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88F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403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510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45EE2"/>
        </w:tc>
      </w:tr>
    </w:tbl>
    <w:p w14:paraId="41A1289F">
      <w:r>
        <w:br w:type="page"/>
      </w:r>
    </w:p>
    <w:tbl>
      <w:tblPr>
        <w:tblStyle w:val="9"/>
        <w:tblW w:w="0" w:type="auto"/>
        <w:tblInd w:w="0" w:type="dxa"/>
        <w:tblLayout w:type="fixed"/>
        <w:tblCellMar>
          <w:top w:w="0" w:type="dxa"/>
          <w:left w:w="108" w:type="dxa"/>
          <w:bottom w:w="0" w:type="dxa"/>
          <w:right w:w="108" w:type="dxa"/>
        </w:tblCellMar>
      </w:tblPr>
      <w:tblGrid>
        <w:gridCol w:w="592"/>
        <w:gridCol w:w="526"/>
        <w:gridCol w:w="526"/>
        <w:gridCol w:w="526"/>
        <w:gridCol w:w="559"/>
        <w:gridCol w:w="1096"/>
        <w:gridCol w:w="936"/>
        <w:gridCol w:w="592"/>
        <w:gridCol w:w="559"/>
        <w:gridCol w:w="526"/>
        <w:gridCol w:w="680"/>
        <w:gridCol w:w="788"/>
        <w:gridCol w:w="529"/>
        <w:gridCol w:w="625"/>
      </w:tblGrid>
      <w:tr w14:paraId="03140888">
        <w:tblPrEx>
          <w:tblCellMar>
            <w:top w:w="0" w:type="dxa"/>
            <w:left w:w="108" w:type="dxa"/>
            <w:bottom w:w="0" w:type="dxa"/>
            <w:right w:w="108" w:type="dxa"/>
          </w:tblCellMar>
        </w:tblPrEx>
        <w:tc>
          <w:tcPr>
            <w:tcW w:w="9060" w:type="dxa"/>
            <w:gridSpan w:val="14"/>
            <w:vAlign w:val="center"/>
          </w:tcPr>
          <w:p w14:paraId="2119B58D">
            <w:pPr>
              <w:jc w:val="center"/>
            </w:pPr>
            <w:r>
              <w:rPr>
                <w:rFonts w:ascii="宋体" w:hAnsi="宋体" w:eastAsia="宋体"/>
                <w:sz w:val="24"/>
              </w:rPr>
              <w:t>项目支出绩效自评表</w:t>
            </w:r>
          </w:p>
        </w:tc>
      </w:tr>
      <w:tr w14:paraId="67DC2EC6">
        <w:tblPrEx>
          <w:tblCellMar>
            <w:top w:w="0" w:type="dxa"/>
            <w:left w:w="108" w:type="dxa"/>
            <w:bottom w:w="0" w:type="dxa"/>
            <w:right w:w="108" w:type="dxa"/>
          </w:tblCellMar>
        </w:tblPrEx>
        <w:tc>
          <w:tcPr>
            <w:tcW w:w="9060" w:type="dxa"/>
            <w:gridSpan w:val="14"/>
            <w:vAlign w:val="center"/>
          </w:tcPr>
          <w:p w14:paraId="5B849A27">
            <w:pPr>
              <w:jc w:val="center"/>
            </w:pPr>
            <w:r>
              <w:rPr>
                <w:rFonts w:ascii="宋体" w:hAnsi="宋体" w:eastAsia="宋体"/>
                <w:sz w:val="24"/>
              </w:rPr>
              <w:t>(2024年度)</w:t>
            </w:r>
          </w:p>
        </w:tc>
      </w:tr>
      <w:tr w14:paraId="5E281128">
        <w:tblPrEx>
          <w:tblCellMar>
            <w:top w:w="0" w:type="dxa"/>
            <w:left w:w="108" w:type="dxa"/>
            <w:bottom w:w="0" w:type="dxa"/>
            <w:right w:w="108" w:type="dxa"/>
          </w:tblCellMar>
        </w:tblPrEx>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552B593">
            <w:pPr>
              <w:jc w:val="center"/>
            </w:pPr>
            <w:r>
              <w:rPr>
                <w:rFonts w:ascii="宋体" w:hAnsi="宋体" w:eastAsia="宋体"/>
                <w:sz w:val="16"/>
              </w:rPr>
              <w:t>项目名称</w:t>
            </w:r>
          </w:p>
        </w:tc>
        <w:tc>
          <w:tcPr>
            <w:tcW w:w="846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FA240D">
            <w:pPr>
              <w:jc w:val="center"/>
            </w:pPr>
            <w:r>
              <w:rPr>
                <w:rFonts w:ascii="宋体" w:hAnsi="宋体" w:eastAsia="宋体"/>
                <w:sz w:val="16"/>
              </w:rPr>
              <w:t>2024年中央对地方成品油税费对各地农村公路日常养护支出</w:t>
            </w:r>
          </w:p>
        </w:tc>
      </w:tr>
      <w:tr w14:paraId="56C9187B">
        <w:tblPrEx>
          <w:tblCellMar>
            <w:top w:w="0" w:type="dxa"/>
            <w:left w:w="108" w:type="dxa"/>
            <w:bottom w:w="0" w:type="dxa"/>
            <w:right w:w="108" w:type="dxa"/>
          </w:tblCellMar>
        </w:tblPrEx>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7EEF8B2">
            <w:pPr>
              <w:jc w:val="center"/>
            </w:pPr>
            <w:r>
              <w:rPr>
                <w:rFonts w:ascii="宋体" w:hAnsi="宋体" w:eastAsia="宋体"/>
                <w:sz w:val="16"/>
              </w:rPr>
              <w:t>主管部门</w:t>
            </w:r>
          </w:p>
        </w:tc>
        <w:tc>
          <w:tcPr>
            <w:tcW w:w="47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1FB90">
            <w:pPr>
              <w:jc w:val="center"/>
            </w:pPr>
            <w:r>
              <w:rPr>
                <w:rFonts w:ascii="宋体" w:hAnsi="宋体" w:eastAsia="宋体"/>
                <w:sz w:val="16"/>
              </w:rPr>
              <w:t>霍尔果斯市交通运输局</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8F55ABC">
            <w:pPr>
              <w:jc w:val="center"/>
            </w:pPr>
            <w:r>
              <w:rPr>
                <w:rFonts w:ascii="宋体" w:hAnsi="宋体" w:eastAsia="宋体"/>
                <w:sz w:val="16"/>
              </w:rPr>
              <w:t>实施单位</w:t>
            </w:r>
          </w:p>
        </w:tc>
        <w:tc>
          <w:tcPr>
            <w:tcW w:w="31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51D91C">
            <w:pPr>
              <w:jc w:val="center"/>
            </w:pPr>
            <w:r>
              <w:rPr>
                <w:rFonts w:ascii="宋体" w:hAnsi="宋体" w:eastAsia="宋体"/>
                <w:sz w:val="16"/>
              </w:rPr>
              <w:t>霍尔果斯市交通运输局</w:t>
            </w:r>
          </w:p>
        </w:tc>
      </w:tr>
      <w:tr w14:paraId="0D9A1319">
        <w:tblPrEx>
          <w:tblCellMar>
            <w:top w:w="0" w:type="dxa"/>
            <w:left w:w="108" w:type="dxa"/>
            <w:bottom w:w="0" w:type="dxa"/>
            <w:right w:w="108" w:type="dxa"/>
          </w:tblCellMar>
        </w:tblPrEx>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7AF0A">
            <w:pPr>
              <w:jc w:val="center"/>
            </w:pPr>
            <w:r>
              <w:rPr>
                <w:rFonts w:ascii="宋体" w:hAnsi="宋体" w:eastAsia="宋体"/>
                <w:sz w:val="16"/>
              </w:rPr>
              <w:t>项目资金（万元）</w:t>
            </w:r>
          </w:p>
        </w:tc>
        <w:tc>
          <w:tcPr>
            <w:tcW w:w="10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B7B4">
            <w:pPr>
              <w:jc w:val="center"/>
            </w:pP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C528">
            <w:pPr>
              <w:jc w:val="center"/>
            </w:pPr>
            <w:r>
              <w:rPr>
                <w:rFonts w:ascii="宋体" w:hAnsi="宋体" w:eastAsia="宋体"/>
                <w:sz w:val="16"/>
              </w:rPr>
              <w:t>年初预算数</w:t>
            </w:r>
          </w:p>
        </w:tc>
        <w:tc>
          <w:tcPr>
            <w:tcW w:w="20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9373C">
            <w:pPr>
              <w:jc w:val="center"/>
            </w:pPr>
            <w:r>
              <w:rPr>
                <w:rFonts w:ascii="宋体" w:hAnsi="宋体" w:eastAsia="宋体"/>
                <w:sz w:val="16"/>
              </w:rPr>
              <w:t>全年预算数</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EC11">
            <w:pPr>
              <w:jc w:val="center"/>
            </w:pPr>
            <w:r>
              <w:rPr>
                <w:rFonts w:ascii="宋体" w:hAnsi="宋体" w:eastAsia="宋体"/>
                <w:sz w:val="16"/>
              </w:rPr>
              <w:t>全年执行数</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7BB3">
            <w:pPr>
              <w:jc w:val="center"/>
            </w:pPr>
            <w:r>
              <w:rPr>
                <w:rFonts w:ascii="宋体" w:hAnsi="宋体" w:eastAsia="宋体"/>
                <w:sz w:val="16"/>
              </w:rPr>
              <w:t>分值</w:t>
            </w:r>
          </w:p>
        </w:tc>
        <w:tc>
          <w:tcPr>
            <w:tcW w:w="13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B628D">
            <w:pPr>
              <w:jc w:val="center"/>
            </w:pPr>
            <w:r>
              <w:rPr>
                <w:rFonts w:ascii="宋体" w:hAnsi="宋体" w:eastAsia="宋体"/>
                <w:sz w:val="16"/>
              </w:rPr>
              <w:t>执行率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164EAF">
            <w:pPr>
              <w:jc w:val="center"/>
            </w:pPr>
            <w:r>
              <w:rPr>
                <w:rFonts w:ascii="宋体" w:hAnsi="宋体" w:eastAsia="宋体"/>
                <w:sz w:val="16"/>
              </w:rPr>
              <w:t>得分</w:t>
            </w:r>
          </w:p>
        </w:tc>
      </w:tr>
      <w:tr w14:paraId="26B1C281">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AF9F8FC"/>
        </w:tc>
        <w:tc>
          <w:tcPr>
            <w:tcW w:w="10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CAA8">
            <w:pPr>
              <w:jc w:val="center"/>
            </w:pPr>
            <w:r>
              <w:rPr>
                <w:rFonts w:ascii="宋体" w:hAnsi="宋体" w:eastAsia="宋体"/>
                <w:sz w:val="16"/>
              </w:rPr>
              <w:t>年度资金总额</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96C1D">
            <w:pPr>
              <w:jc w:val="center"/>
            </w:pPr>
            <w:r>
              <w:rPr>
                <w:rFonts w:ascii="宋体" w:hAnsi="宋体" w:eastAsia="宋体"/>
                <w:sz w:val="16"/>
              </w:rPr>
              <w:t>38.00</w:t>
            </w:r>
          </w:p>
        </w:tc>
        <w:tc>
          <w:tcPr>
            <w:tcW w:w="20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20F2">
            <w:pPr>
              <w:jc w:val="center"/>
            </w:pPr>
            <w:r>
              <w:rPr>
                <w:rFonts w:ascii="宋体" w:hAnsi="宋体" w:eastAsia="宋体"/>
                <w:sz w:val="16"/>
              </w:rPr>
              <w:t>38.00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3502">
            <w:pPr>
              <w:jc w:val="center"/>
            </w:pPr>
            <w:r>
              <w:rPr>
                <w:rFonts w:ascii="宋体" w:hAnsi="宋体" w:eastAsia="宋体"/>
                <w:sz w:val="16"/>
              </w:rPr>
              <w:t>38.00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739A">
            <w:pPr>
              <w:jc w:val="center"/>
            </w:pPr>
            <w:r>
              <w:rPr>
                <w:rFonts w:ascii="宋体" w:hAnsi="宋体" w:eastAsia="宋体"/>
                <w:sz w:val="16"/>
              </w:rPr>
              <w:t>10</w:t>
            </w:r>
          </w:p>
        </w:tc>
        <w:tc>
          <w:tcPr>
            <w:tcW w:w="13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41A89">
            <w:pPr>
              <w:jc w:val="center"/>
            </w:pPr>
            <w:r>
              <w:rPr>
                <w:rFonts w:ascii="宋体" w:hAnsi="宋体" w:eastAsia="宋体"/>
                <w:sz w:val="16"/>
              </w:rPr>
              <w:t>100.00%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322352">
            <w:pPr>
              <w:jc w:val="center"/>
            </w:pPr>
            <w:r>
              <w:rPr>
                <w:rFonts w:ascii="宋体" w:hAnsi="宋体" w:eastAsia="宋体"/>
                <w:sz w:val="16"/>
              </w:rPr>
              <w:t>10.00</w:t>
            </w:r>
          </w:p>
        </w:tc>
      </w:tr>
      <w:tr w14:paraId="6009F0F8">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69A1"/>
        </w:tc>
        <w:tc>
          <w:tcPr>
            <w:tcW w:w="10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54E2">
            <w:pPr>
              <w:jc w:val="center"/>
            </w:pPr>
            <w:r>
              <w:rPr>
                <w:rFonts w:ascii="宋体" w:hAnsi="宋体" w:eastAsia="宋体"/>
                <w:sz w:val="16"/>
              </w:rPr>
              <w:t>其中：当年财政拨款</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BCC7">
            <w:pPr>
              <w:jc w:val="center"/>
            </w:pPr>
            <w:r>
              <w:rPr>
                <w:rFonts w:ascii="宋体" w:hAnsi="宋体" w:eastAsia="宋体"/>
                <w:sz w:val="16"/>
              </w:rPr>
              <w:t>38.00</w:t>
            </w:r>
          </w:p>
        </w:tc>
        <w:tc>
          <w:tcPr>
            <w:tcW w:w="20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D1549">
            <w:pPr>
              <w:jc w:val="center"/>
            </w:pPr>
            <w:r>
              <w:rPr>
                <w:rFonts w:ascii="宋体" w:hAnsi="宋体" w:eastAsia="宋体"/>
                <w:sz w:val="16"/>
              </w:rPr>
              <w:t>38.00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DB33">
            <w:pPr>
              <w:jc w:val="center"/>
            </w:pPr>
            <w:r>
              <w:rPr>
                <w:rFonts w:ascii="宋体" w:hAnsi="宋体" w:eastAsia="宋体"/>
                <w:sz w:val="16"/>
              </w:rPr>
              <w:t>38.00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E585">
            <w:pPr>
              <w:jc w:val="center"/>
            </w:pPr>
            <w:r>
              <w:rPr>
                <w:rFonts w:ascii="宋体" w:hAnsi="宋体" w:eastAsia="宋体"/>
                <w:sz w:val="16"/>
              </w:rPr>
              <w:t>—</w:t>
            </w:r>
          </w:p>
        </w:tc>
        <w:tc>
          <w:tcPr>
            <w:tcW w:w="13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F9F8">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5DD013">
            <w:pPr>
              <w:jc w:val="center"/>
            </w:pPr>
            <w:r>
              <w:rPr>
                <w:rFonts w:ascii="宋体" w:hAnsi="宋体" w:eastAsia="宋体"/>
                <w:sz w:val="16"/>
              </w:rPr>
              <w:t>—</w:t>
            </w:r>
          </w:p>
        </w:tc>
      </w:tr>
      <w:tr w14:paraId="35B0A3E4">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5FA7371F"/>
        </w:tc>
        <w:tc>
          <w:tcPr>
            <w:tcW w:w="10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0117">
            <w:pPr>
              <w:jc w:val="center"/>
            </w:pPr>
            <w:r>
              <w:rPr>
                <w:rFonts w:ascii="宋体" w:hAnsi="宋体" w:eastAsia="宋体"/>
                <w:sz w:val="16"/>
              </w:rPr>
              <w:t xml:space="preserve">  其他资金</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6931">
            <w:pPr>
              <w:jc w:val="center"/>
            </w:pPr>
            <w:r>
              <w:rPr>
                <w:rFonts w:ascii="宋体" w:hAnsi="宋体" w:eastAsia="宋体"/>
                <w:sz w:val="16"/>
              </w:rPr>
              <w:t>0.00</w:t>
            </w:r>
          </w:p>
        </w:tc>
        <w:tc>
          <w:tcPr>
            <w:tcW w:w="20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C7D3">
            <w:pPr>
              <w:jc w:val="center"/>
            </w:pPr>
            <w:r>
              <w:rPr>
                <w:rFonts w:ascii="宋体" w:hAnsi="宋体" w:eastAsia="宋体"/>
                <w:sz w:val="16"/>
              </w:rPr>
              <w:t>0.00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70C1">
            <w:pPr>
              <w:jc w:val="center"/>
            </w:pPr>
            <w:r>
              <w:rPr>
                <w:rFonts w:ascii="宋体" w:hAnsi="宋体" w:eastAsia="宋体"/>
                <w:sz w:val="16"/>
              </w:rPr>
              <w:t>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7A32">
            <w:pPr>
              <w:jc w:val="center"/>
            </w:pPr>
            <w:r>
              <w:rPr>
                <w:rFonts w:ascii="宋体" w:hAnsi="宋体" w:eastAsia="宋体"/>
                <w:sz w:val="16"/>
              </w:rPr>
              <w:t>—</w:t>
            </w:r>
          </w:p>
        </w:tc>
        <w:tc>
          <w:tcPr>
            <w:tcW w:w="13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1EE1">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C1CB38">
            <w:pPr>
              <w:jc w:val="center"/>
            </w:pPr>
            <w:r>
              <w:rPr>
                <w:rFonts w:ascii="宋体" w:hAnsi="宋体" w:eastAsia="宋体"/>
                <w:sz w:val="16"/>
              </w:rPr>
              <w:t>—</w:t>
            </w:r>
          </w:p>
        </w:tc>
      </w:tr>
      <w:tr w14:paraId="20E9D1F6">
        <w:tblPrEx>
          <w:tblCellMar>
            <w:top w:w="0" w:type="dxa"/>
            <w:left w:w="108" w:type="dxa"/>
            <w:bottom w:w="0" w:type="dxa"/>
            <w:right w:w="108" w:type="dxa"/>
          </w:tblCellMar>
        </w:tblPrEx>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99B43">
            <w:pPr>
              <w:jc w:val="center"/>
            </w:pPr>
            <w:r>
              <w:rPr>
                <w:rFonts w:ascii="宋体" w:hAnsi="宋体" w:eastAsia="宋体"/>
                <w:sz w:val="16"/>
              </w:rPr>
              <w:t>年度总体目标</w:t>
            </w:r>
          </w:p>
        </w:tc>
        <w:tc>
          <w:tcPr>
            <w:tcW w:w="47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820CE">
            <w:pPr>
              <w:jc w:val="center"/>
            </w:pPr>
            <w:r>
              <w:rPr>
                <w:rFonts w:ascii="宋体" w:hAnsi="宋体" w:eastAsia="宋体"/>
                <w:sz w:val="16"/>
              </w:rPr>
              <w:t>预期目标</w:t>
            </w:r>
          </w:p>
        </w:tc>
        <w:tc>
          <w:tcPr>
            <w:tcW w:w="370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45DB4">
            <w:pPr>
              <w:jc w:val="center"/>
            </w:pPr>
            <w:r>
              <w:rPr>
                <w:rFonts w:ascii="宋体" w:hAnsi="宋体" w:eastAsia="宋体"/>
                <w:sz w:val="16"/>
              </w:rPr>
              <w:t>实际完成情况</w:t>
            </w:r>
          </w:p>
        </w:tc>
      </w:tr>
      <w:tr w14:paraId="0F8A0C30">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18BA755C"/>
        </w:tc>
        <w:tc>
          <w:tcPr>
            <w:tcW w:w="47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99875">
            <w:pPr>
              <w:jc w:val="both"/>
            </w:pPr>
            <w:r>
              <w:rPr>
                <w:rFonts w:ascii="宋体" w:hAnsi="宋体" w:eastAsia="宋体"/>
                <w:sz w:val="16"/>
              </w:rPr>
              <w:t>2024年中央对地方成品油税费对各地农村公路日常养护项目，建设完成桥梁护栏刷漆132㎡，维护道路标线4184.57㎡，维护标志牌77处，修补沥青路面坑槽9612.75m2。共计支付38万元，完成提升城市承载力优化人居环境，改善居民出行环境的目标，达到提升居民幸福感、优化营商环境效果。</w:t>
            </w:r>
          </w:p>
        </w:tc>
        <w:tc>
          <w:tcPr>
            <w:tcW w:w="370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9E253">
            <w:pPr>
              <w:jc w:val="both"/>
            </w:pPr>
            <w:r>
              <w:rPr>
                <w:rFonts w:ascii="宋体" w:hAnsi="宋体" w:eastAsia="宋体"/>
                <w:sz w:val="16"/>
              </w:rPr>
              <w:t>2024年中央对地方成品油税费对各地农村公路日常养护项目，建设完成桥梁护栏刷漆132㎡，维护道路标线4184.57㎡，维护标志牌77处，修补沥青路面坑槽9612.75m2。共计支付38万元，有效改善居民出行环境，提升了城市承载力优化人居环境，提升了人民群众幸福感。</w:t>
            </w:r>
          </w:p>
        </w:tc>
      </w:tr>
      <w:tr w14:paraId="1FDF4EC4">
        <w:tblPrEx>
          <w:tblCellMar>
            <w:top w:w="0" w:type="dxa"/>
            <w:left w:w="108" w:type="dxa"/>
            <w:bottom w:w="0" w:type="dxa"/>
            <w:right w:w="108" w:type="dxa"/>
          </w:tblCellMar>
        </w:tblPrEx>
        <w:tc>
          <w:tcPr>
            <w:tcW w:w="592" w:type="dxa"/>
            <w:tcBorders>
              <w:top w:val="single" w:color="auto" w:sz="10" w:space="0"/>
              <w:left w:val="single" w:color="auto" w:sz="10" w:space="0"/>
              <w:bottom w:val="single" w:color="auto" w:sz="10" w:space="0"/>
              <w:right w:val="single" w:color="auto" w:sz="10" w:space="0"/>
              <w:insideV w:val="single" w:sz="10" w:space="0"/>
            </w:tcBorders>
          </w:tcPr>
          <w:p w14:paraId="575272DE"/>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48DD9AD0">
            <w:pPr>
              <w:jc w:val="center"/>
            </w:pPr>
            <w:r>
              <w:rPr>
                <w:rFonts w:ascii="宋体" w:hAnsi="宋体" w:eastAsia="宋体"/>
                <w:sz w:val="16"/>
              </w:rPr>
              <w:t>一级指标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2749E675">
            <w:pPr>
              <w:jc w:val="center"/>
            </w:pPr>
            <w:r>
              <w:rPr>
                <w:rFonts w:ascii="宋体" w:hAnsi="宋体" w:eastAsia="宋体"/>
                <w:sz w:val="16"/>
              </w:rPr>
              <w:t>二级指标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B94FF44">
            <w:pPr>
              <w:jc w:val="center"/>
            </w:pPr>
            <w:r>
              <w:rPr>
                <w:rFonts w:ascii="宋体" w:hAnsi="宋体" w:eastAsia="宋体"/>
                <w:sz w:val="16"/>
              </w:rPr>
              <w:t>三级指标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25F50B2">
            <w:pPr>
              <w:jc w:val="center"/>
            </w:pPr>
            <w:r>
              <w:rPr>
                <w:rFonts w:ascii="宋体" w:hAnsi="宋体" w:eastAsia="宋体"/>
                <w:sz w:val="16"/>
              </w:rPr>
              <w:t>权重</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352FCF5D">
            <w:pPr>
              <w:jc w:val="center"/>
            </w:pPr>
            <w:r>
              <w:rPr>
                <w:rFonts w:ascii="宋体" w:hAnsi="宋体" w:eastAsia="宋体"/>
                <w:sz w:val="16"/>
              </w:rPr>
              <w:t>目标值</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F8996A9">
            <w:pPr>
              <w:jc w:val="center"/>
            </w:pPr>
            <w:r>
              <w:rPr>
                <w:rFonts w:ascii="宋体" w:hAnsi="宋体" w:eastAsia="宋体"/>
                <w:sz w:val="16"/>
              </w:rPr>
              <w:t>业绩值</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1A13D8D">
            <w:pPr>
              <w:jc w:val="center"/>
            </w:pPr>
            <w:r>
              <w:rPr>
                <w:rFonts w:ascii="宋体" w:hAnsi="宋体" w:eastAsia="宋体"/>
                <w:sz w:val="16"/>
              </w:rPr>
              <w:t>完成率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A05BE45">
            <w:pPr>
              <w:jc w:val="center"/>
            </w:pPr>
            <w:r>
              <w:rPr>
                <w:rFonts w:ascii="宋体" w:hAnsi="宋体" w:eastAsia="宋体"/>
                <w:sz w:val="16"/>
              </w:rPr>
              <w:t>得分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80E8209">
            <w:pPr>
              <w:jc w:val="center"/>
            </w:pPr>
            <w:r>
              <w:rPr>
                <w:rFonts w:ascii="宋体" w:hAnsi="宋体" w:eastAsia="宋体"/>
                <w:sz w:val="16"/>
              </w:rPr>
              <w:t>指标值设定依据</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38E1259">
            <w:pPr>
              <w:jc w:val="center"/>
            </w:pPr>
            <w:r>
              <w:rPr>
                <w:rFonts w:ascii="宋体" w:hAnsi="宋体" w:eastAsia="宋体"/>
                <w:sz w:val="16"/>
              </w:rPr>
              <w:t>上年完成情况</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625E73C8">
            <w:pPr>
              <w:jc w:val="center"/>
            </w:pPr>
            <w:r>
              <w:rPr>
                <w:rFonts w:ascii="宋体" w:hAnsi="宋体" w:eastAsia="宋体"/>
                <w:sz w:val="16"/>
              </w:rPr>
              <w:t>赋分规则</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C579C21">
            <w:pPr>
              <w:jc w:val="center"/>
            </w:pPr>
            <w:r>
              <w:rPr>
                <w:rFonts w:ascii="宋体" w:hAnsi="宋体" w:eastAsia="宋体"/>
                <w:sz w:val="16"/>
              </w:rPr>
              <w:t>佐证资料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13608C">
            <w:pPr>
              <w:jc w:val="center"/>
            </w:pPr>
            <w:r>
              <w:rPr>
                <w:rFonts w:ascii="宋体" w:hAnsi="宋体" w:eastAsia="宋体"/>
                <w:sz w:val="16"/>
              </w:rPr>
              <w:t>偏差原因分析及改进措施</w:t>
            </w:r>
          </w:p>
        </w:tc>
      </w:tr>
      <w:tr w14:paraId="27E3957A">
        <w:tblPrEx>
          <w:tblCellMar>
            <w:top w:w="0" w:type="dxa"/>
            <w:left w:w="108" w:type="dxa"/>
            <w:bottom w:w="0" w:type="dxa"/>
            <w:right w:w="108" w:type="dxa"/>
          </w:tblCellMar>
        </w:tblPrEx>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42CA5">
            <w:pPr>
              <w:jc w:val="center"/>
            </w:pPr>
            <w:r>
              <w:rPr>
                <w:rFonts w:ascii="宋体" w:hAnsi="宋体" w:eastAsia="宋体"/>
                <w:sz w:val="16"/>
              </w:rPr>
              <w:t>年度绩效指标完成情况</w:t>
            </w:r>
          </w:p>
        </w:tc>
        <w:tc>
          <w:tcPr>
            <w:tcW w:w="5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B1D27">
            <w:pPr>
              <w:jc w:val="center"/>
            </w:pPr>
            <w:r>
              <w:rPr>
                <w:rFonts w:ascii="宋体" w:hAnsi="宋体" w:eastAsia="宋体"/>
                <w:sz w:val="16"/>
              </w:rPr>
              <w:t>产出指标</w:t>
            </w:r>
          </w:p>
        </w:tc>
        <w:tc>
          <w:tcPr>
            <w:tcW w:w="5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994C5">
            <w:pPr>
              <w:jc w:val="center"/>
            </w:pPr>
            <w:r>
              <w:rPr>
                <w:rFonts w:ascii="宋体" w:hAnsi="宋体" w:eastAsia="宋体"/>
                <w:sz w:val="16"/>
              </w:rPr>
              <w:t>数量指标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08909F1">
            <w:pPr>
              <w:jc w:val="center"/>
            </w:pPr>
            <w:r>
              <w:rPr>
                <w:rFonts w:ascii="宋体" w:hAnsi="宋体" w:eastAsia="宋体"/>
                <w:sz w:val="16"/>
              </w:rPr>
              <w:t>桥梁护栏刷漆</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D6C2DBC">
            <w:pPr>
              <w:jc w:val="center"/>
            </w:pPr>
            <w:r>
              <w:rPr>
                <w:rFonts w:ascii="宋体" w:hAnsi="宋体" w:eastAsia="宋体"/>
                <w:sz w:val="16"/>
              </w:rPr>
              <w:t>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9B14B97">
            <w:pPr>
              <w:jc w:val="center"/>
            </w:pPr>
            <w:r>
              <w:rPr>
                <w:rFonts w:ascii="宋体" w:hAnsi="宋体" w:eastAsia="宋体"/>
                <w:sz w:val="16"/>
              </w:rPr>
              <w:t>&gt;=132㎡</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DE0BC12">
            <w:pPr>
              <w:jc w:val="center"/>
            </w:pPr>
            <w:r>
              <w:rPr>
                <w:rFonts w:ascii="宋体" w:hAnsi="宋体" w:eastAsia="宋体"/>
                <w:sz w:val="16"/>
              </w:rPr>
              <w:t>132㎡</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CEA1C82">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B0FF310">
            <w:pPr>
              <w:jc w:val="center"/>
            </w:pPr>
            <w:r>
              <w:rPr>
                <w:rFonts w:ascii="宋体" w:hAnsi="宋体" w:eastAsia="宋体"/>
                <w:sz w:val="16"/>
              </w:rPr>
              <w:t>8</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7FF7472">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9A9B794">
            <w:pPr>
              <w:jc w:val="center"/>
            </w:pPr>
            <w:r>
              <w:rPr>
                <w:rFonts w:ascii="宋体" w:hAnsi="宋体" w:eastAsia="宋体"/>
                <w:sz w:val="16"/>
              </w:rPr>
              <w:t>132㎡</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D1F43AF">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66E5030">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10AB86">
            <w:pPr>
              <w:jc w:val="center"/>
            </w:pPr>
          </w:p>
        </w:tc>
      </w:tr>
      <w:tr w14:paraId="270F5741">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9ABA7A0"/>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08D75543"/>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1D715749"/>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405A3813">
            <w:pPr>
              <w:jc w:val="center"/>
            </w:pPr>
            <w:r>
              <w:rPr>
                <w:rFonts w:ascii="宋体" w:hAnsi="宋体" w:eastAsia="宋体"/>
                <w:sz w:val="16"/>
              </w:rPr>
              <w:t>维护道路标线</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10446B1">
            <w:pPr>
              <w:jc w:val="center"/>
            </w:pPr>
            <w:r>
              <w:rPr>
                <w:rFonts w:ascii="宋体" w:hAnsi="宋体" w:eastAsia="宋体"/>
                <w:sz w:val="16"/>
              </w:rPr>
              <w:t>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B1C46E2">
            <w:pPr>
              <w:jc w:val="center"/>
            </w:pPr>
            <w:r>
              <w:rPr>
                <w:rFonts w:ascii="宋体" w:hAnsi="宋体" w:eastAsia="宋体"/>
                <w:sz w:val="16"/>
              </w:rPr>
              <w:t>&gt;=4184.57㎡</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D3643D2">
            <w:pPr>
              <w:jc w:val="center"/>
            </w:pPr>
            <w:r>
              <w:rPr>
                <w:rFonts w:ascii="宋体" w:hAnsi="宋体" w:eastAsia="宋体"/>
                <w:sz w:val="16"/>
              </w:rPr>
              <w:t>4184.57㎡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6231B91">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CF61BBA">
            <w:pPr>
              <w:jc w:val="center"/>
            </w:pPr>
            <w:r>
              <w:rPr>
                <w:rFonts w:ascii="宋体" w:hAnsi="宋体" w:eastAsia="宋体"/>
                <w:sz w:val="16"/>
              </w:rPr>
              <w:t>8</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2ED0A636">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023DD17">
            <w:pPr>
              <w:jc w:val="center"/>
            </w:pPr>
            <w:r>
              <w:rPr>
                <w:rFonts w:ascii="宋体" w:hAnsi="宋体" w:eastAsia="宋体"/>
                <w:sz w:val="16"/>
              </w:rPr>
              <w:t>4184.57㎡</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B0656D8">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A70FE64">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4A94EB">
            <w:pPr>
              <w:jc w:val="center"/>
            </w:pPr>
          </w:p>
        </w:tc>
      </w:tr>
      <w:tr w14:paraId="5C245687">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F38E"/>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3F876B29"/>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0CDF08CD"/>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32DC513">
            <w:pPr>
              <w:jc w:val="center"/>
            </w:pPr>
            <w:r>
              <w:rPr>
                <w:rFonts w:ascii="宋体" w:hAnsi="宋体" w:eastAsia="宋体"/>
                <w:sz w:val="16"/>
              </w:rPr>
              <w:t>维护标志牌</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4BD99E1">
            <w:pPr>
              <w:jc w:val="center"/>
            </w:pPr>
            <w:r>
              <w:rPr>
                <w:rFonts w:ascii="宋体" w:hAnsi="宋体" w:eastAsia="宋体"/>
                <w:sz w:val="16"/>
              </w:rPr>
              <w:t>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937CA8C">
            <w:pPr>
              <w:jc w:val="center"/>
            </w:pPr>
            <w:r>
              <w:rPr>
                <w:rFonts w:ascii="宋体" w:hAnsi="宋体" w:eastAsia="宋体"/>
                <w:sz w:val="16"/>
              </w:rPr>
              <w:t>&gt;=77处</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6F9CE42">
            <w:pPr>
              <w:jc w:val="center"/>
            </w:pPr>
            <w:r>
              <w:rPr>
                <w:rFonts w:ascii="宋体" w:hAnsi="宋体" w:eastAsia="宋体"/>
                <w:sz w:val="16"/>
              </w:rPr>
              <w:t>77处</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2D1DC74">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E9985DB">
            <w:pPr>
              <w:jc w:val="center"/>
            </w:pPr>
            <w:r>
              <w:rPr>
                <w:rFonts w:ascii="宋体" w:hAnsi="宋体" w:eastAsia="宋体"/>
                <w:sz w:val="16"/>
              </w:rPr>
              <w:t>8</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EC48B77">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71676C4">
            <w:pPr>
              <w:jc w:val="center"/>
            </w:pPr>
            <w:r>
              <w:rPr>
                <w:rFonts w:ascii="宋体" w:hAnsi="宋体" w:eastAsia="宋体"/>
                <w:sz w:val="16"/>
              </w:rPr>
              <w:t>77处</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6751B73A">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17EC7212">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57A4ED">
            <w:pPr>
              <w:jc w:val="center"/>
            </w:pPr>
          </w:p>
        </w:tc>
      </w:tr>
      <w:tr w14:paraId="457950BE">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787456D0"/>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0BC0246F"/>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1C92AFAD"/>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A7C2BBC">
            <w:pPr>
              <w:jc w:val="center"/>
            </w:pPr>
            <w:r>
              <w:rPr>
                <w:rFonts w:ascii="宋体" w:hAnsi="宋体" w:eastAsia="宋体"/>
                <w:sz w:val="16"/>
              </w:rPr>
              <w:t>修补沥青路面坑槽</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3104302">
            <w:pPr>
              <w:jc w:val="center"/>
            </w:pPr>
            <w:r>
              <w:rPr>
                <w:rFonts w:ascii="宋体" w:hAnsi="宋体" w:eastAsia="宋体"/>
                <w:sz w:val="16"/>
              </w:rPr>
              <w:t>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3CB7366E">
            <w:pPr>
              <w:jc w:val="center"/>
            </w:pPr>
            <w:r>
              <w:rPr>
                <w:rFonts w:ascii="宋体" w:hAnsi="宋体" w:eastAsia="宋体"/>
                <w:sz w:val="16"/>
              </w:rPr>
              <w:t>&gt;=9612.75m2</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085A513">
            <w:pPr>
              <w:jc w:val="center"/>
            </w:pPr>
            <w:r>
              <w:rPr>
                <w:rFonts w:ascii="宋体" w:hAnsi="宋体" w:eastAsia="宋体"/>
                <w:sz w:val="16"/>
              </w:rPr>
              <w:t>9612.75m2</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1A92778">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7A66008">
            <w:pPr>
              <w:jc w:val="center"/>
            </w:pPr>
            <w:r>
              <w:rPr>
                <w:rFonts w:ascii="宋体" w:hAnsi="宋体" w:eastAsia="宋体"/>
                <w:sz w:val="16"/>
              </w:rPr>
              <w:t>8</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5D7255E9">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981DE64">
            <w:pPr>
              <w:jc w:val="center"/>
            </w:pPr>
            <w:r>
              <w:rPr>
                <w:rFonts w:ascii="宋体" w:hAnsi="宋体" w:eastAsia="宋体"/>
                <w:sz w:val="16"/>
              </w:rPr>
              <w:t>9612.75m2</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66A0F9EC">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D6BB06C">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E2962B">
            <w:pPr>
              <w:jc w:val="center"/>
            </w:pPr>
          </w:p>
        </w:tc>
      </w:tr>
      <w:tr w14:paraId="1F6EB6CD">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48999F7F"/>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292A4872"/>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26CDDF9A">
            <w:pPr>
              <w:jc w:val="center"/>
            </w:pPr>
            <w:r>
              <w:rPr>
                <w:rFonts w:ascii="宋体" w:hAnsi="宋体" w:eastAsia="宋体"/>
                <w:sz w:val="16"/>
              </w:rPr>
              <w:t>质量指标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A6E9DCE">
            <w:pPr>
              <w:jc w:val="center"/>
            </w:pPr>
            <w:r>
              <w:rPr>
                <w:rFonts w:ascii="宋体" w:hAnsi="宋体" w:eastAsia="宋体"/>
                <w:sz w:val="16"/>
              </w:rPr>
              <w:t>工程合格率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E32A849">
            <w:pPr>
              <w:jc w:val="center"/>
            </w:pPr>
            <w:r>
              <w:rPr>
                <w:rFonts w:ascii="宋体" w:hAnsi="宋体" w:eastAsia="宋体"/>
                <w:sz w:val="16"/>
              </w:rPr>
              <w:t>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BA3A6BC">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B75B572">
            <w:pPr>
              <w:jc w:val="center"/>
            </w:pPr>
            <w:r>
              <w:rPr>
                <w:rFonts w:ascii="宋体" w:hAnsi="宋体" w:eastAsia="宋体"/>
                <w:sz w:val="16"/>
              </w:rPr>
              <w:t>100%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38237C4">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9199608">
            <w:pPr>
              <w:jc w:val="center"/>
            </w:pPr>
            <w:r>
              <w:rPr>
                <w:rFonts w:ascii="宋体" w:hAnsi="宋体" w:eastAsia="宋体"/>
                <w:sz w:val="16"/>
              </w:rPr>
              <w:t>8</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2F5E6B6A">
            <w:pPr>
              <w:jc w:val="center"/>
            </w:pPr>
            <w:r>
              <w:rPr>
                <w:rFonts w:ascii="宋体" w:hAnsi="宋体" w:eastAsia="宋体"/>
                <w:sz w:val="16"/>
              </w:rPr>
              <w:t>行业标准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D2BE7F0">
            <w:pPr>
              <w:jc w:val="center"/>
            </w:pPr>
            <w:r>
              <w:rPr>
                <w:rFonts w:ascii="宋体" w:hAnsi="宋体" w:eastAsia="宋体"/>
                <w:sz w:val="16"/>
              </w:rPr>
              <w:t>100%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EFD6891">
            <w:pPr>
              <w:jc w:val="center"/>
            </w:pPr>
            <w:r>
              <w:rPr>
                <w:rFonts w:ascii="宋体" w:hAnsi="宋体" w:eastAsia="宋体"/>
                <w:sz w:val="16"/>
              </w:rPr>
              <w:t>直接赋分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15F8697">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90A907">
            <w:pPr>
              <w:jc w:val="center"/>
            </w:pPr>
          </w:p>
        </w:tc>
      </w:tr>
      <w:tr w14:paraId="13634A63">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336B75CD"/>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6D7414FB"/>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8CF4E72">
            <w:pPr>
              <w:jc w:val="center"/>
            </w:pPr>
            <w:r>
              <w:rPr>
                <w:rFonts w:ascii="宋体" w:hAnsi="宋体" w:eastAsia="宋体"/>
                <w:sz w:val="16"/>
              </w:rPr>
              <w:t>时效指标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29255AD">
            <w:pPr>
              <w:jc w:val="center"/>
            </w:pPr>
            <w:r>
              <w:rPr>
                <w:rFonts w:ascii="宋体" w:hAnsi="宋体" w:eastAsia="宋体"/>
                <w:sz w:val="16"/>
              </w:rPr>
              <w:t>按期完成投资率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8E42C0F">
            <w:pPr>
              <w:jc w:val="center"/>
            </w:pPr>
            <w:r>
              <w:rPr>
                <w:rFonts w:ascii="宋体" w:hAnsi="宋体" w:eastAsia="宋体"/>
                <w:sz w:val="16"/>
              </w:rPr>
              <w:t>10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00EF774">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C9520C5">
            <w:pPr>
              <w:jc w:val="center"/>
            </w:pPr>
            <w:r>
              <w:rPr>
                <w:rFonts w:ascii="宋体" w:hAnsi="宋体" w:eastAsia="宋体"/>
                <w:sz w:val="16"/>
              </w:rPr>
              <w:t>100%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783A40E">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017C976">
            <w:pPr>
              <w:jc w:val="center"/>
            </w:pPr>
            <w:r>
              <w:rPr>
                <w:rFonts w:ascii="宋体" w:hAnsi="宋体" w:eastAsia="宋体"/>
                <w:sz w:val="16"/>
              </w:rPr>
              <w:t>10</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09CD77E">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5C163B3">
            <w:pPr>
              <w:jc w:val="center"/>
            </w:pPr>
            <w:r>
              <w:rPr>
                <w:rFonts w:ascii="宋体" w:hAnsi="宋体" w:eastAsia="宋体"/>
                <w:sz w:val="16"/>
              </w:rPr>
              <w:t>100%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4ED620E">
            <w:pPr>
              <w:jc w:val="center"/>
            </w:pPr>
            <w:r>
              <w:rPr>
                <w:rFonts w:ascii="宋体" w:hAnsi="宋体" w:eastAsia="宋体"/>
                <w:sz w:val="16"/>
              </w:rPr>
              <w:t>直接赋分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F35D915">
            <w:pPr>
              <w:jc w:val="center"/>
            </w:pPr>
            <w:r>
              <w:rPr>
                <w:rFonts w:ascii="宋体" w:hAnsi="宋体" w:eastAsia="宋体"/>
                <w:sz w:val="16"/>
              </w:rPr>
              <w:t>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823455">
            <w:pPr>
              <w:jc w:val="center"/>
            </w:pPr>
          </w:p>
        </w:tc>
      </w:tr>
      <w:tr w14:paraId="38A1CBC9">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782C1AD3"/>
        </w:tc>
        <w:tc>
          <w:tcPr>
            <w:tcW w:w="5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D8019">
            <w:pPr>
              <w:jc w:val="center"/>
            </w:pPr>
            <w:r>
              <w:rPr>
                <w:rFonts w:ascii="宋体" w:hAnsi="宋体" w:eastAsia="宋体"/>
                <w:sz w:val="16"/>
              </w:rPr>
              <w:t>效益指标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C05F116">
            <w:pPr>
              <w:jc w:val="center"/>
            </w:pPr>
            <w:r>
              <w:rPr>
                <w:rFonts w:ascii="宋体" w:hAnsi="宋体" w:eastAsia="宋体"/>
                <w:sz w:val="16"/>
              </w:rPr>
              <w:t>经济效益指标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2187AC9">
            <w:pPr>
              <w:jc w:val="center"/>
            </w:pPr>
            <w:r>
              <w:rPr>
                <w:rFonts w:ascii="宋体" w:hAnsi="宋体" w:eastAsia="宋体"/>
                <w:sz w:val="16"/>
              </w:rPr>
              <w:t>对经济发展促进作用</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7E695F41">
            <w:pPr>
              <w:jc w:val="center"/>
            </w:pPr>
            <w:r>
              <w:rPr>
                <w:rFonts w:ascii="宋体" w:hAnsi="宋体" w:eastAsia="宋体"/>
                <w:sz w:val="16"/>
              </w:rPr>
              <w:t>15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815C55F">
            <w:pPr>
              <w:jc w:val="center"/>
            </w:pPr>
            <w:r>
              <w:rPr>
                <w:rFonts w:ascii="宋体" w:hAnsi="宋体" w:eastAsia="宋体"/>
                <w:sz w:val="16"/>
              </w:rPr>
              <w:t>明显提升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A5FA089">
            <w:pPr>
              <w:jc w:val="center"/>
            </w:pPr>
            <w:r>
              <w:rPr>
                <w:rFonts w:ascii="宋体" w:hAnsi="宋体" w:eastAsia="宋体"/>
                <w:sz w:val="16"/>
              </w:rPr>
              <w:t>有所提升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D4D58D1">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78A96217">
            <w:pPr>
              <w:jc w:val="center"/>
            </w:pPr>
            <w:r>
              <w:rPr>
                <w:rFonts w:ascii="宋体" w:hAnsi="宋体" w:eastAsia="宋体"/>
                <w:sz w:val="16"/>
              </w:rPr>
              <w:t>15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DD1E0A8">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E002FBA">
            <w:pPr>
              <w:jc w:val="center"/>
            </w:pPr>
            <w:r>
              <w:rPr>
                <w:rFonts w:ascii="宋体" w:hAnsi="宋体" w:eastAsia="宋体"/>
                <w:sz w:val="16"/>
              </w:rPr>
              <w:t>明显提升</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1A819469">
            <w:pPr>
              <w:jc w:val="center"/>
            </w:pPr>
            <w:r>
              <w:rPr>
                <w:rFonts w:ascii="宋体" w:hAnsi="宋体" w:eastAsia="宋体"/>
                <w:sz w:val="16"/>
              </w:rPr>
              <w:t>按评判等级赋分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589EDBD">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8A129A">
            <w:pPr>
              <w:jc w:val="center"/>
            </w:pPr>
          </w:p>
        </w:tc>
      </w:tr>
      <w:tr w14:paraId="7EB24B15">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07F6B9C0"/>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1E87DEF4"/>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E3C6B11">
            <w:pPr>
              <w:jc w:val="center"/>
            </w:pPr>
            <w:r>
              <w:rPr>
                <w:rFonts w:ascii="宋体" w:hAnsi="宋体" w:eastAsia="宋体"/>
                <w:sz w:val="16"/>
              </w:rPr>
              <w:t>社会效益指标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42F63F28">
            <w:pPr>
              <w:jc w:val="center"/>
            </w:pPr>
            <w:r>
              <w:rPr>
                <w:rFonts w:ascii="宋体" w:hAnsi="宋体" w:eastAsia="宋体"/>
                <w:sz w:val="16"/>
              </w:rPr>
              <w:t>项目适应未来一定时期交通需求</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7DE38636">
            <w:pPr>
              <w:jc w:val="center"/>
            </w:pPr>
            <w:r>
              <w:rPr>
                <w:rFonts w:ascii="宋体" w:hAnsi="宋体" w:eastAsia="宋体"/>
                <w:sz w:val="16"/>
              </w:rPr>
              <w:t>15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5D100F4">
            <w:pPr>
              <w:jc w:val="center"/>
            </w:pPr>
            <w:r>
              <w:rPr>
                <w:rFonts w:ascii="宋体" w:hAnsi="宋体" w:eastAsia="宋体"/>
                <w:sz w:val="16"/>
              </w:rPr>
              <w:t>明显</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193232A">
            <w:pPr>
              <w:jc w:val="center"/>
            </w:pPr>
            <w:r>
              <w:rPr>
                <w:rFonts w:ascii="宋体" w:hAnsi="宋体" w:eastAsia="宋体"/>
                <w:sz w:val="16"/>
              </w:rPr>
              <w:t>有所改善</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D1B8AF9">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8C1EEA8">
            <w:pPr>
              <w:jc w:val="center"/>
            </w:pPr>
            <w:r>
              <w:rPr>
                <w:rFonts w:ascii="宋体" w:hAnsi="宋体" w:eastAsia="宋体"/>
                <w:sz w:val="16"/>
              </w:rPr>
              <w:t>15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DE88158">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661C71C">
            <w:pPr>
              <w:jc w:val="center"/>
            </w:pPr>
            <w:r>
              <w:rPr>
                <w:rFonts w:ascii="宋体" w:hAnsi="宋体" w:eastAsia="宋体"/>
                <w:sz w:val="16"/>
              </w:rPr>
              <w:t>明显</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2C19212">
            <w:pPr>
              <w:jc w:val="center"/>
            </w:pPr>
            <w:r>
              <w:rPr>
                <w:rFonts w:ascii="宋体" w:hAnsi="宋体" w:eastAsia="宋体"/>
                <w:sz w:val="16"/>
              </w:rPr>
              <w:t>按照完成比例赋分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CD6AAB5">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B8F70E">
            <w:pPr>
              <w:jc w:val="center"/>
            </w:pPr>
          </w:p>
        </w:tc>
      </w:tr>
      <w:tr w14:paraId="5C02BE8F">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8934"/>
        </w:tc>
        <w:tc>
          <w:tcPr>
            <w:tcW w:w="526" w:type="dxa"/>
            <w:vMerge w:val="continue"/>
            <w:tcBorders>
              <w:top w:val="single" w:color="auto" w:sz="10" w:space="0"/>
              <w:left w:val="single" w:color="auto" w:sz="10" w:space="0"/>
              <w:bottom w:val="single" w:color="auto" w:sz="10" w:space="0"/>
              <w:right w:val="single" w:color="auto" w:sz="10" w:space="0"/>
              <w:insideV w:val="single" w:sz="10" w:space="0"/>
            </w:tcBorders>
          </w:tcPr>
          <w:p w14:paraId="446BC035"/>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05E52997">
            <w:pPr>
              <w:jc w:val="center"/>
            </w:pPr>
            <w:r>
              <w:rPr>
                <w:rFonts w:ascii="宋体" w:hAnsi="宋体" w:eastAsia="宋体"/>
                <w:sz w:val="16"/>
              </w:rPr>
              <w:t>生态效益指标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68D07512">
            <w:pPr>
              <w:jc w:val="center"/>
            </w:pPr>
            <w:r>
              <w:rPr>
                <w:rFonts w:ascii="宋体" w:hAnsi="宋体" w:eastAsia="宋体"/>
                <w:sz w:val="16"/>
              </w:rPr>
              <w:t>交通建设符合环评审批要求</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716AC4E">
            <w:pPr>
              <w:jc w:val="center"/>
            </w:pPr>
            <w:r>
              <w:rPr>
                <w:rFonts w:ascii="宋体" w:hAnsi="宋体" w:eastAsia="宋体"/>
                <w:sz w:val="16"/>
              </w:rPr>
              <w:t>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38CA6287">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FA77D6E">
            <w:pPr>
              <w:jc w:val="center"/>
            </w:pPr>
            <w:r>
              <w:rPr>
                <w:rFonts w:ascii="宋体" w:hAnsi="宋体" w:eastAsia="宋体"/>
                <w:sz w:val="16"/>
              </w:rPr>
              <w:t>100%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C0AEA0C">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464F0EC1">
            <w:pPr>
              <w:jc w:val="center"/>
            </w:pPr>
            <w:r>
              <w:rPr>
                <w:rFonts w:ascii="宋体" w:hAnsi="宋体" w:eastAsia="宋体"/>
                <w:sz w:val="16"/>
              </w:rPr>
              <w:t>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CC5B156">
            <w:pPr>
              <w:jc w:val="center"/>
            </w:pPr>
            <w:r>
              <w:rPr>
                <w:rFonts w:ascii="宋体" w:hAnsi="宋体" w:eastAsia="宋体"/>
                <w:sz w:val="16"/>
              </w:rPr>
              <w:t>行业标准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70A3B1F">
            <w:pPr>
              <w:jc w:val="center"/>
            </w:pPr>
            <w:r>
              <w:rPr>
                <w:rFonts w:ascii="宋体" w:hAnsi="宋体" w:eastAsia="宋体"/>
                <w:sz w:val="16"/>
              </w:rPr>
              <w:t>100%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6D87CF05">
            <w:pPr>
              <w:jc w:val="center"/>
            </w:pPr>
            <w:r>
              <w:rPr>
                <w:rFonts w:ascii="宋体" w:hAnsi="宋体" w:eastAsia="宋体"/>
                <w:sz w:val="16"/>
              </w:rPr>
              <w:t>按评判等级赋分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B669843">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378F1C">
            <w:pPr>
              <w:jc w:val="center"/>
            </w:pPr>
          </w:p>
        </w:tc>
      </w:tr>
      <w:tr w14:paraId="7EF210FE">
        <w:tblPrEx>
          <w:tblCellMar>
            <w:top w:w="0" w:type="dxa"/>
            <w:left w:w="108" w:type="dxa"/>
            <w:bottom w:w="0" w:type="dxa"/>
            <w:right w:w="108" w:type="dxa"/>
          </w:tblCellMar>
        </w:tblPrEx>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2D5F53EA"/>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7A45CEB7">
            <w:pPr>
              <w:jc w:val="center"/>
            </w:pPr>
            <w:r>
              <w:rPr>
                <w:rFonts w:ascii="宋体" w:hAnsi="宋体" w:eastAsia="宋体"/>
                <w:sz w:val="16"/>
              </w:rPr>
              <w:t>满意度指标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08FAD50">
            <w:pPr>
              <w:jc w:val="center"/>
            </w:pPr>
            <w:r>
              <w:rPr>
                <w:rFonts w:ascii="宋体" w:hAnsi="宋体" w:eastAsia="宋体"/>
                <w:sz w:val="16"/>
              </w:rPr>
              <w:t>满意度指标</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0EB8F859">
            <w:pPr>
              <w:jc w:val="center"/>
            </w:pPr>
            <w:r>
              <w:rPr>
                <w:rFonts w:ascii="宋体" w:hAnsi="宋体" w:eastAsia="宋体"/>
                <w:sz w:val="16"/>
              </w:rPr>
              <w:t>改善通行服务水平群众满意度</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1FEFC8C">
            <w:pPr>
              <w:jc w:val="center"/>
            </w:pPr>
            <w:r>
              <w:rPr>
                <w:rFonts w:ascii="宋体" w:hAnsi="宋体" w:eastAsia="宋体"/>
                <w:sz w:val="16"/>
              </w:rPr>
              <w:t>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2E2CB78">
            <w:pPr>
              <w:jc w:val="center"/>
            </w:pPr>
            <w:r>
              <w:rPr>
                <w:rFonts w:ascii="宋体" w:hAnsi="宋体" w:eastAsia="宋体"/>
                <w:sz w:val="16"/>
              </w:rPr>
              <w:t>&gt;=90%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9FCA4B7">
            <w:pPr>
              <w:jc w:val="center"/>
            </w:pPr>
            <w:r>
              <w:rPr>
                <w:rFonts w:ascii="宋体" w:hAnsi="宋体" w:eastAsia="宋体"/>
                <w:sz w:val="16"/>
              </w:rPr>
              <w:t>90%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3BF8E36">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459B428">
            <w:pPr>
              <w:jc w:val="center"/>
            </w:pPr>
            <w:r>
              <w:rPr>
                <w:rFonts w:ascii="宋体" w:hAnsi="宋体" w:eastAsia="宋体"/>
                <w:sz w:val="16"/>
              </w:rPr>
              <w:t>5</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38F2A75D">
            <w:pPr>
              <w:jc w:val="center"/>
            </w:pPr>
            <w:r>
              <w:rPr>
                <w:rFonts w:ascii="宋体" w:hAnsi="宋体" w:eastAsia="宋体"/>
                <w:sz w:val="16"/>
              </w:rPr>
              <w:t>计划标准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7B62DEA">
            <w:pPr>
              <w:jc w:val="center"/>
            </w:pPr>
            <w:r>
              <w:rPr>
                <w:rFonts w:ascii="宋体" w:hAnsi="宋体" w:eastAsia="宋体"/>
                <w:sz w:val="16"/>
              </w:rPr>
              <w:t>90%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06CE2465">
            <w:pPr>
              <w:jc w:val="center"/>
            </w:pPr>
            <w:r>
              <w:rPr>
                <w:rFonts w:ascii="宋体" w:hAnsi="宋体" w:eastAsia="宋体"/>
                <w:sz w:val="16"/>
              </w:rPr>
              <w:t>满意度赋分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8DD0A99">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4B5C14">
            <w:pPr>
              <w:jc w:val="center"/>
            </w:pPr>
          </w:p>
        </w:tc>
      </w:tr>
      <w:tr w14:paraId="5E95A48A">
        <w:tblPrEx>
          <w:tblCellMar>
            <w:top w:w="0" w:type="dxa"/>
            <w:left w:w="108" w:type="dxa"/>
            <w:bottom w:w="0" w:type="dxa"/>
            <w:right w:w="108" w:type="dxa"/>
          </w:tblCellMar>
        </w:tblPrEx>
        <w:tc>
          <w:tcPr>
            <w:tcW w:w="21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4190E7">
            <w:pPr>
              <w:jc w:val="center"/>
            </w:pPr>
            <w:r>
              <w:rPr>
                <w:rFonts w:ascii="宋体" w:hAnsi="宋体" w:eastAsia="宋体"/>
                <w:sz w:val="16"/>
              </w:rPr>
              <w:t>总分</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275C38F">
            <w:pPr>
              <w:jc w:val="center"/>
            </w:pPr>
            <w:r>
              <w:rPr>
                <w:rFonts w:ascii="宋体" w:hAnsi="宋体" w:eastAsia="宋体"/>
                <w:sz w:val="16"/>
              </w:rPr>
              <w:t>100</w:t>
            </w:r>
          </w:p>
        </w:tc>
        <w:tc>
          <w:tcPr>
            <w:tcW w:w="1096" w:type="dxa"/>
            <w:tcBorders>
              <w:top w:val="single" w:color="auto" w:sz="10" w:space="0"/>
              <w:left w:val="single" w:color="auto" w:sz="10" w:space="0"/>
              <w:bottom w:val="single" w:color="auto" w:sz="10" w:space="0"/>
              <w:right w:val="single" w:color="auto" w:sz="10" w:space="0"/>
              <w:insideV w:val="single" w:sz="10" w:space="0"/>
            </w:tcBorders>
          </w:tcPr>
          <w:p w14:paraId="18CDC500"/>
        </w:tc>
        <w:tc>
          <w:tcPr>
            <w:tcW w:w="936" w:type="dxa"/>
            <w:tcBorders>
              <w:top w:val="single" w:color="auto" w:sz="10" w:space="0"/>
              <w:left w:val="single" w:color="auto" w:sz="10" w:space="0"/>
              <w:bottom w:val="single" w:color="auto" w:sz="10" w:space="0"/>
              <w:right w:val="single" w:color="auto" w:sz="10" w:space="0"/>
              <w:insideV w:val="single" w:sz="10" w:space="0"/>
            </w:tcBorders>
          </w:tcPr>
          <w:p w14:paraId="4718BFF5"/>
        </w:tc>
        <w:tc>
          <w:tcPr>
            <w:tcW w:w="592" w:type="dxa"/>
            <w:tcBorders>
              <w:top w:val="single" w:color="auto" w:sz="10" w:space="0"/>
              <w:left w:val="single" w:color="auto" w:sz="10" w:space="0"/>
              <w:bottom w:val="single" w:color="auto" w:sz="10" w:space="0"/>
              <w:right w:val="single" w:color="auto" w:sz="10" w:space="0"/>
              <w:insideV w:val="single" w:sz="10" w:space="0"/>
            </w:tcBorders>
          </w:tcPr>
          <w:p w14:paraId="60639D3D"/>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40508BC">
            <w:pPr>
              <w:jc w:val="center"/>
            </w:pPr>
            <w:r>
              <w:rPr>
                <w:rFonts w:ascii="宋体" w:hAnsi="宋体" w:eastAsia="宋体"/>
                <w:sz w:val="16"/>
              </w:rPr>
              <w:t>100分</w:t>
            </w:r>
          </w:p>
        </w:tc>
        <w:tc>
          <w:tcPr>
            <w:tcW w:w="526" w:type="dxa"/>
            <w:tcBorders>
              <w:top w:val="single" w:color="auto" w:sz="10" w:space="0"/>
              <w:left w:val="single" w:color="auto" w:sz="10" w:space="0"/>
              <w:bottom w:val="single" w:color="auto" w:sz="10" w:space="0"/>
              <w:right w:val="single" w:color="auto" w:sz="10" w:space="0"/>
              <w:insideV w:val="single" w:sz="10" w:space="0"/>
            </w:tcBorders>
          </w:tcPr>
          <w:p w14:paraId="0F44475B"/>
        </w:tc>
        <w:tc>
          <w:tcPr>
            <w:tcW w:w="680" w:type="dxa"/>
            <w:tcBorders>
              <w:top w:val="single" w:color="auto" w:sz="10" w:space="0"/>
              <w:left w:val="single" w:color="auto" w:sz="10" w:space="0"/>
              <w:bottom w:val="single" w:color="auto" w:sz="10" w:space="0"/>
              <w:right w:val="single" w:color="auto" w:sz="10" w:space="0"/>
              <w:insideV w:val="single" w:sz="10" w:space="0"/>
            </w:tcBorders>
          </w:tcPr>
          <w:p w14:paraId="1BC6FB49"/>
        </w:tc>
        <w:tc>
          <w:tcPr>
            <w:tcW w:w="788" w:type="dxa"/>
            <w:tcBorders>
              <w:top w:val="single" w:color="auto" w:sz="10" w:space="0"/>
              <w:left w:val="single" w:color="auto" w:sz="10" w:space="0"/>
              <w:bottom w:val="single" w:color="auto" w:sz="10" w:space="0"/>
              <w:right w:val="single" w:color="auto" w:sz="10" w:space="0"/>
              <w:insideV w:val="single" w:sz="10" w:space="0"/>
            </w:tcBorders>
          </w:tcPr>
          <w:p w14:paraId="7C482D31"/>
        </w:tc>
        <w:tc>
          <w:tcPr>
            <w:tcW w:w="529" w:type="dxa"/>
            <w:tcBorders>
              <w:top w:val="single" w:color="auto" w:sz="10" w:space="0"/>
              <w:left w:val="single" w:color="auto" w:sz="10" w:space="0"/>
              <w:bottom w:val="single" w:color="auto" w:sz="10" w:space="0"/>
              <w:right w:val="single" w:color="auto" w:sz="10" w:space="0"/>
              <w:insideV w:val="single" w:sz="10" w:space="0"/>
            </w:tcBorders>
          </w:tcPr>
          <w:p w14:paraId="3D91B941"/>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316B399"/>
        </w:tc>
      </w:tr>
    </w:tbl>
    <w:p w14:paraId="1249344D">
      <w:r>
        <w:br w:type="page"/>
      </w:r>
    </w:p>
    <w:tbl>
      <w:tblPr>
        <w:tblStyle w:val="9"/>
        <w:tblW w:w="0" w:type="auto"/>
        <w:tblInd w:w="0" w:type="dxa"/>
        <w:tblLayout w:type="autofit"/>
        <w:tblCellMar>
          <w:top w:w="0" w:type="dxa"/>
          <w:left w:w="108" w:type="dxa"/>
          <w:bottom w:w="0" w:type="dxa"/>
          <w:right w:w="108" w:type="dxa"/>
        </w:tblCellMar>
      </w:tblPr>
      <w:tblGrid>
        <w:gridCol w:w="630"/>
        <w:gridCol w:w="630"/>
        <w:gridCol w:w="631"/>
        <w:gridCol w:w="631"/>
        <w:gridCol w:w="631"/>
        <w:gridCol w:w="856"/>
        <w:gridCol w:w="632"/>
        <w:gridCol w:w="632"/>
        <w:gridCol w:w="632"/>
        <w:gridCol w:w="631"/>
        <w:gridCol w:w="631"/>
        <w:gridCol w:w="631"/>
        <w:gridCol w:w="631"/>
        <w:gridCol w:w="631"/>
      </w:tblGrid>
      <w:tr w14:paraId="1B051086">
        <w:tblPrEx>
          <w:tblCellMar>
            <w:top w:w="0" w:type="dxa"/>
            <w:left w:w="108" w:type="dxa"/>
            <w:bottom w:w="0" w:type="dxa"/>
            <w:right w:w="108" w:type="dxa"/>
          </w:tblCellMar>
        </w:tblPrEx>
        <w:tc>
          <w:tcPr>
            <w:tcW w:w="8848" w:type="dxa"/>
            <w:gridSpan w:val="14"/>
            <w:vAlign w:val="center"/>
          </w:tcPr>
          <w:p w14:paraId="574D9705">
            <w:pPr>
              <w:jc w:val="center"/>
            </w:pPr>
            <w:r>
              <w:rPr>
                <w:rFonts w:ascii="宋体" w:hAnsi="宋体" w:eastAsia="宋体"/>
                <w:sz w:val="24"/>
              </w:rPr>
              <w:t>项目支出绩效自评表</w:t>
            </w:r>
          </w:p>
        </w:tc>
      </w:tr>
      <w:tr w14:paraId="35C8306C">
        <w:tblPrEx>
          <w:tblCellMar>
            <w:top w:w="0" w:type="dxa"/>
            <w:left w:w="108" w:type="dxa"/>
            <w:bottom w:w="0" w:type="dxa"/>
            <w:right w:w="108" w:type="dxa"/>
          </w:tblCellMar>
        </w:tblPrEx>
        <w:tc>
          <w:tcPr>
            <w:tcW w:w="8848" w:type="dxa"/>
            <w:gridSpan w:val="14"/>
            <w:vAlign w:val="center"/>
          </w:tcPr>
          <w:p w14:paraId="15289FDC">
            <w:pPr>
              <w:jc w:val="center"/>
            </w:pPr>
            <w:r>
              <w:rPr>
                <w:rFonts w:ascii="宋体" w:hAnsi="宋体" w:eastAsia="宋体"/>
                <w:sz w:val="24"/>
              </w:rPr>
              <w:t>(2024年度)</w:t>
            </w:r>
          </w:p>
        </w:tc>
      </w:tr>
      <w:tr w14:paraId="1C348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03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38172F">
            <w:pPr>
              <w:jc w:val="center"/>
            </w:pPr>
            <w:r>
              <w:rPr>
                <w:rFonts w:ascii="宋体" w:hAnsi="宋体" w:eastAsia="宋体"/>
                <w:sz w:val="16"/>
              </w:rPr>
              <w:t>2024年霍尔果斯市桥梁及农村公路检测费</w:t>
            </w:r>
          </w:p>
        </w:tc>
      </w:tr>
      <w:tr w14:paraId="081F1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9D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7932C">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61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05257">
            <w:pPr>
              <w:jc w:val="center"/>
            </w:pPr>
            <w:r>
              <w:rPr>
                <w:rFonts w:ascii="宋体" w:hAnsi="宋体" w:eastAsia="宋体"/>
                <w:sz w:val="16"/>
              </w:rPr>
              <w:t>霍尔果斯市交通运输局</w:t>
            </w:r>
          </w:p>
        </w:tc>
      </w:tr>
      <w:tr w14:paraId="38DE90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768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AE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84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251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5B5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12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AA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4A69">
            <w:pPr>
              <w:jc w:val="center"/>
            </w:pPr>
            <w:r>
              <w:rPr>
                <w:rFonts w:ascii="宋体" w:hAnsi="宋体" w:eastAsia="宋体"/>
                <w:sz w:val="16"/>
              </w:rPr>
              <w:t>得分</w:t>
            </w:r>
          </w:p>
        </w:tc>
      </w:tr>
      <w:tr w14:paraId="1B81E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EA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18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D317">
            <w:pPr>
              <w:jc w:val="center"/>
            </w:pPr>
            <w:r>
              <w:rPr>
                <w:rFonts w:ascii="宋体" w:hAnsi="宋体" w:eastAsia="宋体"/>
                <w:sz w:val="16"/>
              </w:rPr>
              <w:t>58.29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400A2">
            <w:pPr>
              <w:jc w:val="center"/>
            </w:pPr>
            <w:r>
              <w:rPr>
                <w:rFonts w:ascii="宋体" w:hAnsi="宋体" w:eastAsia="宋体"/>
                <w:sz w:val="16"/>
              </w:rPr>
              <w:t>58.29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0833C">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40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470D">
            <w:pPr>
              <w:jc w:val="center"/>
            </w:pPr>
            <w:r>
              <w:rPr>
                <w:rFonts w:ascii="宋体" w:hAnsi="宋体" w:eastAsia="宋体"/>
                <w:sz w:val="16"/>
              </w:rPr>
              <w:t>94.36%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34A4">
            <w:pPr>
              <w:jc w:val="center"/>
            </w:pPr>
            <w:r>
              <w:rPr>
                <w:rFonts w:ascii="宋体" w:hAnsi="宋体" w:eastAsia="宋体"/>
                <w:sz w:val="16"/>
              </w:rPr>
              <w:t>8.59</w:t>
            </w:r>
          </w:p>
        </w:tc>
      </w:tr>
      <w:tr w14:paraId="3030C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74B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8FC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ADEE">
            <w:pPr>
              <w:jc w:val="center"/>
            </w:pPr>
            <w:r>
              <w:rPr>
                <w:rFonts w:ascii="宋体" w:hAnsi="宋体" w:eastAsia="宋体"/>
                <w:sz w:val="16"/>
              </w:rPr>
              <w:t>58.29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1596">
            <w:pPr>
              <w:jc w:val="center"/>
            </w:pPr>
            <w:r>
              <w:rPr>
                <w:rFonts w:ascii="宋体" w:hAnsi="宋体" w:eastAsia="宋体"/>
                <w:sz w:val="16"/>
              </w:rPr>
              <w:t>58.29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40D83">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01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18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B064">
            <w:pPr>
              <w:jc w:val="center"/>
            </w:pPr>
            <w:r>
              <w:rPr>
                <w:rFonts w:ascii="宋体" w:hAnsi="宋体" w:eastAsia="宋体"/>
                <w:sz w:val="16"/>
              </w:rPr>
              <w:t>—</w:t>
            </w:r>
          </w:p>
        </w:tc>
      </w:tr>
      <w:tr w14:paraId="622C0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A1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636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3A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6F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5F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2C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6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81D6">
            <w:pPr>
              <w:jc w:val="center"/>
            </w:pPr>
            <w:r>
              <w:rPr>
                <w:rFonts w:ascii="宋体" w:hAnsi="宋体" w:eastAsia="宋体"/>
                <w:sz w:val="16"/>
              </w:rPr>
              <w:t>—</w:t>
            </w:r>
          </w:p>
        </w:tc>
      </w:tr>
      <w:tr w14:paraId="417847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3B7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558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64DD9">
            <w:pPr>
              <w:jc w:val="center"/>
            </w:pPr>
            <w:r>
              <w:rPr>
                <w:rFonts w:ascii="宋体" w:hAnsi="宋体" w:eastAsia="宋体"/>
                <w:sz w:val="16"/>
              </w:rPr>
              <w:t>实际完成情况</w:t>
            </w:r>
          </w:p>
        </w:tc>
      </w:tr>
      <w:tr w14:paraId="6B402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ADE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66EB0">
            <w:pPr>
              <w:jc w:val="both"/>
            </w:pPr>
            <w:r>
              <w:rPr>
                <w:rFonts w:ascii="宋体" w:hAnsi="宋体" w:eastAsia="宋体"/>
                <w:sz w:val="16"/>
              </w:rPr>
              <w:t>根据《霍尔果斯市委财经委员会2024年第2次会议纪要》（霍市党财纪〔2024〕2号），通过完成农村公路“以奖代补”考核，以2023年全区农村公路基础数据和电子地图更新结果为基础，我市需对辖区农村公路、桥梁开展技术状况检测评定工作。检测霍尔果斯市特大桥1座及霍尔果斯市农村公路300km，总共支付58.692万元，做好“十四五”</w:t>
            </w:r>
            <w:r>
              <w:rPr>
                <w:rFonts w:hint="eastAsia" w:ascii="宋体" w:hAnsi="宋体"/>
                <w:sz w:val="16"/>
                <w:lang w:eastAsia="zh-CN"/>
              </w:rPr>
              <w:t>期间</w:t>
            </w:r>
            <w:r>
              <w:rPr>
                <w:rFonts w:ascii="宋体" w:hAnsi="宋体" w:eastAsia="宋体"/>
                <w:sz w:val="16"/>
              </w:rPr>
              <w:t>中央车辆购置税和政府还货二级公路取消收费后补助等相关资金“以奖代补”工作，准确摸清全区农村公路网的路面技术状况底数，为全区农村公路养护管理重大决策提供数据支持</w:t>
            </w:r>
            <w:r>
              <w:rPr>
                <w:rFonts w:hint="eastAsia" w:ascii="宋体" w:hAnsi="宋体"/>
                <w:sz w:val="16"/>
                <w:lang w:eastAsia="zh-CN"/>
              </w:rPr>
              <w:t>，为</w:t>
            </w:r>
            <w:r>
              <w:rPr>
                <w:rFonts w:ascii="宋体" w:hAnsi="宋体" w:eastAsia="宋体"/>
                <w:sz w:val="16"/>
              </w:rPr>
              <w:t>加快构建养护管理长效机制</w:t>
            </w:r>
            <w:r>
              <w:rPr>
                <w:rFonts w:hint="eastAsia" w:ascii="宋体" w:hAnsi="宋体"/>
                <w:sz w:val="16"/>
                <w:lang w:eastAsia="zh-CN"/>
              </w:rPr>
              <w:t>奠定</w:t>
            </w:r>
            <w:r>
              <w:rPr>
                <w:rFonts w:ascii="宋体" w:hAnsi="宋体" w:eastAsia="宋体"/>
                <w:sz w:val="16"/>
              </w:rPr>
              <w:t>坚实的基础，保障未来一定时期交通安全。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3B4530">
            <w:pPr>
              <w:jc w:val="both"/>
            </w:pPr>
            <w:r>
              <w:rPr>
                <w:rFonts w:ascii="宋体" w:hAnsi="宋体" w:eastAsia="宋体"/>
                <w:sz w:val="16"/>
              </w:rPr>
              <w:t>已完成农村公路“以奖代补”考核，以2023年全区农村公路基础数据和电子地图更新结果为基础，我市需对辖区农村公路、桥梁开展技术状况检测评定工作。检测霍尔果斯市特大桥1座及霍尔果斯市农村公路300km，总共支付55万元，为出行提供了安全保障，提高群众满意度。</w:t>
            </w:r>
          </w:p>
        </w:tc>
      </w:tr>
      <w:tr w14:paraId="25676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93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B9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8C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A6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B1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1F9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C7A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33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52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2D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02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16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29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8C69">
            <w:pPr>
              <w:jc w:val="center"/>
            </w:pPr>
            <w:r>
              <w:rPr>
                <w:rFonts w:ascii="宋体" w:hAnsi="宋体" w:eastAsia="宋体"/>
                <w:sz w:val="16"/>
              </w:rPr>
              <w:t>偏差原因分析及改进措施</w:t>
            </w:r>
          </w:p>
        </w:tc>
      </w:tr>
      <w:tr w14:paraId="0DFF40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C73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C29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FEC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EE93">
            <w:pPr>
              <w:jc w:val="center"/>
            </w:pPr>
            <w:r>
              <w:rPr>
                <w:rFonts w:ascii="宋体" w:hAnsi="宋体" w:eastAsia="宋体"/>
                <w:sz w:val="16"/>
              </w:rPr>
              <w:t>检测桥梁数量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56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9A09">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DA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1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4A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2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E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7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2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A058">
            <w:pPr>
              <w:jc w:val="center"/>
            </w:pPr>
          </w:p>
        </w:tc>
      </w:tr>
      <w:tr w14:paraId="6AC92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1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7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C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FA92">
            <w:pPr>
              <w:jc w:val="center"/>
            </w:pPr>
            <w:r>
              <w:rPr>
                <w:rFonts w:ascii="宋体" w:hAnsi="宋体" w:eastAsia="宋体"/>
                <w:sz w:val="16"/>
              </w:rPr>
              <w:t>检测农村公路里程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BE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2FB7">
            <w:pPr>
              <w:jc w:val="center"/>
            </w:pPr>
            <w:r>
              <w:rPr>
                <w:rFonts w:ascii="宋体" w:hAnsi="宋体" w:eastAsia="宋体"/>
                <w:sz w:val="16"/>
              </w:rPr>
              <w:t>&gt;=300km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8666">
            <w:pPr>
              <w:jc w:val="center"/>
            </w:pPr>
            <w:r>
              <w:rPr>
                <w:rFonts w:ascii="宋体" w:hAnsi="宋体" w:eastAsia="宋体"/>
                <w:sz w:val="16"/>
              </w:rPr>
              <w:t>300km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5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2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6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8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C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3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CB43">
            <w:pPr>
              <w:jc w:val="center"/>
            </w:pPr>
          </w:p>
        </w:tc>
      </w:tr>
      <w:tr w14:paraId="08108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63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6E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A6E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D038">
            <w:pPr>
              <w:jc w:val="center"/>
            </w:pPr>
            <w:r>
              <w:rPr>
                <w:rFonts w:ascii="宋体" w:hAnsi="宋体" w:eastAsia="宋体"/>
                <w:sz w:val="16"/>
              </w:rPr>
              <w:t>资金支付合规性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85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1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2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7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9F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D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B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5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F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36CA">
            <w:pPr>
              <w:jc w:val="center"/>
            </w:pPr>
          </w:p>
        </w:tc>
      </w:tr>
      <w:tr w14:paraId="6FC95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4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48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65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8527">
            <w:pPr>
              <w:jc w:val="center"/>
            </w:pPr>
            <w:r>
              <w:rPr>
                <w:rFonts w:ascii="宋体" w:hAnsi="宋体" w:eastAsia="宋体"/>
                <w:sz w:val="16"/>
              </w:rPr>
              <w:t>检测验收合格率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62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5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C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7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B7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1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E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B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A1F2">
            <w:pPr>
              <w:jc w:val="center"/>
            </w:pPr>
          </w:p>
        </w:tc>
      </w:tr>
      <w:tr w14:paraId="3091A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38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0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B9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7722">
            <w:pPr>
              <w:jc w:val="center"/>
            </w:pPr>
            <w:r>
              <w:rPr>
                <w:rFonts w:ascii="宋体" w:hAnsi="宋体" w:eastAsia="宋体"/>
                <w:sz w:val="16"/>
              </w:rPr>
              <w:t>检测资料提供及时率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B3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4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2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B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52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1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3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D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5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7DBE">
            <w:pPr>
              <w:jc w:val="center"/>
            </w:pPr>
          </w:p>
        </w:tc>
      </w:tr>
      <w:tr w14:paraId="36660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C9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56A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3B2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3EB8">
            <w:pPr>
              <w:jc w:val="center"/>
            </w:pPr>
            <w:r>
              <w:rPr>
                <w:rFonts w:ascii="宋体" w:hAnsi="宋体" w:eastAsia="宋体"/>
                <w:sz w:val="16"/>
              </w:rPr>
              <w:t>桥梁检测投入资金额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4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EC84">
            <w:pPr>
              <w:jc w:val="center"/>
            </w:pPr>
            <w:r>
              <w:rPr>
                <w:rFonts w:ascii="宋体" w:hAnsi="宋体" w:eastAsia="宋体"/>
                <w:sz w:val="16"/>
              </w:rPr>
              <w:t>&lt;=34.292万元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EEBC">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0E85">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6F7C">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5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6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3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CA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8689">
            <w:pPr>
              <w:jc w:val="center"/>
            </w:pPr>
            <w:r>
              <w:rPr>
                <w:rFonts w:ascii="宋体" w:hAnsi="宋体" w:eastAsia="宋体"/>
                <w:sz w:val="16"/>
              </w:rPr>
              <w:t>按实际合同价采购</w:t>
            </w:r>
          </w:p>
        </w:tc>
      </w:tr>
      <w:tr w14:paraId="62491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A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C1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1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64AE">
            <w:pPr>
              <w:jc w:val="center"/>
            </w:pPr>
            <w:r>
              <w:rPr>
                <w:rFonts w:ascii="宋体" w:hAnsi="宋体" w:eastAsia="宋体"/>
                <w:sz w:val="16"/>
              </w:rPr>
              <w:t>道路检测投入资金额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2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1618">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44C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3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F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3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8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D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DB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C3C1">
            <w:pPr>
              <w:jc w:val="center"/>
            </w:pPr>
          </w:p>
        </w:tc>
      </w:tr>
      <w:tr w14:paraId="33B0F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55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93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B5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CD52">
            <w:pPr>
              <w:jc w:val="center"/>
            </w:pPr>
            <w:r>
              <w:rPr>
                <w:rFonts w:ascii="宋体" w:hAnsi="宋体" w:eastAsia="宋体"/>
                <w:sz w:val="16"/>
              </w:rPr>
              <w:t>保障未来一定时期交通安全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E51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8E4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1298">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2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DDC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4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0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16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9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C6BD">
            <w:pPr>
              <w:jc w:val="center"/>
            </w:pPr>
          </w:p>
        </w:tc>
      </w:tr>
      <w:tr w14:paraId="2F6BE3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377F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A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926F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8A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46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8482">
            <w:pPr>
              <w:jc w:val="center"/>
            </w:pPr>
            <w:r>
              <w:rPr>
                <w:rFonts w:ascii="宋体" w:hAnsi="宋体" w:eastAsia="宋体"/>
                <w:sz w:val="16"/>
              </w:rPr>
              <w:t>97.63分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AFB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664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D8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B6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61612"/>
        </w:tc>
      </w:tr>
    </w:tbl>
    <w:p w14:paraId="19FC7C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40F9CB2">
        <w:tblPrEx>
          <w:tblCellMar>
            <w:top w:w="0" w:type="dxa"/>
            <w:left w:w="108" w:type="dxa"/>
            <w:bottom w:w="0" w:type="dxa"/>
            <w:right w:w="108" w:type="dxa"/>
          </w:tblCellMar>
        </w:tblPrEx>
        <w:tc>
          <w:tcPr>
            <w:tcW w:w="8848" w:type="dxa"/>
            <w:gridSpan w:val="14"/>
            <w:vAlign w:val="center"/>
          </w:tcPr>
          <w:p w14:paraId="27051FEA">
            <w:pPr>
              <w:jc w:val="center"/>
            </w:pPr>
            <w:r>
              <w:rPr>
                <w:rFonts w:ascii="宋体" w:hAnsi="宋体" w:eastAsia="宋体"/>
                <w:sz w:val="24"/>
              </w:rPr>
              <w:t>项目支出绩效自评表</w:t>
            </w:r>
          </w:p>
        </w:tc>
      </w:tr>
      <w:tr w14:paraId="2A209743">
        <w:tblPrEx>
          <w:tblCellMar>
            <w:top w:w="0" w:type="dxa"/>
            <w:left w:w="108" w:type="dxa"/>
            <w:bottom w:w="0" w:type="dxa"/>
            <w:right w:w="108" w:type="dxa"/>
          </w:tblCellMar>
        </w:tblPrEx>
        <w:tc>
          <w:tcPr>
            <w:tcW w:w="8848" w:type="dxa"/>
            <w:gridSpan w:val="14"/>
            <w:vAlign w:val="center"/>
          </w:tcPr>
          <w:p w14:paraId="0F954858">
            <w:pPr>
              <w:jc w:val="center"/>
            </w:pPr>
            <w:r>
              <w:rPr>
                <w:rFonts w:ascii="宋体" w:hAnsi="宋体" w:eastAsia="宋体"/>
                <w:sz w:val="24"/>
              </w:rPr>
              <w:t>(2024年度)</w:t>
            </w:r>
          </w:p>
        </w:tc>
      </w:tr>
      <w:tr w14:paraId="66CE3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F0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176765">
            <w:pPr>
              <w:jc w:val="center"/>
            </w:pPr>
            <w:r>
              <w:rPr>
                <w:rFonts w:ascii="宋体" w:hAnsi="宋体" w:eastAsia="宋体"/>
                <w:sz w:val="16"/>
              </w:rPr>
              <w:t>G219线温泉至霍尔果斯公路工程（第二期）建设项目耕地开垦费</w:t>
            </w:r>
          </w:p>
        </w:tc>
      </w:tr>
      <w:tr w14:paraId="5EAC22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5C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C552D">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55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1EC54">
            <w:pPr>
              <w:jc w:val="center"/>
            </w:pPr>
            <w:r>
              <w:rPr>
                <w:rFonts w:ascii="宋体" w:hAnsi="宋体" w:eastAsia="宋体"/>
                <w:sz w:val="16"/>
              </w:rPr>
              <w:t>霍尔果斯市交通运输局</w:t>
            </w:r>
          </w:p>
        </w:tc>
      </w:tr>
      <w:tr w14:paraId="60F65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A2D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12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00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5B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13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76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2B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9EF2">
            <w:pPr>
              <w:jc w:val="center"/>
            </w:pPr>
            <w:r>
              <w:rPr>
                <w:rFonts w:ascii="宋体" w:hAnsi="宋体" w:eastAsia="宋体"/>
                <w:sz w:val="16"/>
              </w:rPr>
              <w:t>得分</w:t>
            </w:r>
          </w:p>
        </w:tc>
      </w:tr>
      <w:tr w14:paraId="6DE4F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8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9E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F0B5">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F4186">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FA7F">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3B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872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6710">
            <w:pPr>
              <w:jc w:val="center"/>
            </w:pPr>
            <w:r>
              <w:rPr>
                <w:rFonts w:ascii="宋体" w:hAnsi="宋体" w:eastAsia="宋体"/>
                <w:sz w:val="16"/>
              </w:rPr>
              <w:t>10.00</w:t>
            </w:r>
          </w:p>
        </w:tc>
      </w:tr>
      <w:tr w14:paraId="11723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426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FB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B1E9">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2600">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58AB">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E5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8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AC9D">
            <w:pPr>
              <w:jc w:val="center"/>
            </w:pPr>
            <w:r>
              <w:rPr>
                <w:rFonts w:ascii="宋体" w:hAnsi="宋体" w:eastAsia="宋体"/>
                <w:sz w:val="16"/>
              </w:rPr>
              <w:t>—</w:t>
            </w:r>
          </w:p>
        </w:tc>
      </w:tr>
      <w:tr w14:paraId="3BA28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DEC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4F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C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B5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97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17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85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EF2E">
            <w:pPr>
              <w:jc w:val="center"/>
            </w:pPr>
            <w:r>
              <w:rPr>
                <w:rFonts w:ascii="宋体" w:hAnsi="宋体" w:eastAsia="宋体"/>
                <w:sz w:val="16"/>
              </w:rPr>
              <w:t>—</w:t>
            </w:r>
          </w:p>
        </w:tc>
      </w:tr>
      <w:tr w14:paraId="0D82C1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F2A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9F1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581F06">
            <w:pPr>
              <w:jc w:val="center"/>
            </w:pPr>
            <w:r>
              <w:rPr>
                <w:rFonts w:ascii="宋体" w:hAnsi="宋体" w:eastAsia="宋体"/>
                <w:sz w:val="16"/>
              </w:rPr>
              <w:t>实际完成情况</w:t>
            </w:r>
          </w:p>
        </w:tc>
      </w:tr>
      <w:tr w14:paraId="693B1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FAC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5A33F">
            <w:pPr>
              <w:jc w:val="both"/>
            </w:pPr>
            <w:r>
              <w:rPr>
                <w:rFonts w:ascii="宋体" w:hAnsi="宋体" w:eastAsia="宋体"/>
                <w:sz w:val="16"/>
              </w:rPr>
              <w:t>根据自治区征地事务中心对G219线温泉至霍尔果斯公路工程（第二期）建设项目现场征地调查，本次缴纳市自然资源局耕地开垦费13.3673万元，资金来源为地方财力资金，对于完善国家沿边公路网体系，进一步发挥区位和口岸优势，促进对外开放，加快经济社会发展具有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DC00E">
            <w:pPr>
              <w:jc w:val="both"/>
            </w:pPr>
            <w:r>
              <w:rPr>
                <w:rFonts w:ascii="宋体" w:hAnsi="宋体" w:eastAsia="宋体"/>
                <w:sz w:val="16"/>
              </w:rPr>
              <w:t>根据自治区征地事务中心对G219线温泉至霍尔果斯公路工程（第二期）建设项目现场征地调查，缴纳完成市自然资源局耕地开垦费13.3673万元，及时完成缴费，完善国家沿边公路网体系。</w:t>
            </w:r>
          </w:p>
        </w:tc>
      </w:tr>
      <w:tr w14:paraId="0F9A65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251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A7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3D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A4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18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99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074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BA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AA7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EA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C3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B5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C5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BCCB">
            <w:pPr>
              <w:jc w:val="center"/>
            </w:pPr>
            <w:r>
              <w:rPr>
                <w:rFonts w:ascii="宋体" w:hAnsi="宋体" w:eastAsia="宋体"/>
                <w:sz w:val="16"/>
              </w:rPr>
              <w:t>偏差原因分析及改进措施</w:t>
            </w:r>
          </w:p>
        </w:tc>
      </w:tr>
      <w:tr w14:paraId="581FE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DA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38D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DC4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2F9A">
            <w:pPr>
              <w:jc w:val="center"/>
            </w:pPr>
            <w:r>
              <w:rPr>
                <w:rFonts w:ascii="宋体" w:hAnsi="宋体" w:eastAsia="宋体"/>
                <w:sz w:val="16"/>
              </w:rPr>
              <w:t>新增耕地面积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E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32C6">
            <w:pPr>
              <w:jc w:val="center"/>
            </w:pPr>
            <w:r>
              <w:rPr>
                <w:rFonts w:ascii="宋体" w:hAnsi="宋体" w:eastAsia="宋体"/>
                <w:sz w:val="16"/>
              </w:rPr>
              <w:t>=2.94公顷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2CFA">
            <w:pPr>
              <w:jc w:val="center"/>
            </w:pPr>
            <w:r>
              <w:rPr>
                <w:rFonts w:ascii="宋体" w:hAnsi="宋体" w:eastAsia="宋体"/>
                <w:sz w:val="16"/>
              </w:rPr>
              <w:t>2.94公顷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6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0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5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5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E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7F1E">
            <w:pPr>
              <w:jc w:val="center"/>
            </w:pPr>
          </w:p>
        </w:tc>
      </w:tr>
      <w:tr w14:paraId="667BD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C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FA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E6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E270">
            <w:pPr>
              <w:jc w:val="center"/>
            </w:pPr>
            <w:r>
              <w:rPr>
                <w:rFonts w:ascii="宋体" w:hAnsi="宋体" w:eastAsia="宋体"/>
                <w:sz w:val="16"/>
              </w:rPr>
              <w:t>可调整园地面积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F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7D95">
            <w:pPr>
              <w:jc w:val="center"/>
            </w:pPr>
            <w:r>
              <w:rPr>
                <w:rFonts w:ascii="宋体" w:hAnsi="宋体" w:eastAsia="宋体"/>
                <w:sz w:val="16"/>
              </w:rPr>
              <w:t>=0.02公顷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2C79">
            <w:pPr>
              <w:jc w:val="center"/>
            </w:pPr>
            <w:r>
              <w:rPr>
                <w:rFonts w:ascii="宋体" w:hAnsi="宋体" w:eastAsia="宋体"/>
                <w:sz w:val="16"/>
              </w:rPr>
              <w:t>0.02公顷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A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0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2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7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7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6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85EF">
            <w:pPr>
              <w:jc w:val="center"/>
            </w:pPr>
          </w:p>
        </w:tc>
      </w:tr>
      <w:tr w14:paraId="17B92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F6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5A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74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B3CC">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8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1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1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9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3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7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1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C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6A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C13B">
            <w:pPr>
              <w:jc w:val="center"/>
            </w:pPr>
          </w:p>
        </w:tc>
      </w:tr>
      <w:tr w14:paraId="3EFE3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14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C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43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FBC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4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4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8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E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0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3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2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2A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91D7">
            <w:pPr>
              <w:jc w:val="center"/>
            </w:pPr>
          </w:p>
        </w:tc>
      </w:tr>
      <w:tr w14:paraId="3485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C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6C3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1F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78F5">
            <w:pPr>
              <w:jc w:val="center"/>
            </w:pPr>
            <w:r>
              <w:rPr>
                <w:rFonts w:ascii="宋体" w:hAnsi="宋体" w:eastAsia="宋体"/>
                <w:sz w:val="16"/>
              </w:rPr>
              <w:t>一般耕地缴纳标准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FC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250D">
            <w:pPr>
              <w:jc w:val="center"/>
            </w:pPr>
            <w:r>
              <w:rPr>
                <w:rFonts w:ascii="宋体" w:hAnsi="宋体" w:eastAsia="宋体"/>
                <w:sz w:val="16"/>
              </w:rPr>
              <w:t>&lt;=4.5万元/公顷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D08D">
            <w:pPr>
              <w:jc w:val="center"/>
            </w:pPr>
            <w:r>
              <w:rPr>
                <w:rFonts w:ascii="宋体" w:hAnsi="宋体" w:eastAsia="宋体"/>
                <w:sz w:val="16"/>
              </w:rPr>
              <w:t>4.5万元/公顷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9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14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E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A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7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AB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ABEB">
            <w:pPr>
              <w:jc w:val="center"/>
            </w:pPr>
          </w:p>
        </w:tc>
      </w:tr>
      <w:tr w14:paraId="2C397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A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75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7F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FC67">
            <w:pPr>
              <w:jc w:val="center"/>
            </w:pPr>
            <w:r>
              <w:rPr>
                <w:rFonts w:ascii="宋体" w:hAnsi="宋体" w:eastAsia="宋体"/>
                <w:sz w:val="16"/>
              </w:rPr>
              <w:t>完善国家公路路网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C4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1940">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6071">
            <w:pPr>
              <w:jc w:val="center"/>
            </w:pPr>
            <w:r>
              <w:rPr>
                <w:rFonts w:ascii="宋体" w:hAnsi="宋体" w:eastAsia="宋体"/>
                <w:sz w:val="16"/>
              </w:rPr>
              <w:t>有所完善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8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AC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6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9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6D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C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DB62">
            <w:pPr>
              <w:jc w:val="center"/>
            </w:pPr>
          </w:p>
        </w:tc>
      </w:tr>
      <w:tr w14:paraId="3F380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91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04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6D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E9F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5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54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9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9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6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E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3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F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5E09">
            <w:pPr>
              <w:jc w:val="center"/>
            </w:pPr>
          </w:p>
        </w:tc>
      </w:tr>
      <w:tr w14:paraId="4EB8D2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0160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F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B41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DB3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46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5A3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AC5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58B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C36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164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6269E"/>
        </w:tc>
      </w:tr>
    </w:tbl>
    <w:p w14:paraId="51FED0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76"/>
        <w:gridCol w:w="632"/>
        <w:gridCol w:w="632"/>
        <w:gridCol w:w="632"/>
        <w:gridCol w:w="632"/>
        <w:gridCol w:w="632"/>
        <w:gridCol w:w="632"/>
        <w:gridCol w:w="632"/>
        <w:gridCol w:w="632"/>
        <w:gridCol w:w="632"/>
        <w:gridCol w:w="632"/>
      </w:tblGrid>
      <w:tr w14:paraId="004E4AA0">
        <w:tblPrEx>
          <w:tblCellMar>
            <w:top w:w="0" w:type="dxa"/>
            <w:left w:w="108" w:type="dxa"/>
            <w:bottom w:w="0" w:type="dxa"/>
            <w:right w:w="108" w:type="dxa"/>
          </w:tblCellMar>
        </w:tblPrEx>
        <w:tc>
          <w:tcPr>
            <w:tcW w:w="8848" w:type="dxa"/>
            <w:gridSpan w:val="14"/>
            <w:vAlign w:val="center"/>
          </w:tcPr>
          <w:p w14:paraId="5F9D1F9F">
            <w:pPr>
              <w:jc w:val="center"/>
            </w:pPr>
            <w:r>
              <w:rPr>
                <w:rFonts w:ascii="宋体" w:hAnsi="宋体" w:eastAsia="宋体"/>
                <w:sz w:val="24"/>
              </w:rPr>
              <w:t>项目支出绩效自评表</w:t>
            </w:r>
          </w:p>
        </w:tc>
      </w:tr>
      <w:tr w14:paraId="29896E4A">
        <w:tblPrEx>
          <w:tblCellMar>
            <w:top w:w="0" w:type="dxa"/>
            <w:left w:w="108" w:type="dxa"/>
            <w:bottom w:w="0" w:type="dxa"/>
            <w:right w:w="108" w:type="dxa"/>
          </w:tblCellMar>
        </w:tblPrEx>
        <w:tc>
          <w:tcPr>
            <w:tcW w:w="8848" w:type="dxa"/>
            <w:gridSpan w:val="14"/>
            <w:vAlign w:val="center"/>
          </w:tcPr>
          <w:p w14:paraId="001CDE5C">
            <w:pPr>
              <w:jc w:val="center"/>
            </w:pPr>
            <w:r>
              <w:rPr>
                <w:rFonts w:ascii="宋体" w:hAnsi="宋体" w:eastAsia="宋体"/>
                <w:sz w:val="24"/>
              </w:rPr>
              <w:t>(2024年度)</w:t>
            </w:r>
          </w:p>
        </w:tc>
      </w:tr>
      <w:tr w14:paraId="57D8F2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D5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543C30">
            <w:pPr>
              <w:jc w:val="center"/>
            </w:pPr>
            <w:r>
              <w:rPr>
                <w:rFonts w:ascii="宋体" w:hAnsi="宋体" w:eastAsia="宋体"/>
                <w:sz w:val="16"/>
              </w:rPr>
              <w:t>政府还贷二级公路取消收费后补助资金</w:t>
            </w:r>
          </w:p>
        </w:tc>
      </w:tr>
      <w:tr w14:paraId="2B5B0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1F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30DC0">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AC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2C057">
            <w:pPr>
              <w:jc w:val="center"/>
            </w:pPr>
            <w:r>
              <w:rPr>
                <w:rFonts w:ascii="宋体" w:hAnsi="宋体" w:eastAsia="宋体"/>
                <w:sz w:val="16"/>
              </w:rPr>
              <w:t>霍尔果斯市交通运输局</w:t>
            </w:r>
          </w:p>
        </w:tc>
      </w:tr>
      <w:tr w14:paraId="69AAC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A72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AC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211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FF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10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C2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AA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5B1C">
            <w:pPr>
              <w:jc w:val="center"/>
            </w:pPr>
            <w:r>
              <w:rPr>
                <w:rFonts w:ascii="宋体" w:hAnsi="宋体" w:eastAsia="宋体"/>
                <w:sz w:val="16"/>
              </w:rPr>
              <w:t>得分</w:t>
            </w:r>
          </w:p>
        </w:tc>
      </w:tr>
      <w:tr w14:paraId="4DD86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4B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0B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CAF9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572E">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6BDC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6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CE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BEE1">
            <w:pPr>
              <w:jc w:val="center"/>
            </w:pPr>
            <w:r>
              <w:rPr>
                <w:rFonts w:ascii="宋体" w:hAnsi="宋体" w:eastAsia="宋体"/>
                <w:sz w:val="16"/>
              </w:rPr>
              <w:t>10.00</w:t>
            </w:r>
          </w:p>
        </w:tc>
      </w:tr>
      <w:tr w14:paraId="53974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02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2C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DD36">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D66E">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9CA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A8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7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04B0">
            <w:pPr>
              <w:jc w:val="center"/>
            </w:pPr>
            <w:r>
              <w:rPr>
                <w:rFonts w:ascii="宋体" w:hAnsi="宋体" w:eastAsia="宋体"/>
                <w:sz w:val="16"/>
              </w:rPr>
              <w:t>—</w:t>
            </w:r>
          </w:p>
        </w:tc>
      </w:tr>
      <w:tr w14:paraId="1F049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AAF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FA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5B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8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1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52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4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A06C">
            <w:pPr>
              <w:jc w:val="center"/>
            </w:pPr>
            <w:r>
              <w:rPr>
                <w:rFonts w:ascii="宋体" w:hAnsi="宋体" w:eastAsia="宋体"/>
                <w:sz w:val="16"/>
              </w:rPr>
              <w:t>—</w:t>
            </w:r>
          </w:p>
        </w:tc>
      </w:tr>
      <w:tr w14:paraId="39F86B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949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E25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29238F">
            <w:pPr>
              <w:jc w:val="center"/>
            </w:pPr>
            <w:r>
              <w:rPr>
                <w:rFonts w:ascii="宋体" w:hAnsi="宋体" w:eastAsia="宋体"/>
                <w:sz w:val="16"/>
              </w:rPr>
              <w:t>实际完成情况</w:t>
            </w:r>
          </w:p>
        </w:tc>
      </w:tr>
      <w:tr w14:paraId="1D6CA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39E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16C73">
            <w:pPr>
              <w:jc w:val="both"/>
            </w:pPr>
            <w:r>
              <w:rPr>
                <w:rFonts w:ascii="宋体" w:hAnsi="宋体" w:eastAsia="宋体"/>
                <w:sz w:val="16"/>
              </w:rPr>
              <w:t>政府还贷二级公路取消收费后补助资金对霍尔果斯市道路基础设施项目及配套附属项目进行支付。完成提升城市承载力优化人居环境，改善居民出行环境的目标，达到提升居民幸福感、优化营商环境效果。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48EE3">
            <w:pPr>
              <w:jc w:val="both"/>
            </w:pPr>
            <w:r>
              <w:rPr>
                <w:rFonts w:ascii="宋体" w:hAnsi="宋体" w:eastAsia="宋体"/>
                <w:sz w:val="16"/>
              </w:rPr>
              <w:t>完成支持农村公路养护2千米，共计支付32万元，提高了居民出行条件，提升了群众满意度。</w:t>
            </w:r>
          </w:p>
        </w:tc>
      </w:tr>
      <w:tr w14:paraId="01813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651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81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3D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1C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B3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CE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5B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DE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ACC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98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91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58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AE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E6A7">
            <w:pPr>
              <w:jc w:val="center"/>
            </w:pPr>
            <w:r>
              <w:rPr>
                <w:rFonts w:ascii="宋体" w:hAnsi="宋体" w:eastAsia="宋体"/>
                <w:sz w:val="16"/>
              </w:rPr>
              <w:t>偏差原因分析及改进措施</w:t>
            </w:r>
          </w:p>
        </w:tc>
      </w:tr>
      <w:tr w14:paraId="51F382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151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C1C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8FF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A0FB">
            <w:pPr>
              <w:jc w:val="center"/>
            </w:pPr>
            <w:r>
              <w:rPr>
                <w:rFonts w:ascii="宋体" w:hAnsi="宋体" w:eastAsia="宋体"/>
                <w:sz w:val="16"/>
              </w:rPr>
              <w:t>支持农村公路养护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30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C8AB">
            <w:pPr>
              <w:jc w:val="center"/>
            </w:pPr>
            <w:r>
              <w:rPr>
                <w:rFonts w:ascii="宋体" w:hAnsi="宋体" w:eastAsia="宋体"/>
                <w:sz w:val="16"/>
              </w:rPr>
              <w:t>&gt;=2km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348E">
            <w:pPr>
              <w:jc w:val="center"/>
            </w:pPr>
            <w:r>
              <w:rPr>
                <w:rFonts w:ascii="宋体" w:hAnsi="宋体" w:eastAsia="宋体"/>
                <w:sz w:val="16"/>
              </w:rPr>
              <w:t>2km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6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9D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9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1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3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38D1">
            <w:pPr>
              <w:jc w:val="center"/>
            </w:pPr>
          </w:p>
        </w:tc>
      </w:tr>
      <w:tr w14:paraId="7EDBF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AE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0C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E3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514B">
            <w:pPr>
              <w:jc w:val="center"/>
            </w:pPr>
            <w:r>
              <w:rPr>
                <w:rFonts w:ascii="宋体" w:hAnsi="宋体" w:eastAsia="宋体"/>
                <w:sz w:val="16"/>
              </w:rPr>
              <w:t>实施农村公路路况自动化检测里程（较2023年）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4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506B">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13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8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C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8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5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F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5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CE5F">
            <w:pPr>
              <w:jc w:val="center"/>
            </w:pPr>
          </w:p>
        </w:tc>
      </w:tr>
      <w:tr w14:paraId="424DA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0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58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8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0732">
            <w:pPr>
              <w:jc w:val="center"/>
            </w:pPr>
            <w:r>
              <w:rPr>
                <w:rFonts w:ascii="宋体" w:hAnsi="宋体" w:eastAsia="宋体"/>
                <w:sz w:val="16"/>
              </w:rPr>
              <w:t>实施路段技术状况水平（PQI）</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2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688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413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E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9F5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2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7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D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83B4">
            <w:pPr>
              <w:jc w:val="center"/>
            </w:pPr>
          </w:p>
        </w:tc>
      </w:tr>
      <w:tr w14:paraId="5F291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0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79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C5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4824">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3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9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B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3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0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F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3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9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1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CB54">
            <w:pPr>
              <w:jc w:val="center"/>
            </w:pPr>
          </w:p>
        </w:tc>
      </w:tr>
      <w:tr w14:paraId="5D97D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1B8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9B2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7D9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5231">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E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70C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2C91">
            <w:pPr>
              <w:jc w:val="center"/>
            </w:pPr>
            <w:r>
              <w:rPr>
                <w:rFonts w:ascii="宋体" w:hAnsi="宋体" w:eastAsia="宋体"/>
                <w:sz w:val="16"/>
              </w:rPr>
              <w:tab/>
            </w: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7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F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5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E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4F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6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6880">
            <w:pPr>
              <w:jc w:val="center"/>
            </w:pPr>
          </w:p>
        </w:tc>
      </w:tr>
      <w:tr w14:paraId="212D4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3F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A8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16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442E">
            <w:pPr>
              <w:jc w:val="center"/>
            </w:pPr>
            <w:r>
              <w:rPr>
                <w:rFonts w:ascii="宋体" w:hAnsi="宋体" w:eastAsia="宋体"/>
                <w:sz w:val="16"/>
              </w:rPr>
              <w:t>基本公共服务水平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B2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6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A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2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0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C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1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8C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9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A724">
            <w:pPr>
              <w:jc w:val="center"/>
            </w:pPr>
          </w:p>
        </w:tc>
      </w:tr>
      <w:tr w14:paraId="48455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DA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5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BF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AC69">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25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785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091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F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5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1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8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52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66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E455">
            <w:pPr>
              <w:jc w:val="center"/>
            </w:pPr>
          </w:p>
        </w:tc>
      </w:tr>
      <w:tr w14:paraId="6FAD9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BA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09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5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A985">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7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535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845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F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4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0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3B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7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A520">
            <w:pPr>
              <w:jc w:val="center"/>
            </w:pPr>
          </w:p>
        </w:tc>
      </w:tr>
      <w:tr w14:paraId="7F5B58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866D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0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76B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4D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FF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38A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A47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822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54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0F6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4737B"/>
        </w:tc>
      </w:tr>
    </w:tbl>
    <w:p w14:paraId="2F855A80">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5"/>
        <w:gridCol w:w="856"/>
        <w:gridCol w:w="607"/>
        <w:gridCol w:w="856"/>
        <w:gridCol w:w="696"/>
        <w:gridCol w:w="618"/>
        <w:gridCol w:w="607"/>
        <w:gridCol w:w="595"/>
        <w:gridCol w:w="595"/>
        <w:gridCol w:w="597"/>
        <w:gridCol w:w="596"/>
        <w:gridCol w:w="630"/>
      </w:tblGrid>
      <w:tr w14:paraId="2D194CF6">
        <w:tblPrEx>
          <w:tblCellMar>
            <w:top w:w="0" w:type="dxa"/>
            <w:left w:w="108" w:type="dxa"/>
            <w:bottom w:w="0" w:type="dxa"/>
            <w:right w:w="108" w:type="dxa"/>
          </w:tblCellMar>
        </w:tblPrEx>
        <w:tc>
          <w:tcPr>
            <w:tcW w:w="8848" w:type="dxa"/>
            <w:gridSpan w:val="14"/>
            <w:vAlign w:val="center"/>
          </w:tcPr>
          <w:p w14:paraId="1CAC6FD0">
            <w:pPr>
              <w:jc w:val="center"/>
            </w:pPr>
            <w:r>
              <w:rPr>
                <w:rFonts w:ascii="宋体" w:hAnsi="宋体" w:eastAsia="宋体"/>
                <w:sz w:val="24"/>
              </w:rPr>
              <w:t>项目支出绩效自评表</w:t>
            </w:r>
          </w:p>
        </w:tc>
      </w:tr>
      <w:tr w14:paraId="20F9E60B">
        <w:tblPrEx>
          <w:tblCellMar>
            <w:top w:w="0" w:type="dxa"/>
            <w:left w:w="108" w:type="dxa"/>
            <w:bottom w:w="0" w:type="dxa"/>
            <w:right w:w="108" w:type="dxa"/>
          </w:tblCellMar>
        </w:tblPrEx>
        <w:tc>
          <w:tcPr>
            <w:tcW w:w="8848" w:type="dxa"/>
            <w:gridSpan w:val="14"/>
            <w:vAlign w:val="center"/>
          </w:tcPr>
          <w:p w14:paraId="6915D3FF">
            <w:pPr>
              <w:jc w:val="center"/>
            </w:pPr>
            <w:r>
              <w:rPr>
                <w:rFonts w:ascii="宋体" w:hAnsi="宋体" w:eastAsia="宋体"/>
                <w:sz w:val="24"/>
              </w:rPr>
              <w:t>(2024年度)</w:t>
            </w:r>
          </w:p>
        </w:tc>
      </w:tr>
      <w:tr w14:paraId="771024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9F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1DB25D">
            <w:pPr>
              <w:jc w:val="center"/>
            </w:pPr>
            <w:r>
              <w:rPr>
                <w:rFonts w:ascii="宋体" w:hAnsi="宋体" w:eastAsia="宋体"/>
                <w:sz w:val="16"/>
              </w:rPr>
              <w:t>调整下达2023年度农村客运补贴资金及城市交通发展奖励资金</w:t>
            </w:r>
          </w:p>
        </w:tc>
      </w:tr>
      <w:tr w14:paraId="41F242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51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74C22">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B0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663492">
            <w:pPr>
              <w:jc w:val="center"/>
            </w:pPr>
            <w:r>
              <w:rPr>
                <w:rFonts w:ascii="宋体" w:hAnsi="宋体" w:eastAsia="宋体"/>
                <w:sz w:val="16"/>
              </w:rPr>
              <w:t>霍尔果斯市交通运输局</w:t>
            </w:r>
          </w:p>
        </w:tc>
      </w:tr>
      <w:tr w14:paraId="620E2F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141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EF3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C5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56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4C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43D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21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9BFF">
            <w:pPr>
              <w:jc w:val="center"/>
            </w:pPr>
            <w:r>
              <w:rPr>
                <w:rFonts w:ascii="宋体" w:hAnsi="宋体" w:eastAsia="宋体"/>
                <w:sz w:val="16"/>
              </w:rPr>
              <w:t>得分</w:t>
            </w:r>
          </w:p>
        </w:tc>
      </w:tr>
      <w:tr w14:paraId="16B5B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D1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08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50BE">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2609">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78A7">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93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D0A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35A8">
            <w:pPr>
              <w:jc w:val="center"/>
            </w:pPr>
            <w:r>
              <w:rPr>
                <w:rFonts w:ascii="宋体" w:hAnsi="宋体" w:eastAsia="宋体"/>
                <w:sz w:val="16"/>
              </w:rPr>
              <w:t>10.00</w:t>
            </w:r>
          </w:p>
        </w:tc>
      </w:tr>
      <w:tr w14:paraId="7C571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09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81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CB6D0">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0882">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9F731">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27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3D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EC87">
            <w:pPr>
              <w:jc w:val="center"/>
            </w:pPr>
            <w:r>
              <w:rPr>
                <w:rFonts w:ascii="宋体" w:hAnsi="宋体" w:eastAsia="宋体"/>
                <w:sz w:val="16"/>
              </w:rPr>
              <w:t>—</w:t>
            </w:r>
          </w:p>
        </w:tc>
      </w:tr>
      <w:tr w14:paraId="6175E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A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887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80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33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8A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6F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F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7680">
            <w:pPr>
              <w:jc w:val="center"/>
            </w:pPr>
            <w:r>
              <w:rPr>
                <w:rFonts w:ascii="宋体" w:hAnsi="宋体" w:eastAsia="宋体"/>
                <w:sz w:val="16"/>
              </w:rPr>
              <w:t>—</w:t>
            </w:r>
          </w:p>
        </w:tc>
      </w:tr>
      <w:tr w14:paraId="6D208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BE9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32D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86AFD">
            <w:pPr>
              <w:jc w:val="center"/>
            </w:pPr>
            <w:r>
              <w:rPr>
                <w:rFonts w:ascii="宋体" w:hAnsi="宋体" w:eastAsia="宋体"/>
                <w:sz w:val="16"/>
              </w:rPr>
              <w:t>实际完成情况</w:t>
            </w:r>
          </w:p>
        </w:tc>
      </w:tr>
      <w:tr w14:paraId="0A95F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99D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322A5">
            <w:pPr>
              <w:jc w:val="both"/>
            </w:pPr>
            <w:r>
              <w:rPr>
                <w:rFonts w:ascii="宋体" w:hAnsi="宋体" w:eastAsia="宋体"/>
                <w:sz w:val="16"/>
              </w:rPr>
              <w:t>根据《关于调整下达2023年度农村客运补贴资金及城市交通发展奖励资金预算的通知》（新财建〔2024〕95号文件精神），2023年度农村客运车辆56辆、城市公交成品油车辆9辆、新能源公交车辆21辆，共计补贴834000元，鼓励农村客运、城市公交企业积极承担社会义务，积极推广新能源汽车在城市客运和农村客运领域的应用，让人民群众共享交通运输改革发展成果，改善农村客运、城市公交公司运营状况，推动运输服务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3263F2">
            <w:pPr>
              <w:jc w:val="both"/>
            </w:pPr>
            <w:r>
              <w:rPr>
                <w:rFonts w:ascii="宋体" w:hAnsi="宋体" w:eastAsia="宋体"/>
                <w:sz w:val="16"/>
              </w:rPr>
              <w:t>完成农村客运车辆56辆、城市公交成品油车辆9辆、新能源公交车辆21辆，共计补贴83.4万元，保障城市公交、农村客运高质量运营，确保公共交通的</w:t>
            </w:r>
            <w:r>
              <w:rPr>
                <w:rFonts w:hint="eastAsia" w:ascii="宋体" w:hAnsi="宋体"/>
                <w:sz w:val="16"/>
                <w:lang w:eastAsia="zh-CN"/>
              </w:rPr>
              <w:t>普惠</w:t>
            </w:r>
            <w:r>
              <w:rPr>
                <w:rFonts w:ascii="宋体" w:hAnsi="宋体" w:eastAsia="宋体"/>
                <w:sz w:val="16"/>
              </w:rPr>
              <w:t>性和可持续性，让</w:t>
            </w:r>
            <w:r>
              <w:rPr>
                <w:rFonts w:hint="eastAsia" w:ascii="宋体" w:hAnsi="宋体"/>
                <w:sz w:val="16"/>
                <w:lang w:eastAsia="zh-CN"/>
              </w:rPr>
              <w:t>人民</w:t>
            </w:r>
            <w:r>
              <w:rPr>
                <w:rFonts w:ascii="宋体" w:hAnsi="宋体" w:eastAsia="宋体"/>
                <w:sz w:val="16"/>
              </w:rPr>
              <w:t>群众满意度提高，最终服务于社会公平，服务国家乡村振兴大局。</w:t>
            </w:r>
          </w:p>
        </w:tc>
      </w:tr>
      <w:tr w14:paraId="712DA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7E7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E6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2D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84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67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AD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19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15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EC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CB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CB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0E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57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309C">
            <w:pPr>
              <w:jc w:val="center"/>
            </w:pPr>
            <w:r>
              <w:rPr>
                <w:rFonts w:ascii="宋体" w:hAnsi="宋体" w:eastAsia="宋体"/>
                <w:sz w:val="16"/>
              </w:rPr>
              <w:t>偏差原因分析及改进措施</w:t>
            </w:r>
          </w:p>
        </w:tc>
      </w:tr>
      <w:tr w14:paraId="572F9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5A8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A5F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0D3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69E7">
            <w:pPr>
              <w:jc w:val="center"/>
            </w:pPr>
            <w:r>
              <w:rPr>
                <w:rFonts w:ascii="宋体" w:hAnsi="宋体" w:eastAsia="宋体"/>
                <w:sz w:val="16"/>
              </w:rPr>
              <w:t>新能源城市公交车购置车辆数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C8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BA54">
            <w:pPr>
              <w:jc w:val="center"/>
            </w:pPr>
            <w:r>
              <w:rPr>
                <w:rFonts w:ascii="宋体" w:hAnsi="宋体" w:eastAsia="宋体"/>
                <w:sz w:val="16"/>
              </w:rPr>
              <w:t>&gt;=21辆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DE45">
            <w:pPr>
              <w:jc w:val="center"/>
            </w:pPr>
            <w:r>
              <w:rPr>
                <w:rFonts w:ascii="宋体" w:hAnsi="宋体" w:eastAsia="宋体"/>
                <w:sz w:val="16"/>
              </w:rPr>
              <w:t>21辆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2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3B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2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C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F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9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62B5">
            <w:pPr>
              <w:jc w:val="center"/>
            </w:pPr>
          </w:p>
        </w:tc>
      </w:tr>
      <w:tr w14:paraId="32E8C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C1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F9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E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8063">
            <w:pPr>
              <w:jc w:val="center"/>
            </w:pPr>
            <w:r>
              <w:rPr>
                <w:rFonts w:ascii="宋体" w:hAnsi="宋体" w:eastAsia="宋体"/>
                <w:sz w:val="16"/>
              </w:rPr>
              <w:t>城市公交车辆数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237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2F15">
            <w:pPr>
              <w:jc w:val="center"/>
            </w:pPr>
            <w:r>
              <w:rPr>
                <w:rFonts w:ascii="宋体" w:hAnsi="宋体" w:eastAsia="宋体"/>
                <w:sz w:val="16"/>
              </w:rPr>
              <w:t>&gt;=9辆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24EC">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9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8C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3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7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C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6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83D1">
            <w:pPr>
              <w:jc w:val="center"/>
            </w:pPr>
          </w:p>
        </w:tc>
      </w:tr>
      <w:tr w14:paraId="1C218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18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87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D5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CA1A">
            <w:pPr>
              <w:jc w:val="center"/>
            </w:pPr>
            <w:r>
              <w:rPr>
                <w:rFonts w:ascii="宋体" w:hAnsi="宋体" w:eastAsia="宋体"/>
                <w:sz w:val="16"/>
              </w:rPr>
              <w:t>农村客运车辆数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58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0C6B">
            <w:pPr>
              <w:jc w:val="center"/>
            </w:pPr>
            <w:r>
              <w:rPr>
                <w:rFonts w:ascii="宋体" w:hAnsi="宋体" w:eastAsia="宋体"/>
                <w:sz w:val="16"/>
              </w:rPr>
              <w:t>&gt;=56辆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D02D">
            <w:pPr>
              <w:jc w:val="center"/>
            </w:pPr>
            <w:r>
              <w:rPr>
                <w:rFonts w:ascii="宋体" w:hAnsi="宋体" w:eastAsia="宋体"/>
                <w:sz w:val="16"/>
              </w:rPr>
              <w:t>56辆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F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5B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6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7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0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C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58D3">
            <w:pPr>
              <w:jc w:val="center"/>
            </w:pPr>
          </w:p>
        </w:tc>
      </w:tr>
      <w:tr w14:paraId="7A490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1E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27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B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6AB6">
            <w:pPr>
              <w:jc w:val="center"/>
            </w:pPr>
            <w:r>
              <w:rPr>
                <w:rFonts w:ascii="宋体" w:hAnsi="宋体" w:eastAsia="宋体"/>
                <w:sz w:val="16"/>
              </w:rPr>
              <w:t>新能源出租汽车购置车辆数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CD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01DA">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9744">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2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B9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7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E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EF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B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3020">
            <w:pPr>
              <w:jc w:val="center"/>
            </w:pPr>
          </w:p>
        </w:tc>
      </w:tr>
      <w:tr w14:paraId="63187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53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C0B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DDF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5F2E">
            <w:pPr>
              <w:jc w:val="center"/>
            </w:pPr>
            <w:r>
              <w:rPr>
                <w:rFonts w:ascii="宋体" w:hAnsi="宋体" w:eastAsia="宋体"/>
                <w:sz w:val="16"/>
              </w:rPr>
              <w:t>具备条件的建制村通客运车率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FF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BF5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1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3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78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B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7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E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B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A2EA">
            <w:pPr>
              <w:jc w:val="center"/>
            </w:pPr>
          </w:p>
        </w:tc>
      </w:tr>
      <w:tr w14:paraId="30786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33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9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E3AF">
            <w:pPr>
              <w:jc w:val="center"/>
            </w:pPr>
            <w:r>
              <w:rPr>
                <w:rFonts w:ascii="宋体" w:hAnsi="宋体" w:eastAsia="宋体"/>
                <w:sz w:val="16"/>
              </w:rPr>
              <w:t>建成区公交站点500米覆盖率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94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E09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4E9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E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15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0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7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B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0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E8D1">
            <w:pPr>
              <w:jc w:val="center"/>
            </w:pPr>
          </w:p>
        </w:tc>
      </w:tr>
      <w:tr w14:paraId="1D07E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5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1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DD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E8E4">
            <w:pPr>
              <w:jc w:val="center"/>
            </w:pPr>
            <w:r>
              <w:rPr>
                <w:rFonts w:ascii="宋体" w:hAnsi="宋体" w:eastAsia="宋体"/>
                <w:sz w:val="16"/>
              </w:rPr>
              <w:t>项目资金按时支付率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E8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E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B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4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57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0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0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E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5F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132C">
            <w:pPr>
              <w:jc w:val="center"/>
            </w:pPr>
          </w:p>
        </w:tc>
      </w:tr>
      <w:tr w14:paraId="377A9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C13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82D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4EE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3AAF">
            <w:pPr>
              <w:jc w:val="center"/>
            </w:pPr>
            <w:r>
              <w:rPr>
                <w:rFonts w:ascii="宋体" w:hAnsi="宋体" w:eastAsia="宋体"/>
                <w:sz w:val="16"/>
              </w:rPr>
              <w:t>农村客运车辆56辆补贴成本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44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3B0">
            <w:pPr>
              <w:jc w:val="center"/>
            </w:pPr>
            <w:r>
              <w:rPr>
                <w:rFonts w:ascii="宋体" w:hAnsi="宋体" w:eastAsia="宋体"/>
                <w:sz w:val="16"/>
              </w:rPr>
              <w:t>&lt;=683000元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41AA">
            <w:pPr>
              <w:jc w:val="center"/>
            </w:pPr>
            <w:r>
              <w:rPr>
                <w:rFonts w:ascii="宋体" w:hAnsi="宋体" w:eastAsia="宋体"/>
                <w:sz w:val="16"/>
              </w:rPr>
              <w:t>683000元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7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E5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2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D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3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AD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E9A4">
            <w:pPr>
              <w:jc w:val="center"/>
            </w:pPr>
          </w:p>
        </w:tc>
      </w:tr>
      <w:tr w14:paraId="125D3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B1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45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9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5BEE">
            <w:pPr>
              <w:jc w:val="center"/>
            </w:pPr>
            <w:r>
              <w:rPr>
                <w:rFonts w:ascii="宋体" w:hAnsi="宋体" w:eastAsia="宋体"/>
                <w:sz w:val="16"/>
              </w:rPr>
              <w:t>农村客运补贴资金占用油费油的比例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36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904F">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1FBA">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65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A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7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7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C9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3C7E">
            <w:pPr>
              <w:jc w:val="center"/>
            </w:pPr>
          </w:p>
        </w:tc>
      </w:tr>
      <w:tr w14:paraId="63163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31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6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DC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05E2">
            <w:pPr>
              <w:jc w:val="center"/>
            </w:pPr>
            <w:r>
              <w:rPr>
                <w:rFonts w:ascii="宋体" w:hAnsi="宋体" w:eastAsia="宋体"/>
                <w:sz w:val="16"/>
              </w:rPr>
              <w:t>城市公交补贴资金占用油费用的比例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A3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8FA6">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1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5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1B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0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D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4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AD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F6F9">
            <w:pPr>
              <w:jc w:val="center"/>
            </w:pPr>
          </w:p>
        </w:tc>
      </w:tr>
      <w:tr w14:paraId="40E23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D1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31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4B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9C84">
            <w:pPr>
              <w:jc w:val="center"/>
            </w:pPr>
            <w:r>
              <w:rPr>
                <w:rFonts w:ascii="宋体" w:hAnsi="宋体" w:eastAsia="宋体"/>
                <w:sz w:val="16"/>
              </w:rPr>
              <w:t>城市公交车辆补贴成本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3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41B2">
            <w:pPr>
              <w:jc w:val="center"/>
            </w:pPr>
            <w:r>
              <w:rPr>
                <w:rFonts w:ascii="宋体" w:hAnsi="宋体" w:eastAsia="宋体"/>
                <w:sz w:val="16"/>
              </w:rPr>
              <w:t>&lt;=14000元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C194">
            <w:pPr>
              <w:jc w:val="center"/>
            </w:pPr>
            <w:r>
              <w:rPr>
                <w:rFonts w:ascii="宋体" w:hAnsi="宋体" w:eastAsia="宋体"/>
                <w:sz w:val="16"/>
              </w:rPr>
              <w:t>14000元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F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F8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D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3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C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026F">
            <w:pPr>
              <w:jc w:val="center"/>
            </w:pPr>
          </w:p>
        </w:tc>
      </w:tr>
      <w:tr w14:paraId="0A4FE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FB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B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3A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201B">
            <w:pPr>
              <w:jc w:val="center"/>
            </w:pPr>
            <w:r>
              <w:rPr>
                <w:rFonts w:ascii="宋体" w:hAnsi="宋体" w:eastAsia="宋体"/>
                <w:sz w:val="16"/>
              </w:rPr>
              <w:t>新能源公交车辆补贴成本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C0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8828">
            <w:pPr>
              <w:jc w:val="center"/>
            </w:pPr>
            <w:r>
              <w:rPr>
                <w:rFonts w:ascii="宋体" w:hAnsi="宋体" w:eastAsia="宋体"/>
                <w:sz w:val="16"/>
              </w:rPr>
              <w:t>&lt;=137000元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ED62">
            <w:pPr>
              <w:jc w:val="center"/>
            </w:pPr>
            <w:r>
              <w:rPr>
                <w:rFonts w:ascii="宋体" w:hAnsi="宋体" w:eastAsia="宋体"/>
                <w:sz w:val="16"/>
              </w:rPr>
              <w:t>137000元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2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A2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6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6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9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CB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A0DB">
            <w:pPr>
              <w:jc w:val="center"/>
            </w:pPr>
          </w:p>
        </w:tc>
      </w:tr>
      <w:tr w14:paraId="4A3C7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7A7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891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9FE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B974">
            <w:pPr>
              <w:jc w:val="center"/>
            </w:pPr>
            <w:r>
              <w:rPr>
                <w:rFonts w:ascii="宋体" w:hAnsi="宋体" w:eastAsia="宋体"/>
                <w:sz w:val="16"/>
              </w:rPr>
              <w:t>改善农村客运、城市公交公司运营状况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B8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3405">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6503">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2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BB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E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5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9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4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E4E">
            <w:pPr>
              <w:jc w:val="center"/>
            </w:pPr>
          </w:p>
        </w:tc>
      </w:tr>
      <w:tr w14:paraId="00760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37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AC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D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6A4A">
            <w:pPr>
              <w:jc w:val="center"/>
            </w:pPr>
            <w:r>
              <w:rPr>
                <w:rFonts w:ascii="宋体" w:hAnsi="宋体" w:eastAsia="宋体"/>
                <w:sz w:val="16"/>
              </w:rPr>
              <w:t>“公交都市”“城乡交通运输一体化”创建成功“城市绿色货运配送示范工程”创建工作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A8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DF44">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6876">
            <w:pPr>
              <w:jc w:val="center"/>
            </w:pPr>
            <w:r>
              <w:rPr>
                <w:rFonts w:ascii="宋体" w:hAnsi="宋体" w:eastAsia="宋体"/>
                <w:sz w:val="16"/>
              </w:rPr>
              <w:tab/>
            </w:r>
            <w:r>
              <w:rPr>
                <w:rFonts w:ascii="宋体" w:hAnsi="宋体" w:eastAsia="宋体"/>
                <w:sz w:val="16"/>
              </w:rPr>
              <w:t>有所推进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0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38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4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4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A1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C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FB28">
            <w:pPr>
              <w:jc w:val="center"/>
            </w:pPr>
          </w:p>
        </w:tc>
      </w:tr>
      <w:tr w14:paraId="1EF3E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E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2A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BE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0787">
            <w:pPr>
              <w:jc w:val="center"/>
            </w:pPr>
            <w:r>
              <w:rPr>
                <w:rFonts w:ascii="宋体" w:hAnsi="宋体" w:eastAsia="宋体"/>
                <w:sz w:val="16"/>
              </w:rPr>
              <w:t>补贴持续发挥作用期限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46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1980">
            <w:pPr>
              <w:jc w:val="center"/>
            </w:pPr>
            <w:r>
              <w:rPr>
                <w:rFonts w:ascii="宋体" w:hAnsi="宋体" w:eastAsia="宋体"/>
                <w:sz w:val="16"/>
              </w:rPr>
              <w:t>&gt;=5年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26F4">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F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35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F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0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6C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2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B7EC">
            <w:pPr>
              <w:jc w:val="center"/>
            </w:pPr>
          </w:p>
        </w:tc>
      </w:tr>
      <w:tr w14:paraId="19EB0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77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FD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63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2353">
            <w:pPr>
              <w:jc w:val="center"/>
            </w:pPr>
            <w:r>
              <w:rPr>
                <w:rFonts w:ascii="宋体" w:hAnsi="宋体" w:eastAsia="宋体"/>
                <w:sz w:val="16"/>
              </w:rPr>
              <w:t>农村、城市受益群众满意度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A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5D5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1DA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D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5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F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F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71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5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B909">
            <w:pPr>
              <w:jc w:val="center"/>
            </w:pPr>
          </w:p>
        </w:tc>
      </w:tr>
      <w:tr w14:paraId="0045C0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494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5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973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94D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B5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1DD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F09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FC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366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3E3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0418E"/>
        </w:tc>
      </w:tr>
    </w:tbl>
    <w:p w14:paraId="5B44B5BD">
      <w:r>
        <w:br w:type="page"/>
      </w:r>
    </w:p>
    <w:tbl>
      <w:tblPr>
        <w:tblStyle w:val="9"/>
        <w:tblW w:w="0" w:type="auto"/>
        <w:tblInd w:w="0" w:type="dxa"/>
        <w:tblLayout w:type="autofit"/>
        <w:tblCellMar>
          <w:top w:w="0" w:type="dxa"/>
          <w:left w:w="108" w:type="dxa"/>
          <w:bottom w:w="0" w:type="dxa"/>
          <w:right w:w="108" w:type="dxa"/>
        </w:tblCellMar>
      </w:tblPr>
      <w:tblGrid>
        <w:gridCol w:w="602"/>
        <w:gridCol w:w="553"/>
        <w:gridCol w:w="553"/>
        <w:gridCol w:w="553"/>
        <w:gridCol w:w="578"/>
        <w:gridCol w:w="1176"/>
        <w:gridCol w:w="1016"/>
        <w:gridCol w:w="602"/>
        <w:gridCol w:w="578"/>
        <w:gridCol w:w="553"/>
        <w:gridCol w:w="553"/>
        <w:gridCol w:w="558"/>
        <w:gridCol w:w="557"/>
        <w:gridCol w:w="628"/>
      </w:tblGrid>
      <w:tr w14:paraId="5FDD6759">
        <w:tblPrEx>
          <w:tblCellMar>
            <w:top w:w="0" w:type="dxa"/>
            <w:left w:w="108" w:type="dxa"/>
            <w:bottom w:w="0" w:type="dxa"/>
            <w:right w:w="108" w:type="dxa"/>
          </w:tblCellMar>
        </w:tblPrEx>
        <w:tc>
          <w:tcPr>
            <w:tcW w:w="8848" w:type="dxa"/>
            <w:gridSpan w:val="14"/>
            <w:vAlign w:val="center"/>
          </w:tcPr>
          <w:p w14:paraId="37343387">
            <w:pPr>
              <w:jc w:val="center"/>
            </w:pPr>
            <w:r>
              <w:rPr>
                <w:rFonts w:ascii="宋体" w:hAnsi="宋体" w:eastAsia="宋体"/>
                <w:sz w:val="24"/>
              </w:rPr>
              <w:t>项目支出绩效自评表</w:t>
            </w:r>
          </w:p>
        </w:tc>
      </w:tr>
      <w:tr w14:paraId="4C1C42A8">
        <w:tblPrEx>
          <w:tblCellMar>
            <w:top w:w="0" w:type="dxa"/>
            <w:left w:w="108" w:type="dxa"/>
            <w:bottom w:w="0" w:type="dxa"/>
            <w:right w:w="108" w:type="dxa"/>
          </w:tblCellMar>
        </w:tblPrEx>
        <w:tc>
          <w:tcPr>
            <w:tcW w:w="8848" w:type="dxa"/>
            <w:gridSpan w:val="14"/>
            <w:vAlign w:val="center"/>
          </w:tcPr>
          <w:p w14:paraId="0FEE4646">
            <w:pPr>
              <w:jc w:val="center"/>
            </w:pPr>
            <w:r>
              <w:rPr>
                <w:rFonts w:ascii="宋体" w:hAnsi="宋体" w:eastAsia="宋体"/>
                <w:sz w:val="24"/>
              </w:rPr>
              <w:t>(2024年度)</w:t>
            </w:r>
          </w:p>
        </w:tc>
      </w:tr>
      <w:tr w14:paraId="013A3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A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319684">
            <w:pPr>
              <w:jc w:val="center"/>
            </w:pPr>
            <w:r>
              <w:rPr>
                <w:rFonts w:ascii="宋体" w:hAnsi="宋体" w:eastAsia="宋体"/>
                <w:sz w:val="16"/>
              </w:rPr>
              <w:t>霍尔果斯市2017年第一批农村路网升级改造工程第三合同段</w:t>
            </w:r>
          </w:p>
        </w:tc>
      </w:tr>
      <w:tr w14:paraId="3D182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72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363E7">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B4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957E69">
            <w:pPr>
              <w:jc w:val="center"/>
            </w:pPr>
            <w:r>
              <w:rPr>
                <w:rFonts w:ascii="宋体" w:hAnsi="宋体" w:eastAsia="宋体"/>
                <w:sz w:val="16"/>
              </w:rPr>
              <w:t>霍尔果斯市交通运输局</w:t>
            </w:r>
          </w:p>
        </w:tc>
      </w:tr>
      <w:tr w14:paraId="2C01E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4D6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6C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9E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C8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FB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3B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9A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B34C">
            <w:pPr>
              <w:jc w:val="center"/>
            </w:pPr>
            <w:r>
              <w:rPr>
                <w:rFonts w:ascii="宋体" w:hAnsi="宋体" w:eastAsia="宋体"/>
                <w:sz w:val="16"/>
              </w:rPr>
              <w:t>得分</w:t>
            </w:r>
          </w:p>
        </w:tc>
      </w:tr>
      <w:tr w14:paraId="57BB4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A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59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40C1">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E52D3">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792A9">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5F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34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3EBF">
            <w:pPr>
              <w:jc w:val="center"/>
            </w:pPr>
            <w:r>
              <w:rPr>
                <w:rFonts w:ascii="宋体" w:hAnsi="宋体" w:eastAsia="宋体"/>
                <w:sz w:val="16"/>
              </w:rPr>
              <w:t>10.00</w:t>
            </w:r>
          </w:p>
        </w:tc>
      </w:tr>
      <w:tr w14:paraId="5F535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B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AD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6AC6">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4DDE">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5D49D">
            <w:pPr>
              <w:jc w:val="center"/>
            </w:pPr>
            <w:r>
              <w:rPr>
                <w:rFonts w:ascii="宋体" w:hAnsi="宋体" w:eastAsia="宋体"/>
                <w:sz w:val="16"/>
              </w:rPr>
              <w:t>100.24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44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1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BB69">
            <w:pPr>
              <w:jc w:val="center"/>
            </w:pPr>
            <w:r>
              <w:rPr>
                <w:rFonts w:ascii="宋体" w:hAnsi="宋体" w:eastAsia="宋体"/>
                <w:sz w:val="16"/>
              </w:rPr>
              <w:t>—</w:t>
            </w:r>
          </w:p>
        </w:tc>
      </w:tr>
      <w:tr w14:paraId="2CBE2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266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92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0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7F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E70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5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32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1A19">
            <w:pPr>
              <w:jc w:val="center"/>
            </w:pPr>
            <w:r>
              <w:rPr>
                <w:rFonts w:ascii="宋体" w:hAnsi="宋体" w:eastAsia="宋体"/>
                <w:sz w:val="16"/>
              </w:rPr>
              <w:t>—</w:t>
            </w:r>
          </w:p>
        </w:tc>
      </w:tr>
      <w:tr w14:paraId="32170E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04A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C76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DF433">
            <w:pPr>
              <w:jc w:val="center"/>
            </w:pPr>
            <w:r>
              <w:rPr>
                <w:rFonts w:ascii="宋体" w:hAnsi="宋体" w:eastAsia="宋体"/>
                <w:sz w:val="16"/>
              </w:rPr>
              <w:t>实际完成情况</w:t>
            </w:r>
          </w:p>
        </w:tc>
      </w:tr>
      <w:tr w14:paraId="0CEDD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E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735FA">
            <w:pPr>
              <w:jc w:val="both"/>
            </w:pPr>
            <w:r>
              <w:rPr>
                <w:rFonts w:ascii="宋体" w:hAnsi="宋体" w:eastAsia="宋体"/>
                <w:sz w:val="16"/>
              </w:rPr>
              <w:t>通过实施霍尔果斯市2017年第一批农村路网升级改造工程第三合同段改建四级公路17.686km，完成提升城市承载力优化人居环境，改善居民出行环境，达到提升居民幸福感、优化营商环境效果。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7E590">
            <w:pPr>
              <w:jc w:val="both"/>
            </w:pPr>
            <w:r>
              <w:rPr>
                <w:rFonts w:ascii="宋体" w:hAnsi="宋体" w:eastAsia="宋体"/>
                <w:sz w:val="16"/>
              </w:rPr>
              <w:t>完成实施霍尔果斯市2017年第一批农村路网升级改造工程第三合同段改建四级公路17.686km，共计支付100.24万元，提高了居民出行条件，改善了出行环境，提高了群众满意度。</w:t>
            </w:r>
          </w:p>
        </w:tc>
      </w:tr>
      <w:tr w14:paraId="13AB5F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E1B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17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39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DA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B5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804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3C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7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0C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4D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79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98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50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5191">
            <w:pPr>
              <w:jc w:val="center"/>
            </w:pPr>
            <w:r>
              <w:rPr>
                <w:rFonts w:ascii="宋体" w:hAnsi="宋体" w:eastAsia="宋体"/>
                <w:sz w:val="16"/>
              </w:rPr>
              <w:t>偏差原因分析及改进措施</w:t>
            </w:r>
          </w:p>
        </w:tc>
      </w:tr>
      <w:tr w14:paraId="2328D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B7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415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28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6CB5">
            <w:pPr>
              <w:jc w:val="center"/>
            </w:pPr>
            <w:r>
              <w:rPr>
                <w:rFonts w:ascii="宋体" w:hAnsi="宋体" w:eastAsia="宋体"/>
                <w:sz w:val="16"/>
              </w:rPr>
              <w:t>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0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E06A">
            <w:pPr>
              <w:jc w:val="center"/>
            </w:pPr>
            <w:r>
              <w:rPr>
                <w:rFonts w:ascii="宋体" w:hAnsi="宋体" w:eastAsia="宋体"/>
                <w:sz w:val="16"/>
              </w:rPr>
              <w:t>&gt;=17.686km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4840">
            <w:pPr>
              <w:jc w:val="center"/>
            </w:pPr>
            <w:r>
              <w:rPr>
                <w:rFonts w:ascii="宋体" w:hAnsi="宋体" w:eastAsia="宋体"/>
                <w:sz w:val="16"/>
              </w:rPr>
              <w:t>17.686km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6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4A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5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C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D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EF90">
            <w:pPr>
              <w:jc w:val="center"/>
            </w:pPr>
          </w:p>
        </w:tc>
      </w:tr>
      <w:tr w14:paraId="69303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2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F67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F01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C209">
            <w:pPr>
              <w:jc w:val="center"/>
            </w:pPr>
            <w:r>
              <w:rPr>
                <w:rFonts w:ascii="宋体" w:hAnsi="宋体" w:eastAsia="宋体"/>
                <w:sz w:val="16"/>
              </w:rPr>
              <w:t>公路等级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6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8FD8">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4357">
            <w:pPr>
              <w:jc w:val="center"/>
            </w:pPr>
            <w:r>
              <w:rPr>
                <w:rFonts w:ascii="宋体" w:hAnsi="宋体" w:eastAsia="宋体"/>
                <w:sz w:val="16"/>
              </w:rPr>
              <w:tab/>
            </w: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A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F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4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9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9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71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8493">
            <w:pPr>
              <w:jc w:val="center"/>
            </w:pPr>
          </w:p>
        </w:tc>
      </w:tr>
      <w:tr w14:paraId="42BC1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3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A4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D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B7FA">
            <w:pPr>
              <w:jc w:val="center"/>
            </w:pPr>
            <w:r>
              <w:rPr>
                <w:rFonts w:ascii="宋体" w:hAnsi="宋体" w:eastAsia="宋体"/>
                <w:sz w:val="16"/>
              </w:rPr>
              <w:t>公路工程质量达标率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8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2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D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1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8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4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F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9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CE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7C3A">
            <w:pPr>
              <w:jc w:val="center"/>
            </w:pPr>
          </w:p>
        </w:tc>
      </w:tr>
      <w:tr w14:paraId="4BA1A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1A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B1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66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A0E8">
            <w:pPr>
              <w:jc w:val="center"/>
            </w:pPr>
            <w:r>
              <w:rPr>
                <w:rFonts w:ascii="宋体" w:hAnsi="宋体" w:eastAsia="宋体"/>
                <w:sz w:val="16"/>
              </w:rPr>
              <w:t>公路建设及时率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8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5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2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1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C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8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F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5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A0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F44A">
            <w:pPr>
              <w:jc w:val="center"/>
            </w:pPr>
          </w:p>
        </w:tc>
      </w:tr>
      <w:tr w14:paraId="22D10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3F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BD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67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2F32">
            <w:pPr>
              <w:jc w:val="center"/>
            </w:pPr>
            <w:r>
              <w:rPr>
                <w:rFonts w:ascii="宋体" w:hAnsi="宋体" w:eastAsia="宋体"/>
                <w:sz w:val="16"/>
              </w:rPr>
              <w:t>支付公路建设工程款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0F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4586">
            <w:pPr>
              <w:jc w:val="center"/>
            </w:pPr>
            <w:r>
              <w:rPr>
                <w:rFonts w:ascii="宋体" w:hAnsi="宋体" w:eastAsia="宋体"/>
                <w:sz w:val="16"/>
              </w:rPr>
              <w:t>&lt;=100.243939万元/个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9987">
            <w:pPr>
              <w:jc w:val="center"/>
            </w:pPr>
            <w:r>
              <w:rPr>
                <w:rFonts w:ascii="宋体" w:hAnsi="宋体" w:eastAsia="宋体"/>
                <w:sz w:val="16"/>
              </w:rPr>
              <w:t>100.243939万元/个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3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0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8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F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11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1E9E">
            <w:pPr>
              <w:jc w:val="center"/>
            </w:pPr>
          </w:p>
        </w:tc>
      </w:tr>
      <w:tr w14:paraId="0EF19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F1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3F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EE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4607">
            <w:pPr>
              <w:jc w:val="center"/>
            </w:pPr>
            <w:r>
              <w:rPr>
                <w:rFonts w:ascii="宋体" w:hAnsi="宋体" w:eastAsia="宋体"/>
                <w:sz w:val="16"/>
              </w:rPr>
              <w:t>改善居民出行环境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B6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4F1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57CF">
            <w:pPr>
              <w:jc w:val="center"/>
            </w:pPr>
            <w:r>
              <w:rPr>
                <w:rFonts w:ascii="宋体" w:hAnsi="宋体" w:eastAsia="宋体"/>
                <w:sz w:val="16"/>
              </w:rPr>
              <w:tab/>
            </w: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7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5C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C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6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9D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7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2585">
            <w:pPr>
              <w:jc w:val="center"/>
            </w:pPr>
          </w:p>
        </w:tc>
      </w:tr>
      <w:tr w14:paraId="1C058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33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A8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8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32FE">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F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790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01C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E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5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F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6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F8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8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1929">
            <w:pPr>
              <w:jc w:val="center"/>
            </w:pPr>
          </w:p>
        </w:tc>
      </w:tr>
      <w:tr w14:paraId="5BC27F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CD35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3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214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DD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29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731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B6D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573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E63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4D6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7717A"/>
        </w:tc>
      </w:tr>
    </w:tbl>
    <w:p w14:paraId="68749D4B">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936"/>
        <w:gridCol w:w="776"/>
        <w:gridCol w:w="622"/>
        <w:gridCol w:w="614"/>
        <w:gridCol w:w="606"/>
        <w:gridCol w:w="606"/>
        <w:gridCol w:w="608"/>
        <w:gridCol w:w="607"/>
        <w:gridCol w:w="631"/>
      </w:tblGrid>
      <w:tr w14:paraId="68A79933">
        <w:tblPrEx>
          <w:tblCellMar>
            <w:top w:w="0" w:type="dxa"/>
            <w:left w:w="108" w:type="dxa"/>
            <w:bottom w:w="0" w:type="dxa"/>
            <w:right w:w="108" w:type="dxa"/>
          </w:tblCellMar>
        </w:tblPrEx>
        <w:tc>
          <w:tcPr>
            <w:tcW w:w="8848" w:type="dxa"/>
            <w:gridSpan w:val="14"/>
            <w:vAlign w:val="center"/>
          </w:tcPr>
          <w:p w14:paraId="2200977A">
            <w:pPr>
              <w:jc w:val="center"/>
            </w:pPr>
            <w:r>
              <w:rPr>
                <w:rFonts w:ascii="宋体" w:hAnsi="宋体" w:eastAsia="宋体"/>
                <w:sz w:val="24"/>
              </w:rPr>
              <w:t>项目支出绩效自评表</w:t>
            </w:r>
          </w:p>
        </w:tc>
      </w:tr>
      <w:tr w14:paraId="1B93DFC5">
        <w:tblPrEx>
          <w:tblCellMar>
            <w:top w:w="0" w:type="dxa"/>
            <w:left w:w="108" w:type="dxa"/>
            <w:bottom w:w="0" w:type="dxa"/>
            <w:right w:w="108" w:type="dxa"/>
          </w:tblCellMar>
        </w:tblPrEx>
        <w:tc>
          <w:tcPr>
            <w:tcW w:w="8848" w:type="dxa"/>
            <w:gridSpan w:val="14"/>
            <w:vAlign w:val="center"/>
          </w:tcPr>
          <w:p w14:paraId="3EADF601">
            <w:pPr>
              <w:jc w:val="center"/>
            </w:pPr>
            <w:r>
              <w:rPr>
                <w:rFonts w:ascii="宋体" w:hAnsi="宋体" w:eastAsia="宋体"/>
                <w:sz w:val="24"/>
              </w:rPr>
              <w:t>(2024年度)</w:t>
            </w:r>
          </w:p>
        </w:tc>
      </w:tr>
      <w:tr w14:paraId="0200EE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10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060E50">
            <w:pPr>
              <w:jc w:val="center"/>
            </w:pPr>
            <w:r>
              <w:rPr>
                <w:rFonts w:ascii="宋体" w:hAnsi="宋体" w:eastAsia="宋体"/>
                <w:sz w:val="16"/>
              </w:rPr>
              <w:t>霍尔果斯市2017年第二批农村路网升级改造工程</w:t>
            </w:r>
          </w:p>
        </w:tc>
      </w:tr>
      <w:tr w14:paraId="29378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4E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79746">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C5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0B9FD">
            <w:pPr>
              <w:jc w:val="center"/>
            </w:pPr>
            <w:r>
              <w:rPr>
                <w:rFonts w:ascii="宋体" w:hAnsi="宋体" w:eastAsia="宋体"/>
                <w:sz w:val="16"/>
              </w:rPr>
              <w:t>霍尔果斯市交通运输局</w:t>
            </w:r>
          </w:p>
        </w:tc>
      </w:tr>
      <w:tr w14:paraId="18BD47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D86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22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FEF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56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00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0A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9C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0021">
            <w:pPr>
              <w:jc w:val="center"/>
            </w:pPr>
            <w:r>
              <w:rPr>
                <w:rFonts w:ascii="宋体" w:hAnsi="宋体" w:eastAsia="宋体"/>
                <w:sz w:val="16"/>
              </w:rPr>
              <w:t>得分</w:t>
            </w:r>
          </w:p>
        </w:tc>
      </w:tr>
      <w:tr w14:paraId="2CE43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EF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6CC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D6BA">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5F0AF">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3B0D">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846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0A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250">
            <w:pPr>
              <w:jc w:val="center"/>
            </w:pPr>
            <w:r>
              <w:rPr>
                <w:rFonts w:ascii="宋体" w:hAnsi="宋体" w:eastAsia="宋体"/>
                <w:sz w:val="16"/>
              </w:rPr>
              <w:t>10.00</w:t>
            </w:r>
          </w:p>
        </w:tc>
      </w:tr>
      <w:tr w14:paraId="744E3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05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727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ECB6E">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D1166">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C8B81">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9A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11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12AA">
            <w:pPr>
              <w:jc w:val="center"/>
            </w:pPr>
            <w:r>
              <w:rPr>
                <w:rFonts w:ascii="宋体" w:hAnsi="宋体" w:eastAsia="宋体"/>
                <w:sz w:val="16"/>
              </w:rPr>
              <w:t>—</w:t>
            </w:r>
          </w:p>
        </w:tc>
      </w:tr>
      <w:tr w14:paraId="33112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A4A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96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4A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3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8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3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07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8EB0">
            <w:pPr>
              <w:jc w:val="center"/>
            </w:pPr>
            <w:r>
              <w:rPr>
                <w:rFonts w:ascii="宋体" w:hAnsi="宋体" w:eastAsia="宋体"/>
                <w:sz w:val="16"/>
              </w:rPr>
              <w:t>—</w:t>
            </w:r>
          </w:p>
        </w:tc>
      </w:tr>
      <w:tr w14:paraId="3A4C11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677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BD6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C7C84">
            <w:pPr>
              <w:jc w:val="center"/>
            </w:pPr>
            <w:r>
              <w:rPr>
                <w:rFonts w:ascii="宋体" w:hAnsi="宋体" w:eastAsia="宋体"/>
                <w:sz w:val="16"/>
              </w:rPr>
              <w:t>实际完成情况</w:t>
            </w:r>
          </w:p>
        </w:tc>
      </w:tr>
      <w:tr w14:paraId="69602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518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EE40B">
            <w:pPr>
              <w:jc w:val="both"/>
            </w:pPr>
            <w:r>
              <w:rPr>
                <w:rFonts w:ascii="宋体" w:hAnsi="宋体" w:eastAsia="宋体"/>
                <w:sz w:val="16"/>
              </w:rPr>
              <w:t>根据《关于霍尔果斯市2017年第二批通达工程施工图设计文件的批复》（伊州交计函〔2017〕91号），通过霍尔果斯市2017年第二批农村路网升级改造工程改建四级公路8.219km，本次支付历史欠款35.1万元，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9B4BE">
            <w:pPr>
              <w:jc w:val="both"/>
            </w:pPr>
            <w:r>
              <w:rPr>
                <w:rFonts w:ascii="宋体" w:hAnsi="宋体" w:eastAsia="宋体"/>
                <w:sz w:val="16"/>
              </w:rPr>
              <w:t>完成霍尔果斯市2017年第二批农村路网升级改造工程改建四级公路8.219km，已支付历史欠款35.1万元，提高居民出行条件，提升了群众满意度。</w:t>
            </w:r>
          </w:p>
        </w:tc>
      </w:tr>
      <w:tr w14:paraId="41985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680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63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19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C5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0B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65A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AF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0E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9C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AC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07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AA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21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DA3B">
            <w:pPr>
              <w:jc w:val="center"/>
            </w:pPr>
            <w:r>
              <w:rPr>
                <w:rFonts w:ascii="宋体" w:hAnsi="宋体" w:eastAsia="宋体"/>
                <w:sz w:val="16"/>
              </w:rPr>
              <w:t>偏差原因分析及改进措施</w:t>
            </w:r>
          </w:p>
        </w:tc>
      </w:tr>
      <w:tr w14:paraId="4186B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C72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491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51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157E">
            <w:pPr>
              <w:jc w:val="center"/>
            </w:pPr>
            <w:r>
              <w:rPr>
                <w:rFonts w:ascii="宋体" w:hAnsi="宋体" w:eastAsia="宋体"/>
                <w:sz w:val="16"/>
              </w:rPr>
              <w:t>改建公路建设里程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2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38B1">
            <w:pPr>
              <w:jc w:val="center"/>
            </w:pPr>
            <w:r>
              <w:rPr>
                <w:rFonts w:ascii="宋体" w:hAnsi="宋体" w:eastAsia="宋体"/>
                <w:sz w:val="16"/>
              </w:rPr>
              <w:t>&gt;=8.219km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4708">
            <w:pPr>
              <w:jc w:val="center"/>
            </w:pPr>
            <w:r>
              <w:rPr>
                <w:rFonts w:ascii="宋体" w:hAnsi="宋体" w:eastAsia="宋体"/>
                <w:sz w:val="16"/>
              </w:rPr>
              <w:t>8.219km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A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9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5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8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8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1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1C3A">
            <w:pPr>
              <w:jc w:val="center"/>
            </w:pPr>
          </w:p>
        </w:tc>
      </w:tr>
      <w:tr w14:paraId="331AE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B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4D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4ED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A8FF">
            <w:pPr>
              <w:jc w:val="center"/>
            </w:pPr>
            <w:r>
              <w:rPr>
                <w:rFonts w:ascii="宋体" w:hAnsi="宋体" w:eastAsia="宋体"/>
                <w:sz w:val="16"/>
              </w:rPr>
              <w:t>改建公路等级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4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8653">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82A5">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2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D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B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A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3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16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9825">
            <w:pPr>
              <w:jc w:val="center"/>
            </w:pPr>
          </w:p>
        </w:tc>
      </w:tr>
      <w:tr w14:paraId="38C3C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63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26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A2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E505">
            <w:pPr>
              <w:jc w:val="center"/>
            </w:pPr>
            <w:r>
              <w:rPr>
                <w:rFonts w:ascii="宋体" w:hAnsi="宋体" w:eastAsia="宋体"/>
                <w:sz w:val="16"/>
              </w:rPr>
              <w:t>公路工程质量达标率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6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D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D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E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3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1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C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E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9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0583">
            <w:pPr>
              <w:jc w:val="center"/>
            </w:pPr>
          </w:p>
        </w:tc>
      </w:tr>
      <w:tr w14:paraId="79B17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D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77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23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57C4">
            <w:pPr>
              <w:jc w:val="center"/>
            </w:pPr>
            <w:r>
              <w:rPr>
                <w:rFonts w:ascii="宋体" w:hAnsi="宋体" w:eastAsia="宋体"/>
                <w:sz w:val="16"/>
              </w:rPr>
              <w:t>道路建设项目支付及时率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8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2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D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0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D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1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E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A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D0E0">
            <w:pPr>
              <w:jc w:val="center"/>
            </w:pPr>
          </w:p>
        </w:tc>
      </w:tr>
      <w:tr w14:paraId="05C97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3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A3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99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1236">
            <w:pPr>
              <w:jc w:val="center"/>
            </w:pPr>
            <w:r>
              <w:rPr>
                <w:rFonts w:ascii="宋体" w:hAnsi="宋体" w:eastAsia="宋体"/>
                <w:sz w:val="16"/>
              </w:rPr>
              <w:t>支付公路建设工程款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2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E7C0">
            <w:pPr>
              <w:jc w:val="center"/>
            </w:pPr>
            <w:r>
              <w:rPr>
                <w:rFonts w:ascii="宋体" w:hAnsi="宋体" w:eastAsia="宋体"/>
                <w:sz w:val="16"/>
              </w:rPr>
              <w:t>&lt;=4.31万元/千米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4573">
            <w:pPr>
              <w:jc w:val="center"/>
            </w:pPr>
            <w:r>
              <w:rPr>
                <w:rFonts w:ascii="宋体" w:hAnsi="宋体" w:eastAsia="宋体"/>
                <w:sz w:val="16"/>
              </w:rPr>
              <w:t>4.31万元/千米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C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7E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7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B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E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E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3512">
            <w:pPr>
              <w:jc w:val="center"/>
            </w:pPr>
          </w:p>
        </w:tc>
      </w:tr>
      <w:tr w14:paraId="35D35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22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56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EC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5338">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7C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13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82F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1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0D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A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5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B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0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AAC4">
            <w:pPr>
              <w:jc w:val="center"/>
            </w:pPr>
          </w:p>
        </w:tc>
      </w:tr>
      <w:tr w14:paraId="7335E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8D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5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8C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1D7E">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1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E95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DAF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6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8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2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D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AA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4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46A0">
            <w:pPr>
              <w:jc w:val="center"/>
            </w:pPr>
          </w:p>
        </w:tc>
      </w:tr>
      <w:tr w14:paraId="5ECECE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9CF7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B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572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D35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39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D6C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5D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5A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B73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0F9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4C38E"/>
        </w:tc>
      </w:tr>
    </w:tbl>
    <w:p w14:paraId="1EE36BD6">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588"/>
        <w:gridCol w:w="602"/>
        <w:gridCol w:w="1016"/>
        <w:gridCol w:w="856"/>
        <w:gridCol w:w="616"/>
        <w:gridCol w:w="602"/>
        <w:gridCol w:w="588"/>
        <w:gridCol w:w="588"/>
        <w:gridCol w:w="591"/>
        <w:gridCol w:w="591"/>
        <w:gridCol w:w="630"/>
      </w:tblGrid>
      <w:tr w14:paraId="18EF8B24">
        <w:tblPrEx>
          <w:tblCellMar>
            <w:top w:w="0" w:type="dxa"/>
            <w:left w:w="108" w:type="dxa"/>
            <w:bottom w:w="0" w:type="dxa"/>
            <w:right w:w="108" w:type="dxa"/>
          </w:tblCellMar>
        </w:tblPrEx>
        <w:tc>
          <w:tcPr>
            <w:tcW w:w="8848" w:type="dxa"/>
            <w:gridSpan w:val="14"/>
            <w:vAlign w:val="center"/>
          </w:tcPr>
          <w:p w14:paraId="5B625F4C">
            <w:pPr>
              <w:jc w:val="center"/>
            </w:pPr>
            <w:r>
              <w:rPr>
                <w:rFonts w:ascii="宋体" w:hAnsi="宋体" w:eastAsia="宋体"/>
                <w:sz w:val="24"/>
              </w:rPr>
              <w:t>项目支出绩效自评表</w:t>
            </w:r>
          </w:p>
        </w:tc>
      </w:tr>
      <w:tr w14:paraId="5D4383F1">
        <w:tblPrEx>
          <w:tblCellMar>
            <w:top w:w="0" w:type="dxa"/>
            <w:left w:w="108" w:type="dxa"/>
            <w:bottom w:w="0" w:type="dxa"/>
            <w:right w:w="108" w:type="dxa"/>
          </w:tblCellMar>
        </w:tblPrEx>
        <w:tc>
          <w:tcPr>
            <w:tcW w:w="8848" w:type="dxa"/>
            <w:gridSpan w:val="14"/>
            <w:vAlign w:val="center"/>
          </w:tcPr>
          <w:p w14:paraId="0CB7D2F1">
            <w:pPr>
              <w:jc w:val="center"/>
            </w:pPr>
            <w:r>
              <w:rPr>
                <w:rFonts w:ascii="宋体" w:hAnsi="宋体" w:eastAsia="宋体"/>
                <w:sz w:val="24"/>
              </w:rPr>
              <w:t>(2024年度)</w:t>
            </w:r>
          </w:p>
        </w:tc>
      </w:tr>
      <w:tr w14:paraId="612261D0">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8E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1795D2">
            <w:pPr>
              <w:jc w:val="center"/>
            </w:pPr>
            <w:r>
              <w:rPr>
                <w:rFonts w:ascii="宋体" w:hAnsi="宋体" w:eastAsia="宋体"/>
                <w:sz w:val="16"/>
              </w:rPr>
              <w:t>霍尔果斯市2018年第一批建制村通硬化路第三合同段</w:t>
            </w:r>
          </w:p>
        </w:tc>
      </w:tr>
      <w:tr w14:paraId="36D08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2A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9F302">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41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9C8FB">
            <w:pPr>
              <w:jc w:val="center"/>
            </w:pPr>
            <w:r>
              <w:rPr>
                <w:rFonts w:ascii="宋体" w:hAnsi="宋体" w:eastAsia="宋体"/>
                <w:sz w:val="16"/>
              </w:rPr>
              <w:t>霍尔果斯市交通运输局</w:t>
            </w:r>
          </w:p>
        </w:tc>
      </w:tr>
      <w:tr w14:paraId="2877F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4B76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E23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77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1AC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25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7FF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ADF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44E7">
            <w:pPr>
              <w:jc w:val="center"/>
            </w:pPr>
            <w:r>
              <w:rPr>
                <w:rFonts w:ascii="宋体" w:hAnsi="宋体" w:eastAsia="宋体"/>
                <w:sz w:val="16"/>
              </w:rPr>
              <w:t>得分</w:t>
            </w:r>
          </w:p>
        </w:tc>
      </w:tr>
      <w:tr w14:paraId="4594E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D0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41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D208">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563E1">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1B2EF">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048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5B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EF89">
            <w:pPr>
              <w:jc w:val="center"/>
            </w:pPr>
            <w:r>
              <w:rPr>
                <w:rFonts w:ascii="宋体" w:hAnsi="宋体" w:eastAsia="宋体"/>
                <w:sz w:val="16"/>
              </w:rPr>
              <w:t>10.00</w:t>
            </w:r>
          </w:p>
        </w:tc>
      </w:tr>
      <w:tr w14:paraId="489B6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E0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E4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4BAC">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91A8">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5999">
            <w:pPr>
              <w:jc w:val="center"/>
            </w:pPr>
            <w:r>
              <w:rPr>
                <w:rFonts w:ascii="宋体" w:hAnsi="宋体" w:eastAsia="宋体"/>
                <w:sz w:val="16"/>
              </w:rPr>
              <w:t>108.13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87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2B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C661">
            <w:pPr>
              <w:jc w:val="center"/>
            </w:pPr>
            <w:r>
              <w:rPr>
                <w:rFonts w:ascii="宋体" w:hAnsi="宋体" w:eastAsia="宋体"/>
                <w:sz w:val="16"/>
              </w:rPr>
              <w:t>—</w:t>
            </w:r>
          </w:p>
        </w:tc>
      </w:tr>
      <w:tr w14:paraId="6C95C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F7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777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9CB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1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D5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14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3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6188">
            <w:pPr>
              <w:jc w:val="center"/>
            </w:pPr>
            <w:r>
              <w:rPr>
                <w:rFonts w:ascii="宋体" w:hAnsi="宋体" w:eastAsia="宋体"/>
                <w:sz w:val="16"/>
              </w:rPr>
              <w:t>—</w:t>
            </w:r>
          </w:p>
        </w:tc>
      </w:tr>
      <w:tr w14:paraId="0E41BF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472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E1E9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C80C48">
            <w:pPr>
              <w:jc w:val="center"/>
            </w:pPr>
            <w:r>
              <w:rPr>
                <w:rFonts w:ascii="宋体" w:hAnsi="宋体" w:eastAsia="宋体"/>
                <w:sz w:val="16"/>
              </w:rPr>
              <w:t>实际完成情况</w:t>
            </w:r>
          </w:p>
        </w:tc>
      </w:tr>
      <w:tr w14:paraId="23CF0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5B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B7309">
            <w:pPr>
              <w:jc w:val="both"/>
            </w:pPr>
            <w:r>
              <w:rPr>
                <w:rFonts w:ascii="宋体" w:hAnsi="宋体" w:eastAsia="宋体"/>
                <w:sz w:val="16"/>
              </w:rPr>
              <w:t>根据《关于对霍尔果斯市2018年第一批通村油路施工图设计文件的批复》（伊州交函〔2018〕217号），通过霍尔果斯市2018年第一批建制村通硬化路第三合同段改建四级公路12.515km，本次支付108.13万元，达到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5A65E">
            <w:pPr>
              <w:jc w:val="both"/>
            </w:pPr>
            <w:r>
              <w:rPr>
                <w:rFonts w:ascii="宋体" w:hAnsi="宋体" w:eastAsia="宋体"/>
                <w:sz w:val="16"/>
              </w:rPr>
              <w:t>完成霍尔果斯市2018年第一批建制村通硬化路第三合同段改建四级公路12.515km，已支付108.13万元，提高居民出行条件，提升群众满意度。</w:t>
            </w:r>
          </w:p>
        </w:tc>
      </w:tr>
      <w:tr w14:paraId="3C6929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FAC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E2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CB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95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EE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4D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851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6B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F4E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EF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D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D3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0C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AE96">
            <w:pPr>
              <w:jc w:val="center"/>
            </w:pPr>
            <w:r>
              <w:rPr>
                <w:rFonts w:ascii="宋体" w:hAnsi="宋体" w:eastAsia="宋体"/>
                <w:sz w:val="16"/>
              </w:rPr>
              <w:t>偏差原因分析及改进措施</w:t>
            </w:r>
          </w:p>
        </w:tc>
      </w:tr>
      <w:tr w14:paraId="46E73C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801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D4B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39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501D">
            <w:pPr>
              <w:jc w:val="center"/>
            </w:pPr>
            <w:r>
              <w:rPr>
                <w:rFonts w:ascii="宋体" w:hAnsi="宋体" w:eastAsia="宋体"/>
                <w:sz w:val="16"/>
              </w:rPr>
              <w:t>改建公路建设里程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3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F258">
            <w:pPr>
              <w:jc w:val="center"/>
            </w:pPr>
            <w:r>
              <w:rPr>
                <w:rFonts w:ascii="宋体" w:hAnsi="宋体" w:eastAsia="宋体"/>
                <w:sz w:val="16"/>
              </w:rPr>
              <w:t>&gt;=12.515km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5499">
            <w:pPr>
              <w:jc w:val="center"/>
            </w:pPr>
            <w:r>
              <w:rPr>
                <w:rFonts w:ascii="宋体" w:hAnsi="宋体" w:eastAsia="宋体"/>
                <w:sz w:val="16"/>
              </w:rPr>
              <w:t>12.515km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7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6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B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E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7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E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A1BB">
            <w:pPr>
              <w:jc w:val="center"/>
            </w:pPr>
          </w:p>
        </w:tc>
      </w:tr>
      <w:tr w14:paraId="67D36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78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15D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BC3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068F">
            <w:pPr>
              <w:jc w:val="center"/>
            </w:pPr>
            <w:r>
              <w:rPr>
                <w:rFonts w:ascii="宋体" w:hAnsi="宋体" w:eastAsia="宋体"/>
                <w:sz w:val="16"/>
              </w:rPr>
              <w:t>改建公路等级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3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FD15">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7871">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A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A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C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5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6B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C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DB3D">
            <w:pPr>
              <w:jc w:val="center"/>
            </w:pPr>
          </w:p>
        </w:tc>
      </w:tr>
      <w:tr w14:paraId="1012FC3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7C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BC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4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BF94">
            <w:pPr>
              <w:jc w:val="center"/>
            </w:pPr>
            <w:r>
              <w:rPr>
                <w:rFonts w:ascii="宋体" w:hAnsi="宋体" w:eastAsia="宋体"/>
                <w:sz w:val="16"/>
              </w:rPr>
              <w:t>公路工程质量达标率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A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9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1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D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CC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8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3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A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F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8181">
            <w:pPr>
              <w:jc w:val="center"/>
            </w:pPr>
          </w:p>
        </w:tc>
      </w:tr>
      <w:tr w14:paraId="21942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E5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F9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22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8066">
            <w:pPr>
              <w:jc w:val="center"/>
            </w:pPr>
            <w:r>
              <w:rPr>
                <w:rFonts w:ascii="宋体" w:hAnsi="宋体" w:eastAsia="宋体"/>
                <w:sz w:val="16"/>
              </w:rPr>
              <w:t>公路建设及时率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C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4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8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A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1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0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8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6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49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465A">
            <w:pPr>
              <w:jc w:val="center"/>
            </w:pPr>
          </w:p>
        </w:tc>
      </w:tr>
      <w:tr w14:paraId="08FDD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A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46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ED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3C41">
            <w:pPr>
              <w:jc w:val="center"/>
            </w:pPr>
            <w:r>
              <w:rPr>
                <w:rFonts w:ascii="宋体" w:hAnsi="宋体" w:eastAsia="宋体"/>
                <w:sz w:val="16"/>
              </w:rPr>
              <w:t>支付公路建设工程款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22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09B0">
            <w:pPr>
              <w:jc w:val="center"/>
            </w:pPr>
            <w:r>
              <w:rPr>
                <w:rFonts w:ascii="宋体" w:hAnsi="宋体" w:eastAsia="宋体"/>
                <w:sz w:val="16"/>
              </w:rPr>
              <w:t>&lt;=8.64万元/千米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450E">
            <w:pPr>
              <w:jc w:val="center"/>
            </w:pPr>
            <w:r>
              <w:rPr>
                <w:rFonts w:ascii="宋体" w:hAnsi="宋体" w:eastAsia="宋体"/>
                <w:sz w:val="16"/>
              </w:rPr>
              <w:t>8.64万元/千米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5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5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A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6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0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0A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3CB5">
            <w:pPr>
              <w:jc w:val="center"/>
            </w:pPr>
          </w:p>
        </w:tc>
      </w:tr>
      <w:tr w14:paraId="1E15283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F2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18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99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891F">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1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01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451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8D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1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C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E2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1175">
            <w:pPr>
              <w:jc w:val="center"/>
            </w:pPr>
          </w:p>
        </w:tc>
      </w:tr>
      <w:tr w14:paraId="41B19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B3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4A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C0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4D32">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8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80D6">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993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A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8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5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F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C7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1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8FFF">
            <w:pPr>
              <w:jc w:val="center"/>
            </w:pPr>
          </w:p>
        </w:tc>
      </w:tr>
      <w:tr w14:paraId="68817A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6ED5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7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24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8A0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A2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D99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1FE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D3B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55B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E57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8E07D"/>
        </w:tc>
      </w:tr>
    </w:tbl>
    <w:p w14:paraId="75B172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5C131B2">
        <w:tc>
          <w:tcPr>
            <w:tcW w:w="8848" w:type="dxa"/>
            <w:gridSpan w:val="14"/>
            <w:vAlign w:val="center"/>
          </w:tcPr>
          <w:p w14:paraId="6C50A851">
            <w:pPr>
              <w:jc w:val="center"/>
            </w:pPr>
            <w:r>
              <w:rPr>
                <w:rFonts w:ascii="宋体" w:hAnsi="宋体" w:eastAsia="宋体"/>
                <w:sz w:val="24"/>
              </w:rPr>
              <w:t>项目支出绩效自评表</w:t>
            </w:r>
          </w:p>
        </w:tc>
      </w:tr>
      <w:tr w14:paraId="64BBBEBF">
        <w:tblPrEx>
          <w:tblCellMar>
            <w:top w:w="0" w:type="dxa"/>
            <w:left w:w="108" w:type="dxa"/>
            <w:bottom w:w="0" w:type="dxa"/>
            <w:right w:w="108" w:type="dxa"/>
          </w:tblCellMar>
        </w:tblPrEx>
        <w:tc>
          <w:tcPr>
            <w:tcW w:w="8848" w:type="dxa"/>
            <w:gridSpan w:val="14"/>
            <w:vAlign w:val="center"/>
          </w:tcPr>
          <w:p w14:paraId="324CF445">
            <w:pPr>
              <w:jc w:val="center"/>
            </w:pPr>
            <w:r>
              <w:rPr>
                <w:rFonts w:ascii="宋体" w:hAnsi="宋体" w:eastAsia="宋体"/>
                <w:sz w:val="24"/>
              </w:rPr>
              <w:t>(2024年度)</w:t>
            </w:r>
          </w:p>
        </w:tc>
      </w:tr>
      <w:tr w14:paraId="21F10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9C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B058CB">
            <w:pPr>
              <w:jc w:val="center"/>
            </w:pPr>
            <w:r>
              <w:rPr>
                <w:rFonts w:ascii="宋体" w:hAnsi="宋体" w:eastAsia="宋体"/>
                <w:sz w:val="16"/>
              </w:rPr>
              <w:t>霍尔果斯市交通运输局零星工程</w:t>
            </w:r>
          </w:p>
        </w:tc>
      </w:tr>
      <w:tr w14:paraId="599EF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74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E67C6">
            <w:pPr>
              <w:jc w:val="center"/>
            </w:pPr>
            <w:r>
              <w:rPr>
                <w:rFonts w:ascii="宋体" w:hAnsi="宋体" w:eastAsia="宋体"/>
                <w:sz w:val="16"/>
              </w:rPr>
              <w:t>霍尔果斯市交通运输局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E4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8A8BD">
            <w:pPr>
              <w:jc w:val="center"/>
            </w:pPr>
            <w:r>
              <w:rPr>
                <w:rFonts w:ascii="宋体" w:hAnsi="宋体" w:eastAsia="宋体"/>
                <w:sz w:val="16"/>
              </w:rPr>
              <w:t>霍尔果斯市交通运输局</w:t>
            </w:r>
          </w:p>
        </w:tc>
      </w:tr>
      <w:tr w14:paraId="0FB3FA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73E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46B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283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98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17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255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65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D6EC">
            <w:pPr>
              <w:jc w:val="center"/>
            </w:pPr>
            <w:r>
              <w:rPr>
                <w:rFonts w:ascii="宋体" w:hAnsi="宋体" w:eastAsia="宋体"/>
                <w:sz w:val="16"/>
              </w:rPr>
              <w:t>得分</w:t>
            </w:r>
          </w:p>
        </w:tc>
      </w:tr>
      <w:tr w14:paraId="7C3A6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53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445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4B2F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60E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00D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95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701C">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0BCC">
            <w:pPr>
              <w:jc w:val="center"/>
            </w:pPr>
            <w:r>
              <w:rPr>
                <w:rFonts w:ascii="宋体" w:hAnsi="宋体" w:eastAsia="宋体"/>
                <w:sz w:val="16"/>
              </w:rPr>
              <w:t>0.00</w:t>
            </w:r>
          </w:p>
        </w:tc>
      </w:tr>
      <w:tr w14:paraId="1C690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BA2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56F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BF0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59A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4DB5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5A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8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49B9">
            <w:pPr>
              <w:jc w:val="center"/>
            </w:pPr>
            <w:r>
              <w:rPr>
                <w:rFonts w:ascii="宋体" w:hAnsi="宋体" w:eastAsia="宋体"/>
                <w:sz w:val="16"/>
              </w:rPr>
              <w:t>—</w:t>
            </w:r>
          </w:p>
        </w:tc>
      </w:tr>
      <w:tr w14:paraId="25FEC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41F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1A4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70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EC5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9C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46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9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988E">
            <w:pPr>
              <w:jc w:val="center"/>
            </w:pPr>
            <w:r>
              <w:rPr>
                <w:rFonts w:ascii="宋体" w:hAnsi="宋体" w:eastAsia="宋体"/>
                <w:sz w:val="16"/>
              </w:rPr>
              <w:t>—</w:t>
            </w:r>
          </w:p>
        </w:tc>
      </w:tr>
      <w:tr w14:paraId="21BFD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BAC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09E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C6F42">
            <w:pPr>
              <w:jc w:val="center"/>
            </w:pPr>
            <w:r>
              <w:rPr>
                <w:rFonts w:ascii="宋体" w:hAnsi="宋体" w:eastAsia="宋体"/>
                <w:sz w:val="16"/>
              </w:rPr>
              <w:t>实际完成情况</w:t>
            </w:r>
          </w:p>
        </w:tc>
      </w:tr>
      <w:tr w14:paraId="0E8FB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6DE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1940B">
            <w:pPr>
              <w:jc w:val="both"/>
            </w:pPr>
            <w:r>
              <w:rPr>
                <w:rFonts w:ascii="宋体" w:hAnsi="宋体" w:eastAsia="宋体"/>
                <w:sz w:val="16"/>
              </w:rPr>
              <w:t>对霍尔果斯市道路基础设施项目及配套附属项目、养护项目、零星项目（含监理、设计、勘察、规划、可研、初设、环评等前期费用））进行支付，完成提升城市承载力、优化人居环境，改善居民出行环境的目标，达到提升居民幸福感、优化营商环境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EF85D6">
            <w:pPr>
              <w:jc w:val="both"/>
            </w:pPr>
            <w:r>
              <w:rPr>
                <w:rFonts w:ascii="宋体" w:hAnsi="宋体" w:eastAsia="宋体"/>
                <w:sz w:val="16"/>
              </w:rPr>
              <w:t>2024年财政拨款：实际到位切块资金60万元，较年初预算减少40万元，完成率为60%。项目支付：实际支付历史欠款项目前期费用共16个，较年初计划增加6个，完成率为160%。优先保障</w:t>
            </w:r>
            <w:r>
              <w:rPr>
                <w:rFonts w:hint="eastAsia" w:ascii="宋体" w:hAnsi="宋体"/>
                <w:sz w:val="16"/>
                <w:lang w:eastAsia="zh-CN"/>
              </w:rPr>
              <w:t>重要民生项目</w:t>
            </w:r>
            <w:r>
              <w:rPr>
                <w:rFonts w:ascii="宋体" w:hAnsi="宋体" w:eastAsia="宋体"/>
                <w:sz w:val="16"/>
              </w:rPr>
              <w:t>，改善群众出行环境，提升居民幸福感。</w:t>
            </w:r>
          </w:p>
        </w:tc>
      </w:tr>
      <w:tr w14:paraId="69123E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70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E2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BD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A7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4E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63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F9F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A5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33B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F6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59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DE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E5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8B1B">
            <w:pPr>
              <w:jc w:val="center"/>
            </w:pPr>
            <w:r>
              <w:rPr>
                <w:rFonts w:ascii="宋体" w:hAnsi="宋体" w:eastAsia="宋体"/>
                <w:sz w:val="16"/>
              </w:rPr>
              <w:t>偏差原因分析及改进措施</w:t>
            </w:r>
          </w:p>
        </w:tc>
      </w:tr>
      <w:tr w14:paraId="30E7F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483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AE9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2A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C328">
            <w:pPr>
              <w:jc w:val="center"/>
            </w:pPr>
            <w:r>
              <w:rPr>
                <w:rFonts w:ascii="宋体" w:hAnsi="宋体" w:eastAsia="宋体"/>
                <w:sz w:val="16"/>
              </w:rPr>
              <w:t>支付前期费项目个数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9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AC1E">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A052">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306B">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7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D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C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7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1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0567">
            <w:pPr>
              <w:jc w:val="center"/>
            </w:pPr>
            <w:r>
              <w:rPr>
                <w:rFonts w:ascii="宋体" w:hAnsi="宋体" w:eastAsia="宋体"/>
                <w:sz w:val="16"/>
              </w:rPr>
              <w:t>原因分析:实际支付历史欠款</w:t>
            </w:r>
            <w:r>
              <w:rPr>
                <w:rFonts w:hint="eastAsia" w:ascii="宋体" w:hAnsi="宋体"/>
                <w:sz w:val="16"/>
                <w:lang w:eastAsia="zh-CN"/>
              </w:rPr>
              <w:t>项目</w:t>
            </w:r>
            <w:r>
              <w:rPr>
                <w:rFonts w:ascii="宋体" w:hAnsi="宋体" w:eastAsia="宋体"/>
                <w:sz w:val="16"/>
              </w:rPr>
              <w:t>16个，较年初计划增加6个，</w:t>
            </w:r>
            <w:r>
              <w:rPr>
                <w:rFonts w:hint="eastAsia" w:ascii="宋体" w:hAnsi="宋体"/>
                <w:sz w:val="16"/>
                <w:lang w:eastAsia="zh-CN"/>
              </w:rPr>
              <w:t>逾期</w:t>
            </w:r>
            <w:r>
              <w:rPr>
                <w:rFonts w:ascii="宋体" w:hAnsi="宋体" w:eastAsia="宋体"/>
                <w:sz w:val="16"/>
              </w:rPr>
              <w:t>费用</w:t>
            </w:r>
            <w:r>
              <w:rPr>
                <w:rFonts w:hint="eastAsia" w:ascii="宋体" w:hAnsi="宋体"/>
                <w:sz w:val="16"/>
                <w:lang w:eastAsia="zh-CN"/>
              </w:rPr>
              <w:t>完成率</w:t>
            </w:r>
            <w:r>
              <w:rPr>
                <w:rFonts w:ascii="宋体" w:hAnsi="宋体" w:eastAsia="宋体"/>
                <w:sz w:val="16"/>
              </w:rPr>
              <w:t>为160%</w:t>
            </w:r>
          </w:p>
        </w:tc>
      </w:tr>
      <w:tr w14:paraId="5CCFE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2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930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493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14E0">
            <w:pPr>
              <w:jc w:val="center"/>
            </w:pPr>
            <w:r>
              <w:rPr>
                <w:rFonts w:ascii="宋体" w:hAnsi="宋体" w:eastAsia="宋体"/>
                <w:sz w:val="16"/>
              </w:rPr>
              <w:t>资金支付合规性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A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5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8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C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6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A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C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13A9">
            <w:pPr>
              <w:jc w:val="center"/>
            </w:pPr>
          </w:p>
        </w:tc>
      </w:tr>
      <w:tr w14:paraId="61467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2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6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C0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E2F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91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3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A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E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24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2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1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7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8B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FAFB">
            <w:pPr>
              <w:jc w:val="center"/>
            </w:pPr>
          </w:p>
        </w:tc>
      </w:tr>
      <w:tr w14:paraId="2BEB3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89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6D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6F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DE1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B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B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8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E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A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F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A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5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9E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AF63">
            <w:pPr>
              <w:jc w:val="center"/>
            </w:pPr>
          </w:p>
        </w:tc>
      </w:tr>
      <w:tr w14:paraId="068F2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58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C8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4D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5935">
            <w:pPr>
              <w:jc w:val="center"/>
            </w:pPr>
            <w:r>
              <w:rPr>
                <w:rFonts w:ascii="宋体" w:hAnsi="宋体" w:eastAsia="宋体"/>
                <w:sz w:val="16"/>
              </w:rPr>
              <w:t>平均支付每个项目前期费成本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6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7621">
            <w:pPr>
              <w:jc w:val="center"/>
            </w:pPr>
            <w:r>
              <w:rPr>
                <w:rFonts w:ascii="宋体" w:hAnsi="宋体" w:eastAsia="宋体"/>
                <w:sz w:val="16"/>
              </w:rPr>
              <w:t>&lt;=10万元/个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6662">
            <w:pPr>
              <w:jc w:val="center"/>
            </w:pPr>
            <w:r>
              <w:rPr>
                <w:rFonts w:ascii="宋体" w:hAnsi="宋体" w:eastAsia="宋体"/>
                <w:sz w:val="16"/>
              </w:rPr>
              <w:t>3.75万元/个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7ACF">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26A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4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9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6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A2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E0B7">
            <w:pPr>
              <w:jc w:val="center"/>
            </w:pPr>
            <w:r>
              <w:rPr>
                <w:rFonts w:ascii="宋体" w:hAnsi="宋体" w:eastAsia="宋体"/>
                <w:sz w:val="16"/>
              </w:rPr>
              <w:t>原因分析:财政年初预算切块资金为100万元，实际到位切块资金60万元，较年初预算减少40万元，所以未完成40%。</w:t>
            </w:r>
          </w:p>
        </w:tc>
      </w:tr>
      <w:tr w14:paraId="4A6CF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50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46E8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2AA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7468">
            <w:pPr>
              <w:jc w:val="center"/>
            </w:pPr>
            <w:r>
              <w:rPr>
                <w:rFonts w:ascii="宋体" w:hAnsi="宋体" w:eastAsia="宋体"/>
                <w:sz w:val="16"/>
              </w:rPr>
              <w:t>改善居民出行环境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1C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0C4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2958">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D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F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0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D9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3C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2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BB4D">
            <w:pPr>
              <w:jc w:val="center"/>
            </w:pPr>
          </w:p>
        </w:tc>
      </w:tr>
      <w:tr w14:paraId="7DC78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C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F3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B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2B90">
            <w:pPr>
              <w:jc w:val="center"/>
            </w:pPr>
            <w:r>
              <w:rPr>
                <w:rFonts w:ascii="宋体" w:hAnsi="宋体" w:eastAsia="宋体"/>
                <w:sz w:val="16"/>
              </w:rPr>
              <w:t>项目持续发挥作用的期限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2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AC19">
            <w:pPr>
              <w:jc w:val="center"/>
            </w:pPr>
            <w:r>
              <w:rPr>
                <w:rFonts w:ascii="宋体" w:hAnsi="宋体" w:eastAsia="宋体"/>
                <w:sz w:val="16"/>
              </w:rPr>
              <w:t>&gt;=5年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68BA">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3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8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A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0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37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B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9179">
            <w:pPr>
              <w:jc w:val="center"/>
            </w:pPr>
          </w:p>
        </w:tc>
      </w:tr>
      <w:tr w14:paraId="0A2EA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8F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1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41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EC3D">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0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69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DF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3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D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6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9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0B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B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83FD">
            <w:pPr>
              <w:jc w:val="center"/>
            </w:pPr>
          </w:p>
        </w:tc>
      </w:tr>
      <w:tr w14:paraId="5344DF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E85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6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F2A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927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6C3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1EDE">
            <w:pPr>
              <w:jc w:val="center"/>
            </w:pPr>
            <w:r>
              <w:rPr>
                <w:rFonts w:ascii="宋体" w:hAnsi="宋体" w:eastAsia="宋体"/>
                <w:sz w:val="16"/>
              </w:rPr>
              <w:t>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824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D47E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B16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1D5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0CB757"/>
        </w:tc>
      </w:tr>
    </w:tbl>
    <w:p w14:paraId="2E764515">
      <w:r>
        <w:br w:type="page"/>
      </w:r>
    </w:p>
    <w:p w14:paraId="645390B4">
      <w:pPr>
        <w:spacing w:line="640" w:lineRule="exact"/>
        <w:ind w:firstLine="640"/>
        <w:jc w:val="both"/>
        <w:outlineLvl w:val="2"/>
      </w:pPr>
      <w:r>
        <w:rPr>
          <w:rFonts w:ascii="黑体" w:hAnsi="黑体" w:eastAsia="黑体"/>
          <w:sz w:val="32"/>
        </w:rPr>
        <w:t>十二、其他需说明的事项</w:t>
      </w:r>
    </w:p>
    <w:p w14:paraId="5A59E34C">
      <w:pPr>
        <w:spacing w:line="580" w:lineRule="exact"/>
        <w:ind w:firstLine="640"/>
        <w:jc w:val="both"/>
      </w:pPr>
      <w:r>
        <w:rPr>
          <w:rFonts w:ascii="仿宋_GB2312" w:hAnsi="仿宋_GB2312" w:eastAsia="仿宋_GB2312"/>
          <w:b w:val="0"/>
          <w:sz w:val="32"/>
        </w:rPr>
        <w:t>本单位无其他需说明的事项。</w:t>
      </w:r>
    </w:p>
    <w:p w14:paraId="586E4095">
      <w:r>
        <w:br w:type="page"/>
      </w:r>
    </w:p>
    <w:p w14:paraId="628C818E">
      <w:pPr>
        <w:spacing w:line="240" w:lineRule="auto"/>
        <w:jc w:val="center"/>
        <w:outlineLvl w:val="1"/>
      </w:pPr>
      <w:r>
        <w:rPr>
          <w:rFonts w:ascii="黑体" w:hAnsi="黑体" w:eastAsia="黑体"/>
          <w:sz w:val="32"/>
        </w:rPr>
        <w:t>第三部分 专业名词解释</w:t>
      </w:r>
    </w:p>
    <w:p w14:paraId="174AFD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0840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55837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6F52E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38EBB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2D218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C9A33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EF92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4495A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AC47C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F544C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722D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73AC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8AA5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FBA96A">
      <w:r>
        <w:br w:type="page"/>
      </w:r>
    </w:p>
    <w:p w14:paraId="0DB78529">
      <w:pPr>
        <w:spacing w:line="240" w:lineRule="auto"/>
        <w:jc w:val="center"/>
        <w:outlineLvl w:val="1"/>
      </w:pPr>
      <w:r>
        <w:rPr>
          <w:rFonts w:ascii="黑体" w:hAnsi="黑体" w:eastAsia="黑体"/>
          <w:sz w:val="32"/>
        </w:rPr>
        <w:t>第四部分 部门决算报表（见附表）</w:t>
      </w:r>
    </w:p>
    <w:p w14:paraId="01C06836">
      <w:pPr>
        <w:spacing w:line="240" w:lineRule="auto"/>
        <w:ind w:firstLine="640"/>
        <w:jc w:val="both"/>
      </w:pPr>
      <w:r>
        <w:rPr>
          <w:rFonts w:ascii="仿宋_GB2312" w:hAnsi="仿宋_GB2312" w:eastAsia="仿宋_GB2312"/>
          <w:b w:val="0"/>
          <w:sz w:val="32"/>
        </w:rPr>
        <w:t>一、《收入支出决算总表》</w:t>
      </w:r>
    </w:p>
    <w:p w14:paraId="651F530A">
      <w:pPr>
        <w:spacing w:line="240" w:lineRule="auto"/>
        <w:ind w:firstLine="640"/>
        <w:jc w:val="both"/>
      </w:pPr>
      <w:r>
        <w:rPr>
          <w:rFonts w:ascii="仿宋_GB2312" w:hAnsi="仿宋_GB2312" w:eastAsia="仿宋_GB2312"/>
          <w:b w:val="0"/>
          <w:sz w:val="32"/>
        </w:rPr>
        <w:t>二、《收入决算表》</w:t>
      </w:r>
    </w:p>
    <w:p w14:paraId="48E9AF82">
      <w:pPr>
        <w:spacing w:line="240" w:lineRule="auto"/>
        <w:ind w:firstLine="640"/>
        <w:jc w:val="both"/>
      </w:pPr>
      <w:r>
        <w:rPr>
          <w:rFonts w:ascii="仿宋_GB2312" w:hAnsi="仿宋_GB2312" w:eastAsia="仿宋_GB2312"/>
          <w:b w:val="0"/>
          <w:sz w:val="32"/>
        </w:rPr>
        <w:t>三、《支出决算表》</w:t>
      </w:r>
    </w:p>
    <w:p w14:paraId="1BC41520">
      <w:pPr>
        <w:spacing w:line="240" w:lineRule="auto"/>
        <w:ind w:firstLine="640"/>
        <w:jc w:val="both"/>
      </w:pPr>
      <w:r>
        <w:rPr>
          <w:rFonts w:ascii="仿宋_GB2312" w:hAnsi="仿宋_GB2312" w:eastAsia="仿宋_GB2312"/>
          <w:b w:val="0"/>
          <w:sz w:val="32"/>
        </w:rPr>
        <w:t>四、《财政拨款收入支出决算总表》</w:t>
      </w:r>
    </w:p>
    <w:p w14:paraId="00E05800">
      <w:pPr>
        <w:spacing w:line="240" w:lineRule="auto"/>
        <w:ind w:firstLine="640"/>
        <w:jc w:val="both"/>
      </w:pPr>
      <w:r>
        <w:rPr>
          <w:rFonts w:ascii="仿宋_GB2312" w:hAnsi="仿宋_GB2312" w:eastAsia="仿宋_GB2312"/>
          <w:b w:val="0"/>
          <w:sz w:val="32"/>
        </w:rPr>
        <w:t>五、《一般公共预算财政拨款支出决算表》</w:t>
      </w:r>
    </w:p>
    <w:p w14:paraId="10E6D521">
      <w:pPr>
        <w:spacing w:line="240" w:lineRule="auto"/>
        <w:ind w:firstLine="640"/>
        <w:jc w:val="both"/>
      </w:pPr>
      <w:r>
        <w:rPr>
          <w:rFonts w:ascii="仿宋_GB2312" w:hAnsi="仿宋_GB2312" w:eastAsia="仿宋_GB2312"/>
          <w:b w:val="0"/>
          <w:sz w:val="32"/>
        </w:rPr>
        <w:t>六、《一般公共预算财政拨款基本支出决算表》</w:t>
      </w:r>
    </w:p>
    <w:p w14:paraId="71E835BA">
      <w:pPr>
        <w:spacing w:line="240" w:lineRule="auto"/>
        <w:ind w:firstLine="640"/>
        <w:jc w:val="both"/>
      </w:pPr>
      <w:r>
        <w:rPr>
          <w:rFonts w:ascii="仿宋_GB2312" w:hAnsi="仿宋_GB2312" w:eastAsia="仿宋_GB2312"/>
          <w:b w:val="0"/>
          <w:sz w:val="32"/>
        </w:rPr>
        <w:t>七、《政府性基金预算财政拨款收入支出决算表》</w:t>
      </w:r>
    </w:p>
    <w:p w14:paraId="08101793">
      <w:pPr>
        <w:spacing w:line="240" w:lineRule="auto"/>
        <w:ind w:firstLine="640"/>
        <w:jc w:val="both"/>
      </w:pPr>
      <w:r>
        <w:rPr>
          <w:rFonts w:ascii="仿宋_GB2312" w:hAnsi="仿宋_GB2312" w:eastAsia="仿宋_GB2312"/>
          <w:b w:val="0"/>
          <w:sz w:val="32"/>
        </w:rPr>
        <w:t>八、《国有资本经营预算财政拨款收入支出决算表》</w:t>
      </w:r>
    </w:p>
    <w:p w14:paraId="154EF8AF">
      <w:pPr>
        <w:spacing w:line="240" w:lineRule="auto"/>
        <w:ind w:firstLine="640"/>
        <w:jc w:val="both"/>
      </w:pPr>
      <w:r>
        <w:rPr>
          <w:rFonts w:ascii="仿宋_GB2312" w:hAnsi="仿宋_GB2312" w:eastAsia="仿宋_GB2312"/>
          <w:b w:val="0"/>
          <w:sz w:val="32"/>
        </w:rPr>
        <w:t>九、《财政拨款“三公”经费支出决算表》</w:t>
      </w:r>
    </w:p>
    <w:p w14:paraId="26B048BA">
      <w:pPr>
        <w:spacing w:line="240" w:lineRule="auto"/>
        <w:ind w:firstLine="640"/>
        <w:jc w:val="both"/>
      </w:pPr>
    </w:p>
    <w:p w14:paraId="3B932816">
      <w:pPr>
        <w:spacing w:line="240" w:lineRule="auto"/>
        <w:ind w:firstLine="640"/>
        <w:jc w:val="both"/>
      </w:pPr>
    </w:p>
    <w:p w14:paraId="0E976BAB">
      <w:pPr>
        <w:spacing w:line="240" w:lineRule="auto"/>
        <w:ind w:firstLine="640"/>
        <w:jc w:val="both"/>
      </w:pPr>
    </w:p>
    <w:p w14:paraId="36A20BEC">
      <w:pPr>
        <w:spacing w:line="240" w:lineRule="auto"/>
        <w:ind w:firstLine="640"/>
        <w:jc w:val="both"/>
      </w:pPr>
    </w:p>
    <w:p w14:paraId="7131BF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E26B9"/>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597547"/>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5893</Words>
  <Characters>6891</Characters>
  <Lines>0</Lines>
  <Paragraphs>0</Paragraphs>
  <TotalTime>5</TotalTime>
  <ScaleCrop>false</ScaleCrop>
  <LinksUpToDate>false</LinksUpToDate>
  <CharactersWithSpaces>6899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2025-12-04T11:03:57Z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