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霍尔果斯口岸机关服务中心2024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A38B20">
      <w:r>
        <w:br w:type="page"/>
      </w:r>
    </w:p>
    <w:p w14:paraId="4BCF622C">
      <w:pPr>
        <w:spacing w:line="640" w:lineRule="exact"/>
        <w:jc w:val="center"/>
        <w:outlineLvl w:val="1"/>
      </w:pPr>
      <w:r>
        <w:rPr>
          <w:rFonts w:ascii="黑体" w:hAnsi="黑体" w:eastAsia="黑体"/>
          <w:sz w:val="32"/>
        </w:rPr>
        <w:t>第一部分 单位概况</w:t>
      </w:r>
    </w:p>
    <w:p w14:paraId="165445C6">
      <w:pPr>
        <w:spacing w:line="640" w:lineRule="exact"/>
        <w:ind w:firstLine="640"/>
        <w:jc w:val="both"/>
        <w:outlineLvl w:val="2"/>
      </w:pPr>
      <w:r>
        <w:rPr>
          <w:rFonts w:ascii="黑体" w:hAnsi="黑体" w:eastAsia="黑体"/>
          <w:sz w:val="32"/>
        </w:rPr>
        <w:t>一、主要职能</w:t>
      </w:r>
    </w:p>
    <w:p w14:paraId="21ECF353">
      <w:pPr>
        <w:spacing w:line="580" w:lineRule="exact"/>
        <w:ind w:firstLine="640"/>
        <w:jc w:val="both"/>
      </w:pPr>
      <w:r>
        <w:rPr>
          <w:rFonts w:ascii="仿宋_GB2312" w:hAnsi="仿宋_GB2312" w:eastAsia="仿宋_GB2312"/>
          <w:sz w:val="32"/>
        </w:rPr>
        <w:t>（一）负责统筹协调中心日常工作,负责各类信息的上传下达,草拟中心工作计划、总结,做好档案工作。</w:t>
      </w:r>
    </w:p>
    <w:p w14:paraId="114B4999">
      <w:pPr>
        <w:spacing w:line="580" w:lineRule="exact"/>
        <w:ind w:firstLine="640"/>
        <w:jc w:val="both"/>
      </w:pPr>
      <w:r>
        <w:rPr>
          <w:rFonts w:ascii="仿宋_GB2312" w:hAnsi="仿宋_GB2312" w:eastAsia="仿宋_GB2312"/>
          <w:sz w:val="32"/>
        </w:rPr>
        <w:t>（二）负责全市党政机关公务接待事宜,职工食堂饮食及宿舍管理保障工作。</w:t>
      </w:r>
    </w:p>
    <w:p w14:paraId="5222AB47">
      <w:pPr>
        <w:spacing w:line="580" w:lineRule="exact"/>
        <w:ind w:firstLine="640"/>
        <w:jc w:val="both"/>
      </w:pPr>
      <w:r>
        <w:rPr>
          <w:rFonts w:ascii="仿宋_GB2312" w:hAnsi="仿宋_GB2312" w:eastAsia="仿宋_GB2312"/>
          <w:sz w:val="32"/>
        </w:rPr>
        <w:t>（三）负责固定资产统计工作。</w:t>
      </w:r>
    </w:p>
    <w:p w14:paraId="11BAF2C7">
      <w:pPr>
        <w:spacing w:line="580" w:lineRule="exact"/>
        <w:ind w:firstLine="640"/>
        <w:jc w:val="both"/>
      </w:pPr>
      <w:r>
        <w:rPr>
          <w:rFonts w:ascii="仿宋_GB2312" w:hAnsi="仿宋_GB2312" w:eastAsia="仿宋_GB2312"/>
          <w:sz w:val="32"/>
        </w:rPr>
        <w:t>（四）负责机关车队,做好派车记录,车辆维保记录等工作。</w:t>
      </w:r>
    </w:p>
    <w:p w14:paraId="461E96DE">
      <w:pPr>
        <w:spacing w:line="580" w:lineRule="exact"/>
        <w:ind w:firstLine="640"/>
        <w:jc w:val="both"/>
      </w:pPr>
      <w:r>
        <w:rPr>
          <w:rFonts w:ascii="仿宋_GB2312" w:hAnsi="仿宋_GB2312" w:eastAsia="仿宋_GB2312"/>
          <w:sz w:val="32"/>
        </w:rPr>
        <w:t>（五）负责机关办公楼和公共设施维护维保工作(水电暖维护、卫生清洁及保洁管理、发放保洁用品、绿化、安全保卫、电梯维保)。</w:t>
      </w:r>
    </w:p>
    <w:p w14:paraId="6F730F5D">
      <w:pPr>
        <w:spacing w:line="580" w:lineRule="exact"/>
        <w:ind w:firstLine="640"/>
        <w:jc w:val="both"/>
      </w:pPr>
      <w:r>
        <w:rPr>
          <w:rFonts w:ascii="仿宋_GB2312" w:hAnsi="仿宋_GB2312" w:eastAsia="仿宋_GB2312"/>
          <w:sz w:val="32"/>
        </w:rPr>
        <w:t>（六）负责机关办公用房管理工作。</w:t>
      </w:r>
    </w:p>
    <w:p w14:paraId="12F96211">
      <w:pPr>
        <w:spacing w:line="580" w:lineRule="exact"/>
        <w:ind w:firstLine="640"/>
        <w:jc w:val="both"/>
      </w:pPr>
      <w:r>
        <w:rPr>
          <w:rFonts w:ascii="仿宋_GB2312" w:hAnsi="仿宋_GB2312" w:eastAsia="仿宋_GB2312"/>
          <w:sz w:val="32"/>
        </w:rPr>
        <w:t>（七）负责市委办公室安全生产工作。</w:t>
      </w:r>
    </w:p>
    <w:p w14:paraId="3077D0B3">
      <w:pPr>
        <w:spacing w:line="580" w:lineRule="exact"/>
        <w:ind w:firstLine="640"/>
        <w:jc w:val="both"/>
      </w:pPr>
      <w:r>
        <w:rPr>
          <w:rFonts w:ascii="仿宋_GB2312" w:hAnsi="仿宋_GB2312" w:eastAsia="仿宋_GB2312"/>
          <w:sz w:val="32"/>
        </w:rPr>
        <w:t>（八）负责全市节能减排工作。</w:t>
      </w:r>
    </w:p>
    <w:p w14:paraId="530217AE">
      <w:pPr>
        <w:spacing w:line="580" w:lineRule="exact"/>
        <w:ind w:firstLine="640"/>
        <w:jc w:val="both"/>
      </w:pPr>
      <w:r>
        <w:rPr>
          <w:rFonts w:ascii="仿宋_GB2312" w:hAnsi="仿宋_GB2312" w:eastAsia="仿宋_GB2312"/>
          <w:sz w:val="32"/>
        </w:rPr>
        <w:t>（九）负责机关后勤服务保障工作。</w:t>
      </w:r>
    </w:p>
    <w:p w14:paraId="52007712">
      <w:pPr>
        <w:spacing w:line="580" w:lineRule="exact"/>
        <w:ind w:firstLine="640"/>
        <w:jc w:val="both"/>
      </w:pPr>
      <w:r>
        <w:rPr>
          <w:rFonts w:ascii="仿宋_GB2312" w:hAnsi="仿宋_GB2312" w:eastAsia="仿宋_GB2312"/>
          <w:sz w:val="32"/>
        </w:rPr>
        <w:t>（十）承办开发区党工委(市委)、管委会领导交办的其他工作。</w:t>
      </w:r>
    </w:p>
    <w:p w14:paraId="2EAA9ABF">
      <w:pPr>
        <w:spacing w:line="640" w:lineRule="exact"/>
        <w:ind w:firstLine="640"/>
        <w:jc w:val="both"/>
        <w:outlineLvl w:val="2"/>
      </w:pPr>
      <w:r>
        <w:rPr>
          <w:rFonts w:ascii="黑体" w:hAnsi="黑体" w:eastAsia="黑体"/>
          <w:sz w:val="32"/>
        </w:rPr>
        <w:t>二、机构设置及人员情况</w:t>
      </w:r>
    </w:p>
    <w:p w14:paraId="2B4FCD7F">
      <w:pPr>
        <w:spacing w:line="580" w:lineRule="exact"/>
        <w:ind w:firstLine="640"/>
        <w:jc w:val="both"/>
      </w:pPr>
      <w:r>
        <w:rPr>
          <w:rFonts w:ascii="仿宋_GB2312" w:hAnsi="仿宋_GB2312" w:eastAsia="仿宋_GB2312"/>
          <w:sz w:val="32"/>
        </w:rPr>
        <w:t>霍尔果斯口岸机关服务中心2024年度，实有人数3人，其中：在职人员3人，增加1人；离休人员0人，增加0人；退休人员0人,增加0人。</w:t>
      </w:r>
    </w:p>
    <w:p w14:paraId="04461583">
      <w:pPr>
        <w:spacing w:line="580" w:lineRule="exact"/>
        <w:ind w:firstLine="640"/>
        <w:jc w:val="both"/>
      </w:pPr>
      <w:r>
        <w:rPr>
          <w:rFonts w:ascii="仿宋_GB2312" w:hAnsi="仿宋_GB2312" w:eastAsia="仿宋_GB2312"/>
          <w:sz w:val="32"/>
        </w:rPr>
        <w:t>霍尔果斯口岸机关服务中心无下属预算单位，下设5个科室，分别是：办公室、车辆管理科、后勤保障科、公共节能及资产管理科、公房管理科。</w:t>
      </w:r>
    </w:p>
    <w:p w14:paraId="74BF69B8">
      <w:r>
        <w:br w:type="page"/>
      </w:r>
    </w:p>
    <w:p w14:paraId="08A0E09B">
      <w:pPr>
        <w:spacing w:line="240" w:lineRule="auto"/>
        <w:jc w:val="center"/>
        <w:outlineLvl w:val="1"/>
      </w:pPr>
      <w:r>
        <w:rPr>
          <w:rFonts w:ascii="黑体" w:hAnsi="黑体" w:eastAsia="黑体"/>
          <w:sz w:val="32"/>
        </w:rPr>
        <w:t>第二部分 部门决算情况说明</w:t>
      </w:r>
    </w:p>
    <w:p w14:paraId="6A42EED1">
      <w:pPr>
        <w:spacing w:line="640" w:lineRule="exact"/>
        <w:ind w:firstLine="640"/>
        <w:jc w:val="both"/>
        <w:outlineLvl w:val="2"/>
      </w:pPr>
      <w:r>
        <w:rPr>
          <w:rFonts w:ascii="黑体" w:hAnsi="黑体" w:eastAsia="黑体"/>
          <w:sz w:val="32"/>
        </w:rPr>
        <w:t>一、收入支出决算总体情况说明</w:t>
      </w:r>
    </w:p>
    <w:p w14:paraId="26BBFD54">
      <w:pPr>
        <w:spacing w:line="580" w:lineRule="exact"/>
        <w:ind w:firstLine="640"/>
        <w:jc w:val="both"/>
      </w:pPr>
      <w:r>
        <w:rPr>
          <w:rFonts w:ascii="仿宋_GB2312" w:hAnsi="仿宋_GB2312" w:eastAsia="仿宋_GB2312"/>
          <w:b/>
          <w:sz w:val="32"/>
        </w:rPr>
        <w:t>2024年度收入总计2,355.29万元，</w:t>
      </w:r>
      <w:r>
        <w:rPr>
          <w:rFonts w:ascii="仿宋_GB2312" w:hAnsi="仿宋_GB2312" w:eastAsia="仿宋_GB2312"/>
          <w:b w:val="0"/>
          <w:sz w:val="32"/>
        </w:rPr>
        <w:t>其中：本年收入合计2,350.37万元，使用非财政拨款结余（含专用结余）0.00万元，年初结转和结余4.93万元。</w:t>
      </w:r>
    </w:p>
    <w:p w14:paraId="170D2B91">
      <w:pPr>
        <w:spacing w:line="580" w:lineRule="exact"/>
        <w:ind w:firstLine="640"/>
        <w:jc w:val="both"/>
      </w:pPr>
      <w:r>
        <w:rPr>
          <w:rFonts w:ascii="仿宋_GB2312" w:hAnsi="仿宋_GB2312" w:eastAsia="仿宋_GB2312"/>
          <w:b/>
          <w:sz w:val="32"/>
        </w:rPr>
        <w:t>2024年度支出总计2,355.29万元，</w:t>
      </w:r>
      <w:r>
        <w:rPr>
          <w:rFonts w:ascii="仿宋_GB2312" w:hAnsi="仿宋_GB2312" w:eastAsia="仿宋_GB2312"/>
          <w:b w:val="0"/>
          <w:sz w:val="32"/>
        </w:rPr>
        <w:t>其中：本年支出合计2,350.37万元，结余分配0.00万元，年末结转和结余4.93万元。</w:t>
      </w:r>
    </w:p>
    <w:p w14:paraId="0C3B18A3">
      <w:pPr>
        <w:spacing w:line="580" w:lineRule="exact"/>
        <w:ind w:firstLine="640"/>
        <w:jc w:val="both"/>
      </w:pPr>
      <w:r>
        <w:rPr>
          <w:rFonts w:ascii="仿宋_GB2312" w:hAnsi="仿宋_GB2312" w:eastAsia="仿宋_GB2312"/>
          <w:b w:val="0"/>
          <w:sz w:val="32"/>
        </w:rPr>
        <w:t>收入支出总体与上年相比，增加427.37万元，增长22.17%，主要原因是：1、本年在职人员工资调增，社保调增，人员经费增加；2、本年度后勤人员工资、2024年职工食堂补助项目经费增加。</w:t>
      </w:r>
    </w:p>
    <w:p w14:paraId="0103A42D">
      <w:pPr>
        <w:spacing w:line="640" w:lineRule="exact"/>
        <w:ind w:firstLine="640"/>
        <w:jc w:val="both"/>
        <w:outlineLvl w:val="2"/>
      </w:pPr>
      <w:r>
        <w:rPr>
          <w:rFonts w:ascii="黑体" w:hAnsi="黑体" w:eastAsia="黑体"/>
          <w:sz w:val="32"/>
        </w:rPr>
        <w:t>二、收入决算情况说明</w:t>
      </w:r>
    </w:p>
    <w:p w14:paraId="5CF29A8A">
      <w:pPr>
        <w:spacing w:line="580" w:lineRule="exact"/>
        <w:ind w:firstLine="640"/>
        <w:jc w:val="both"/>
      </w:pPr>
      <w:r>
        <w:rPr>
          <w:rFonts w:ascii="仿宋_GB2312" w:hAnsi="仿宋_GB2312" w:eastAsia="仿宋_GB2312"/>
          <w:b/>
          <w:sz w:val="32"/>
        </w:rPr>
        <w:t>本年收入2,350.37万元，</w:t>
      </w:r>
      <w:r>
        <w:rPr>
          <w:rFonts w:ascii="仿宋_GB2312" w:hAnsi="仿宋_GB2312" w:eastAsia="仿宋_GB2312"/>
          <w:b w:val="0"/>
          <w:sz w:val="32"/>
        </w:rPr>
        <w:t>其中：财政拨款收入2,350.37万元，占100.00%；上级补助收入0.00万元，占0.00%；事业收入0.00万元，占0.00%；经营收入0.00万元，占0.00%；附属单位上缴收入0.00万元，占0.00%；其他收入0.00万元，占0.00%。</w:t>
      </w:r>
    </w:p>
    <w:p w14:paraId="4E63F01B">
      <w:pPr>
        <w:spacing w:line="640" w:lineRule="exact"/>
        <w:ind w:firstLine="640"/>
        <w:jc w:val="both"/>
        <w:outlineLvl w:val="2"/>
      </w:pPr>
      <w:r>
        <w:rPr>
          <w:rFonts w:ascii="黑体" w:hAnsi="黑体" w:eastAsia="黑体"/>
          <w:sz w:val="32"/>
        </w:rPr>
        <w:t>三、支出决算情况说明</w:t>
      </w:r>
    </w:p>
    <w:p w14:paraId="6BC414EE">
      <w:pPr>
        <w:spacing w:line="580" w:lineRule="exact"/>
        <w:ind w:firstLine="640"/>
        <w:jc w:val="both"/>
      </w:pPr>
      <w:r>
        <w:rPr>
          <w:rFonts w:ascii="仿宋_GB2312" w:hAnsi="仿宋_GB2312" w:eastAsia="仿宋_GB2312"/>
          <w:b/>
          <w:sz w:val="32"/>
        </w:rPr>
        <w:t>本年支出2,350.37万元，</w:t>
      </w:r>
      <w:r>
        <w:rPr>
          <w:rFonts w:ascii="仿宋_GB2312" w:hAnsi="仿宋_GB2312" w:eastAsia="仿宋_GB2312"/>
          <w:b w:val="0"/>
          <w:sz w:val="32"/>
        </w:rPr>
        <w:t>其中：基本支出1,311.68万元，占55.81%；项目支出1,038.69万元，占44.19%；上缴上级支出0.00万元，占0.00%；经营支出0.00万元，占0.00%；对附属单位补助支出0.00万元，占0.00%。</w:t>
      </w:r>
    </w:p>
    <w:p w14:paraId="746AA5C8">
      <w:pPr>
        <w:spacing w:line="640" w:lineRule="exact"/>
        <w:ind w:firstLine="640"/>
        <w:jc w:val="both"/>
        <w:outlineLvl w:val="2"/>
      </w:pPr>
      <w:r>
        <w:rPr>
          <w:rFonts w:ascii="黑体" w:hAnsi="黑体" w:eastAsia="黑体"/>
          <w:sz w:val="32"/>
        </w:rPr>
        <w:t>四、财政拨款收入支出决算总体情况说明</w:t>
      </w:r>
    </w:p>
    <w:p w14:paraId="4B5578C7">
      <w:pPr>
        <w:spacing w:line="580" w:lineRule="exact"/>
        <w:ind w:firstLine="640"/>
        <w:jc w:val="both"/>
      </w:pPr>
      <w:r>
        <w:rPr>
          <w:rFonts w:ascii="仿宋_GB2312" w:hAnsi="仿宋_GB2312" w:eastAsia="仿宋_GB2312"/>
          <w:b/>
          <w:sz w:val="32"/>
        </w:rPr>
        <w:t>2024年度财政拨款收入总计2,350.37万元，</w:t>
      </w:r>
      <w:r>
        <w:rPr>
          <w:rFonts w:ascii="仿宋_GB2312" w:hAnsi="仿宋_GB2312" w:eastAsia="仿宋_GB2312"/>
          <w:b w:val="0"/>
          <w:sz w:val="32"/>
        </w:rPr>
        <w:t>其中：年初财政拨款结转和结余0.00万元，本年财政拨款收入2,350.37万元。</w:t>
      </w:r>
      <w:r>
        <w:rPr>
          <w:rFonts w:ascii="仿宋_GB2312" w:hAnsi="仿宋_GB2312" w:eastAsia="仿宋_GB2312"/>
          <w:b/>
          <w:sz w:val="32"/>
        </w:rPr>
        <w:t>财政拨款支出总计2,350.37万元，</w:t>
      </w:r>
      <w:r>
        <w:rPr>
          <w:rFonts w:ascii="仿宋_GB2312" w:hAnsi="仿宋_GB2312" w:eastAsia="仿宋_GB2312"/>
          <w:b w:val="0"/>
          <w:sz w:val="32"/>
        </w:rPr>
        <w:t>其中：年末财政拨款结转和结余0.00万元，本年财政拨款支出2,350.37万元。</w:t>
      </w:r>
    </w:p>
    <w:p w14:paraId="0DCD2A3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增加427.38万元，增长22.22%，主要原因是：1、本年在职人员工资调增，社保调增，人员经费增加；2、本年度后勤人员工资、2024年职工食堂补助项目经费增加。</w:t>
      </w:r>
      <w:r>
        <w:rPr>
          <w:rFonts w:ascii="仿宋_GB2312" w:hAnsi="仿宋_GB2312" w:eastAsia="仿宋_GB2312"/>
          <w:b/>
          <w:sz w:val="32"/>
        </w:rPr>
        <w:t>与年初预算相比，</w:t>
      </w:r>
      <w:r>
        <w:rPr>
          <w:rFonts w:ascii="仿宋_GB2312" w:hAnsi="仿宋_GB2312" w:eastAsia="仿宋_GB2312"/>
          <w:b w:val="0"/>
          <w:sz w:val="32"/>
        </w:rPr>
        <w:t>年初预算数2,061.62万元，决算数2,350.37万元，预决算差异率14.01%，主要原因是：年中追加2024年职工食堂补助项目，导致预决算存在差异。</w:t>
      </w:r>
    </w:p>
    <w:p w14:paraId="338D51D0">
      <w:pPr>
        <w:spacing w:line="640" w:lineRule="exact"/>
        <w:ind w:firstLine="640"/>
        <w:jc w:val="both"/>
        <w:outlineLvl w:val="2"/>
      </w:pPr>
      <w:r>
        <w:rPr>
          <w:rFonts w:ascii="黑体" w:hAnsi="黑体" w:eastAsia="黑体"/>
          <w:sz w:val="32"/>
        </w:rPr>
        <w:t>五、一般公共预算财政拨款支出决算情况说明</w:t>
      </w:r>
    </w:p>
    <w:p w14:paraId="2CF53CAD">
      <w:pPr>
        <w:spacing w:line="640" w:lineRule="exact"/>
        <w:ind w:firstLine="640"/>
        <w:jc w:val="both"/>
        <w:outlineLvl w:val="3"/>
      </w:pPr>
      <w:r>
        <w:rPr>
          <w:rFonts w:ascii="楷体_GB2312" w:hAnsi="楷体_GB2312" w:eastAsia="楷体_GB2312"/>
          <w:b/>
          <w:sz w:val="32"/>
        </w:rPr>
        <w:t>（一）一般公共预算财政拨款支出决算总体情况</w:t>
      </w:r>
    </w:p>
    <w:p w14:paraId="6EC9D938">
      <w:pPr>
        <w:spacing w:line="580" w:lineRule="exact"/>
        <w:ind w:firstLine="640"/>
        <w:jc w:val="both"/>
      </w:pPr>
      <w:r>
        <w:rPr>
          <w:rFonts w:ascii="仿宋_GB2312" w:hAnsi="仿宋_GB2312" w:eastAsia="仿宋_GB2312"/>
          <w:b/>
          <w:sz w:val="32"/>
        </w:rPr>
        <w:t>2024年度一般公共预算财政拨款支出2,350.37万元，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增加427.38万元，增长22.22%，主要原因是：1、本年在职人员工资调增，社保调增，人员经费增加；2、本年度后勤人员工资、2024年职工食堂补助项目经费增加。</w:t>
      </w:r>
      <w:r>
        <w:rPr>
          <w:rFonts w:ascii="仿宋_GB2312" w:hAnsi="仿宋_GB2312" w:eastAsia="仿宋_GB2312"/>
          <w:b/>
          <w:sz w:val="32"/>
        </w:rPr>
        <w:t>与年初预算相比,</w:t>
      </w:r>
      <w:r>
        <w:rPr>
          <w:rFonts w:ascii="仿宋_GB2312" w:hAnsi="仿宋_GB2312" w:eastAsia="仿宋_GB2312"/>
          <w:b w:val="0"/>
          <w:sz w:val="32"/>
        </w:rPr>
        <w:t>年初预算数2,061.62万元，决算数2,350.37万元，预决算差异率14.01%，主要原因是：年中追加2024年职工食堂补助项目，导致预决算存在差异。</w:t>
      </w:r>
    </w:p>
    <w:p w14:paraId="0D9159C0">
      <w:pPr>
        <w:spacing w:line="640" w:lineRule="exact"/>
        <w:ind w:firstLine="640"/>
        <w:jc w:val="both"/>
        <w:outlineLvl w:val="3"/>
      </w:pPr>
      <w:r>
        <w:rPr>
          <w:rFonts w:ascii="楷体_GB2312" w:hAnsi="楷体_GB2312" w:eastAsia="楷体_GB2312"/>
          <w:b/>
          <w:sz w:val="32"/>
        </w:rPr>
        <w:t>（二）一般公共预算财政拨款支出决算结构情况</w:t>
      </w:r>
    </w:p>
    <w:p w14:paraId="76AF96CC">
      <w:pPr>
        <w:spacing w:line="580" w:lineRule="exact"/>
        <w:ind w:firstLine="640"/>
        <w:jc w:val="both"/>
      </w:pPr>
      <w:r>
        <w:rPr>
          <w:rFonts w:ascii="仿宋_GB2312" w:hAnsi="仿宋_GB2312" w:eastAsia="仿宋_GB2312"/>
          <w:b w:val="0"/>
          <w:sz w:val="32"/>
        </w:rPr>
        <w:t>1.一般公共服务支出(类)2,156.11万元,占91.73%。</w:t>
      </w:r>
    </w:p>
    <w:p w14:paraId="3F5D3CF0">
      <w:pPr>
        <w:spacing w:line="580" w:lineRule="exact"/>
        <w:ind w:firstLine="640"/>
        <w:jc w:val="both"/>
      </w:pPr>
      <w:r>
        <w:rPr>
          <w:rFonts w:ascii="仿宋_GB2312" w:hAnsi="仿宋_GB2312" w:eastAsia="仿宋_GB2312"/>
          <w:b w:val="0"/>
          <w:sz w:val="32"/>
        </w:rPr>
        <w:t>2.社会保障和就业支出(类)126.10万元,占5.37%。</w:t>
      </w:r>
    </w:p>
    <w:p w14:paraId="05E94C55">
      <w:pPr>
        <w:spacing w:line="580" w:lineRule="exact"/>
        <w:ind w:firstLine="640"/>
        <w:jc w:val="both"/>
      </w:pPr>
      <w:r>
        <w:rPr>
          <w:rFonts w:ascii="仿宋_GB2312" w:hAnsi="仿宋_GB2312" w:eastAsia="仿宋_GB2312"/>
          <w:b w:val="0"/>
          <w:sz w:val="32"/>
        </w:rPr>
        <w:t>3.住房保障支出(类)68.15万元,占2.90%。</w:t>
      </w:r>
    </w:p>
    <w:p w14:paraId="37550241">
      <w:pPr>
        <w:spacing w:line="640" w:lineRule="exact"/>
        <w:ind w:firstLine="640"/>
        <w:jc w:val="both"/>
        <w:outlineLvl w:val="3"/>
      </w:pPr>
      <w:r>
        <w:rPr>
          <w:rFonts w:ascii="楷体_GB2312" w:hAnsi="楷体_GB2312" w:eastAsia="楷体_GB2312"/>
          <w:b/>
          <w:sz w:val="32"/>
        </w:rPr>
        <w:t>（三）一般公共预算财政拨款支出决算具体情况</w:t>
      </w:r>
    </w:p>
    <w:p w14:paraId="22EF9316">
      <w:pPr>
        <w:spacing w:line="580" w:lineRule="exact"/>
        <w:ind w:firstLine="640"/>
        <w:jc w:val="both"/>
      </w:pPr>
      <w:r>
        <w:rPr>
          <w:rFonts w:ascii="仿宋_GB2312" w:hAnsi="仿宋_GB2312" w:eastAsia="仿宋_GB2312"/>
          <w:b w:val="0"/>
          <w:sz w:val="32"/>
        </w:rPr>
        <w:t>1.一般公共服务支出(类)党委办公厅（室）及相关机构事务(款)机关服务(项):支出决算数为2,156.11万元，比上年决算增加370.49万元，增长20.75%,主要原因是：本年度后勤人员工资、2024年职工食堂补助项目增加。</w:t>
      </w:r>
    </w:p>
    <w:p w14:paraId="0BCD4D6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84.51万元，比上年决算增加11.67万元，增长16.02%,主要原因是：本年在职人员工资基数调增，养老缴费基数上涨，相应支出增加。</w:t>
      </w:r>
    </w:p>
    <w:p w14:paraId="5253AB8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41.60万元，比上年决算增加41.60万元，增长100.00%,主要原因是：本年功能科目调整，机关事业单位职业年金缴费上年度在主科目列支，本年单独列支，导致经费较上年增加。</w:t>
      </w:r>
    </w:p>
    <w:p w14:paraId="2199A1E8">
      <w:pPr>
        <w:spacing w:line="580" w:lineRule="exact"/>
        <w:ind w:firstLine="640"/>
        <w:jc w:val="both"/>
      </w:pPr>
      <w:r>
        <w:rPr>
          <w:rFonts w:ascii="仿宋_GB2312" w:hAnsi="仿宋_GB2312" w:eastAsia="仿宋_GB2312"/>
          <w:b w:val="0"/>
          <w:sz w:val="32"/>
        </w:rPr>
        <w:t>4.住房保障支出(类)住房改革支出(款)住房公积金(项):支出决算数为68.15万元，比上年决算增加3.62万元，增长5.61%,主要原因是：本年在职人员工资基数调增，公积金缴费基数上涨，相应支出增加。</w:t>
      </w:r>
    </w:p>
    <w:p w14:paraId="18C8AEFF">
      <w:pPr>
        <w:spacing w:line="640" w:lineRule="exact"/>
        <w:ind w:firstLine="640"/>
        <w:jc w:val="both"/>
        <w:outlineLvl w:val="2"/>
      </w:pPr>
      <w:r>
        <w:rPr>
          <w:rFonts w:ascii="黑体" w:hAnsi="黑体" w:eastAsia="黑体"/>
          <w:sz w:val="32"/>
        </w:rPr>
        <w:t>六、一般公共预算财政拨款基本支出决算情况说明</w:t>
      </w:r>
    </w:p>
    <w:p w14:paraId="6593462F">
      <w:pPr>
        <w:spacing w:line="580" w:lineRule="exact"/>
        <w:ind w:firstLine="640"/>
        <w:jc w:val="both"/>
      </w:pPr>
      <w:r>
        <w:rPr>
          <w:rFonts w:ascii="仿宋_GB2312" w:hAnsi="仿宋_GB2312" w:eastAsia="仿宋_GB2312"/>
          <w:b w:val="0"/>
          <w:sz w:val="32"/>
        </w:rPr>
        <w:t>2024年度一般公共预算财政拨款基本支出1,311.68万元，其中：</w:t>
      </w:r>
      <w:r>
        <w:rPr>
          <w:rFonts w:ascii="仿宋_GB2312" w:hAnsi="仿宋_GB2312" w:eastAsia="仿宋_GB2312"/>
          <w:b/>
          <w:sz w:val="32"/>
        </w:rPr>
        <w:t>人员经费864.78万元，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w:t>
      </w:r>
    </w:p>
    <w:p w14:paraId="7E411340">
      <w:pPr>
        <w:spacing w:line="580" w:lineRule="exact"/>
        <w:ind w:firstLine="640"/>
        <w:jc w:val="both"/>
      </w:pPr>
      <w:r>
        <w:rPr>
          <w:rFonts w:ascii="仿宋_GB2312" w:hAnsi="仿宋_GB2312" w:eastAsia="仿宋_GB2312"/>
          <w:b/>
          <w:sz w:val="32"/>
        </w:rPr>
        <w:t>公用经费446.90万元，</w:t>
      </w:r>
      <w:r>
        <w:rPr>
          <w:rFonts w:ascii="仿宋_GB2312" w:hAnsi="仿宋_GB2312" w:eastAsia="仿宋_GB2312"/>
          <w:b w:val="0"/>
          <w:sz w:val="32"/>
        </w:rPr>
        <w:t>包括：办公费、水费、电费、邮电费、取暖费、差旅费、工会经费、公务用车运行维护费、其他交通费用、税金及附加费用、其他商品和服务支出。</w:t>
      </w:r>
    </w:p>
    <w:p w14:paraId="70E19E51">
      <w:pPr>
        <w:spacing w:line="640" w:lineRule="exact"/>
        <w:ind w:firstLine="640"/>
        <w:jc w:val="both"/>
        <w:outlineLvl w:val="2"/>
      </w:pPr>
      <w:r>
        <w:rPr>
          <w:rFonts w:ascii="黑体" w:hAnsi="黑体" w:eastAsia="黑体"/>
          <w:sz w:val="32"/>
        </w:rPr>
        <w:t>七、政府性基金预算财政拨款收入支出决算情况说明</w:t>
      </w:r>
    </w:p>
    <w:p w14:paraId="42B56D5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5C69627">
      <w:pPr>
        <w:spacing w:line="640" w:lineRule="exact"/>
        <w:ind w:firstLine="640"/>
        <w:jc w:val="both"/>
        <w:outlineLvl w:val="2"/>
      </w:pPr>
      <w:r>
        <w:rPr>
          <w:rFonts w:ascii="黑体" w:hAnsi="黑体" w:eastAsia="黑体"/>
          <w:sz w:val="32"/>
        </w:rPr>
        <w:t>八、国有资本经营预算财政拨款收入支出决算情况说明</w:t>
      </w:r>
    </w:p>
    <w:p w14:paraId="0880AC8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E24017">
      <w:pPr>
        <w:spacing w:line="640" w:lineRule="exact"/>
        <w:ind w:firstLine="640"/>
        <w:jc w:val="both"/>
        <w:outlineLvl w:val="2"/>
      </w:pPr>
      <w:r>
        <w:rPr>
          <w:rFonts w:ascii="黑体" w:hAnsi="黑体" w:eastAsia="黑体"/>
          <w:sz w:val="32"/>
        </w:rPr>
        <w:t>九、财政拨款“三公”经费支出决算情况说明</w:t>
      </w:r>
    </w:p>
    <w:p w14:paraId="72081689">
      <w:pPr>
        <w:spacing w:line="580" w:lineRule="exact"/>
        <w:ind w:firstLine="640"/>
        <w:jc w:val="both"/>
      </w:pPr>
      <w:r>
        <w:rPr>
          <w:rFonts w:ascii="仿宋_GB2312" w:hAnsi="仿宋_GB2312" w:eastAsia="仿宋_GB2312"/>
          <w:b/>
          <w:sz w:val="32"/>
        </w:rPr>
        <w:t>2024年度财政拨款“三公”经费支出31.00万元，</w:t>
      </w:r>
      <w:r>
        <w:rPr>
          <w:rFonts w:ascii="仿宋_GB2312" w:hAnsi="仿宋_GB2312" w:eastAsia="仿宋_GB2312"/>
          <w:b w:val="0"/>
          <w:sz w:val="32"/>
        </w:rPr>
        <w:t>比上年增加31.00万元，增长100.00%，主要原因是：本年度因业务需</w:t>
      </w:r>
      <w:r>
        <w:rPr>
          <w:rFonts w:hint="eastAsia" w:ascii="仿宋_GB2312" w:hAnsi="仿宋_GB2312" w:eastAsia="仿宋_GB2312"/>
          <w:b w:val="0"/>
          <w:sz w:val="32"/>
          <w:lang w:val="en-US" w:eastAsia="zh-CN"/>
        </w:rPr>
        <w:t>求</w:t>
      </w:r>
      <w:r>
        <w:rPr>
          <w:rFonts w:ascii="仿宋_GB2312" w:hAnsi="仿宋_GB2312" w:eastAsia="仿宋_GB2312"/>
          <w:b w:val="0"/>
          <w:sz w:val="32"/>
        </w:rPr>
        <w:t>产生公务用车运行维护费，因此经费较上年增加。其中：因公出国（境）费支出0.00万元，占0.00%，比上年增加0.00万元，增长0.00%，主要原因是：2023年与2024年均未安排因公出国（境）费支出。公务用车购置及运行维护费支出31.00万元，占100.00%，比上年增加31.00万元，增长100.00%，主要原因是：本年度因业务需</w:t>
      </w:r>
      <w:r>
        <w:rPr>
          <w:rFonts w:hint="eastAsia" w:ascii="仿宋_GB2312" w:hAnsi="仿宋_GB2312" w:eastAsia="仿宋_GB2312"/>
          <w:b w:val="0"/>
          <w:sz w:val="32"/>
          <w:lang w:val="en-US" w:eastAsia="zh-CN"/>
        </w:rPr>
        <w:t>求</w:t>
      </w:r>
      <w:r>
        <w:rPr>
          <w:rFonts w:ascii="仿宋_GB2312" w:hAnsi="仿宋_GB2312" w:eastAsia="仿宋_GB2312"/>
          <w:b w:val="0"/>
          <w:sz w:val="32"/>
        </w:rPr>
        <w:t>产生</w:t>
      </w:r>
      <w:bookmarkStart w:id="0" w:name="_GoBack"/>
      <w:bookmarkEnd w:id="0"/>
      <w:r>
        <w:rPr>
          <w:rFonts w:ascii="仿宋_GB2312" w:hAnsi="仿宋_GB2312" w:eastAsia="仿宋_GB2312"/>
          <w:b w:val="0"/>
          <w:sz w:val="32"/>
        </w:rPr>
        <w:t>公务用车运行维护费，因此经费较上年增加。公务接待费支出0.00万元，占0.00%，比上年增加0.00万元，增长0.00%，主要原因是：2023年与2024年均未安排公务接待费支出。</w:t>
      </w:r>
    </w:p>
    <w:p w14:paraId="1F869F75">
      <w:pPr>
        <w:spacing w:line="580" w:lineRule="exact"/>
        <w:ind w:firstLine="640"/>
        <w:jc w:val="both"/>
      </w:pPr>
      <w:r>
        <w:rPr>
          <w:rFonts w:ascii="仿宋_GB2312" w:hAnsi="仿宋_GB2312" w:eastAsia="仿宋_GB2312"/>
          <w:b/>
          <w:sz w:val="32"/>
        </w:rPr>
        <w:t>具体情况如下：</w:t>
      </w:r>
    </w:p>
    <w:p w14:paraId="2EFC4CA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3FF7F6">
      <w:pPr>
        <w:spacing w:line="580" w:lineRule="exact"/>
        <w:ind w:firstLine="640"/>
        <w:jc w:val="both"/>
      </w:pPr>
      <w:r>
        <w:rPr>
          <w:rFonts w:ascii="仿宋_GB2312" w:hAnsi="仿宋_GB2312" w:eastAsia="仿宋_GB2312"/>
          <w:b w:val="0"/>
          <w:sz w:val="32"/>
        </w:rPr>
        <w:t>公务用车购置及运行维护费31.00万元，其中：公务用车购置费0.00万元，公务用车运行维护费31.00万元。公务用车运行维护费开支内容包括车辆加油费、维修费、保险费、审车费、过路费等。公务用车购置数0辆，公务用车保有量10辆。国有资产占用情况中固定资产车辆0辆，与公务用车保有量差异原因是：</w:t>
      </w:r>
      <w:r>
        <w:rPr>
          <w:rFonts w:hint="eastAsia" w:ascii="仿宋_GB2312" w:hAnsi="仿宋_GB2312" w:eastAsia="仿宋_GB2312"/>
          <w:b w:val="0"/>
          <w:sz w:val="32"/>
          <w:lang w:val="en-US" w:eastAsia="zh-CN"/>
        </w:rPr>
        <w:t>借用其他</w:t>
      </w:r>
      <w:r>
        <w:rPr>
          <w:rFonts w:ascii="仿宋_GB2312" w:hAnsi="仿宋_GB2312" w:eastAsia="仿宋_GB2312"/>
          <w:b w:val="0"/>
          <w:sz w:val="32"/>
        </w:rPr>
        <w:t>车辆，车辆费用由本单位</w:t>
      </w:r>
      <w:r>
        <w:rPr>
          <w:rFonts w:hint="eastAsia" w:ascii="仿宋_GB2312" w:hAnsi="仿宋_GB2312" w:eastAsia="仿宋_GB2312"/>
          <w:b w:val="0"/>
          <w:sz w:val="32"/>
          <w:lang w:val="en-US" w:eastAsia="zh-CN"/>
        </w:rPr>
        <w:t>公务用车运行维护费</w:t>
      </w:r>
      <w:r>
        <w:rPr>
          <w:rFonts w:ascii="仿宋_GB2312" w:hAnsi="仿宋_GB2312" w:eastAsia="仿宋_GB2312"/>
          <w:b w:val="0"/>
          <w:sz w:val="32"/>
        </w:rPr>
        <w:t>支付。</w:t>
      </w:r>
    </w:p>
    <w:p w14:paraId="47DEDE9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11D720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31.00万元，决算数31.00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31.00万元，决算数31.00万元，预决算差异率0.00%，主要原因是：严格按照预算执行，预决算无差异。公务接待费全年预算数0.00万元，决算数0.00万元，预决算差异率0.00%，主要原因是：本单位无公务接待费。</w:t>
      </w:r>
    </w:p>
    <w:p w14:paraId="3A6CC47D">
      <w:pPr>
        <w:spacing w:line="640" w:lineRule="exact"/>
        <w:ind w:firstLine="640"/>
        <w:jc w:val="both"/>
        <w:outlineLvl w:val="2"/>
      </w:pPr>
      <w:r>
        <w:rPr>
          <w:rFonts w:ascii="黑体" w:hAnsi="黑体" w:eastAsia="黑体"/>
          <w:sz w:val="32"/>
        </w:rPr>
        <w:t>十、其他重要事项的情况说明</w:t>
      </w:r>
    </w:p>
    <w:p w14:paraId="28552D2D">
      <w:pPr>
        <w:spacing w:line="640" w:lineRule="exact"/>
        <w:ind w:firstLine="640"/>
        <w:jc w:val="both"/>
        <w:outlineLvl w:val="3"/>
      </w:pPr>
      <w:r>
        <w:rPr>
          <w:rFonts w:ascii="楷体_GB2312" w:hAnsi="楷体_GB2312" w:eastAsia="楷体_GB2312"/>
          <w:b/>
          <w:sz w:val="32"/>
        </w:rPr>
        <w:t>（一）机关运行经费及公用经费支出情况</w:t>
      </w:r>
    </w:p>
    <w:p w14:paraId="6F5876A9">
      <w:pPr>
        <w:spacing w:line="580" w:lineRule="exact"/>
        <w:ind w:firstLine="640"/>
        <w:jc w:val="both"/>
      </w:pPr>
      <w:r>
        <w:rPr>
          <w:rFonts w:ascii="仿宋_GB2312" w:hAnsi="仿宋_GB2312" w:eastAsia="仿宋_GB2312"/>
          <w:b w:val="0"/>
          <w:sz w:val="32"/>
        </w:rPr>
        <w:t>2024年度霍尔果斯口岸机关服务中心（事业单位）公用经费支出446.90万元，比上年增加38.74万元，增长9.49%，主要原因是：本年度对老市委食堂汉餐区进行改造，导致公用经费较上年增加。</w:t>
      </w:r>
    </w:p>
    <w:p w14:paraId="02761D40">
      <w:pPr>
        <w:spacing w:line="640" w:lineRule="exact"/>
        <w:ind w:firstLine="640"/>
        <w:jc w:val="both"/>
        <w:outlineLvl w:val="3"/>
      </w:pPr>
      <w:r>
        <w:rPr>
          <w:rFonts w:ascii="楷体_GB2312" w:hAnsi="楷体_GB2312" w:eastAsia="楷体_GB2312"/>
          <w:b/>
          <w:sz w:val="32"/>
        </w:rPr>
        <w:t>（二）政府采购情况</w:t>
      </w:r>
    </w:p>
    <w:p w14:paraId="2A297575">
      <w:pPr>
        <w:spacing w:line="580" w:lineRule="exact"/>
        <w:ind w:firstLine="640"/>
        <w:jc w:val="both"/>
      </w:pPr>
      <w:r>
        <w:rPr>
          <w:rFonts w:ascii="仿宋_GB2312" w:hAnsi="仿宋_GB2312" w:eastAsia="仿宋_GB2312"/>
          <w:b w:val="0"/>
          <w:sz w:val="32"/>
        </w:rPr>
        <w:t>2024年度政府采购支出总额760.24万元，其中：政府采购货物支出83.32万元、政府采购工程支出9.02万元、政府采购服务支出667.90万元。</w:t>
      </w:r>
    </w:p>
    <w:p w14:paraId="58AAACA2">
      <w:pPr>
        <w:spacing w:line="580" w:lineRule="exact"/>
        <w:ind w:firstLine="640"/>
        <w:jc w:val="both"/>
      </w:pPr>
      <w:r>
        <w:rPr>
          <w:rFonts w:ascii="仿宋_GB2312" w:hAnsi="仿宋_GB2312" w:eastAsia="仿宋_GB2312"/>
          <w:b w:val="0"/>
          <w:sz w:val="32"/>
        </w:rPr>
        <w:t>授予中小企业合同金额716.38万元，占政府采购支出总额的94.23%，其中：授予小微企业合同金额713.74万元，占政府采购支出总额的93.88%。</w:t>
      </w:r>
    </w:p>
    <w:p w14:paraId="57B3C25B">
      <w:pPr>
        <w:spacing w:line="640" w:lineRule="exact"/>
        <w:ind w:firstLine="640"/>
        <w:jc w:val="both"/>
        <w:outlineLvl w:val="3"/>
      </w:pPr>
      <w:r>
        <w:rPr>
          <w:rFonts w:ascii="楷体_GB2312" w:hAnsi="楷体_GB2312" w:eastAsia="楷体_GB2312"/>
          <w:b/>
          <w:sz w:val="32"/>
        </w:rPr>
        <w:t>（三）国有资产占用情况说明</w:t>
      </w:r>
    </w:p>
    <w:p w14:paraId="1E8E6A39">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DF8D07A">
      <w:pPr>
        <w:spacing w:line="640" w:lineRule="exact"/>
        <w:ind w:firstLine="640"/>
        <w:jc w:val="both"/>
        <w:outlineLvl w:val="2"/>
      </w:pPr>
      <w:r>
        <w:rPr>
          <w:rFonts w:ascii="黑体" w:hAnsi="黑体" w:eastAsia="黑体"/>
          <w:sz w:val="32"/>
        </w:rPr>
        <w:t>十一、预算绩效的情况说明</w:t>
      </w:r>
    </w:p>
    <w:p w14:paraId="06B331D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2,355.29万元，实际执行总额2,350.37万元；预算绩效评价项目4个，全年预算数1,038.71万元，全年执行数1,038.69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效果。二是严格按照工作职责和相关文件依据，确保专款专用。三是严格控制资金的流出方向，确保资金的合规性。发现的问题及原因：（一）绩效指标设置不够明确。</w:t>
      </w:r>
      <w:r>
        <w:rPr>
          <w:rFonts w:hint="eastAsia" w:ascii="仿宋_GB2312" w:hAnsi="仿宋_GB2312" w:eastAsia="仿宋_GB2312"/>
          <w:b w:val="0"/>
          <w:sz w:val="32"/>
          <w:lang w:eastAsia="zh-CN"/>
        </w:rPr>
        <w:t>本单位</w:t>
      </w:r>
      <w:r>
        <w:rPr>
          <w:rFonts w:ascii="仿宋_GB2312" w:hAnsi="仿宋_GB2312" w:eastAsia="仿宋_GB2312"/>
          <w:b w:val="0"/>
          <w:sz w:val="32"/>
        </w:rPr>
        <w:t>部分绩效指标设置存在不够精简、指标数据无法统计和指标值设置过低等问题，部分项目绩效指标值设定为定性的指标，指标设置的科学性、合理性有待进一步提高。（二）项目监督工作存在薄弱环节。项目实施过程中的上报、跟踪、反馈机制尚未真正形成，对项目资金的使用、实施等监管措施仍然存在改进的空间。下一步改进措施：（一）强化部门绩效管理体系建设。一是建议以规章规则的形式，出台绩效管理制度，对绩效管理的目的、意义、性质和特点，以及组织实施绩效管理的程序、步骤、方法、原则和要求进行统一的规定。二是合理设置年度任务。提高各处室对部门中长期规划的重视程度，增强相关规划的落地性、导向性。三是探索符合部门工作特点的评价指标体系。在设定绩效目标时选取相关性强的量化指标，并注重选取符合实际工作情况的指标值。（二）建立动态分析管理机制，提高项目监管主动性。业务部门进行指导、监督和检查时进一步加强主动性，积极探索更有效和积极主动的监管方式。建立重点项目实施过程的反馈机制，依托相关信息平台，加大对重点部门、重点项目的监控力度，并建立对重点项目实施情况按月度上报机制。具体附整体支出绩效自评表，项目支出绩效自评表和评价报告。</w:t>
      </w:r>
    </w:p>
    <w:p w14:paraId="18711AE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B54CCE5">
        <w:tblPrEx>
          <w:tblCellMar>
            <w:top w:w="0" w:type="dxa"/>
            <w:left w:w="108" w:type="dxa"/>
            <w:bottom w:w="0" w:type="dxa"/>
            <w:right w:w="108" w:type="dxa"/>
          </w:tblCellMar>
        </w:tblPrEx>
        <w:tc>
          <w:tcPr>
            <w:tcW w:w="8840" w:type="dxa"/>
            <w:gridSpan w:val="8"/>
            <w:vAlign w:val="center"/>
          </w:tcPr>
          <w:p w14:paraId="5D1F83D3">
            <w:pPr>
              <w:jc w:val="center"/>
            </w:pPr>
            <w:r>
              <w:rPr>
                <w:rFonts w:ascii="宋体" w:hAnsi="宋体" w:eastAsia="宋体"/>
                <w:sz w:val="24"/>
              </w:rPr>
              <w:t>单位整体支出绩效自评表</w:t>
            </w:r>
          </w:p>
        </w:tc>
      </w:tr>
      <w:tr w14:paraId="255991B2">
        <w:tblPrEx>
          <w:tblCellMar>
            <w:top w:w="0" w:type="dxa"/>
            <w:left w:w="108" w:type="dxa"/>
            <w:bottom w:w="0" w:type="dxa"/>
            <w:right w:w="108" w:type="dxa"/>
          </w:tblCellMar>
        </w:tblPrEx>
        <w:tc>
          <w:tcPr>
            <w:tcW w:w="8840" w:type="dxa"/>
            <w:gridSpan w:val="8"/>
            <w:vAlign w:val="center"/>
          </w:tcPr>
          <w:p w14:paraId="21971A37">
            <w:pPr>
              <w:jc w:val="center"/>
            </w:pPr>
            <w:r>
              <w:rPr>
                <w:rFonts w:ascii="宋体" w:hAnsi="宋体" w:eastAsia="宋体"/>
                <w:sz w:val="24"/>
              </w:rPr>
              <w:t>（2024年度）</w:t>
            </w:r>
          </w:p>
        </w:tc>
      </w:tr>
      <w:tr w14:paraId="159640C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81163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176A4">
            <w:pPr>
              <w:jc w:val="center"/>
            </w:pPr>
            <w:r>
              <w:rPr>
                <w:rFonts w:ascii="宋体" w:hAnsi="宋体" w:eastAsia="宋体"/>
                <w:sz w:val="16"/>
              </w:rPr>
              <w:t>霍尔果斯口岸机关服务中心</w:t>
            </w:r>
          </w:p>
        </w:tc>
      </w:tr>
      <w:tr w14:paraId="2CB28D9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40EB0">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4FD6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C78D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7C5C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456D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6BD2A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01BE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345693">
            <w:pPr>
              <w:jc w:val="center"/>
            </w:pPr>
            <w:r>
              <w:rPr>
                <w:rFonts w:ascii="宋体" w:hAnsi="宋体" w:eastAsia="宋体"/>
                <w:sz w:val="16"/>
              </w:rPr>
              <w:t>得分</w:t>
            </w:r>
          </w:p>
        </w:tc>
      </w:tr>
      <w:tr w14:paraId="6AA58A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BEB1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7866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A28995">
            <w:pPr>
              <w:jc w:val="center"/>
            </w:pPr>
            <w:r>
              <w:rPr>
                <w:rFonts w:ascii="宋体" w:hAnsi="宋体" w:eastAsia="宋体"/>
                <w:sz w:val="16"/>
              </w:rPr>
              <w:t>2,061.62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C17D9">
            <w:pPr>
              <w:jc w:val="center"/>
            </w:pPr>
            <w:r>
              <w:rPr>
                <w:rFonts w:ascii="宋体" w:hAnsi="宋体" w:eastAsia="宋体"/>
                <w:sz w:val="16"/>
              </w:rPr>
              <w:t>2,355.29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7655B">
            <w:pPr>
              <w:jc w:val="center"/>
            </w:pPr>
            <w:r>
              <w:rPr>
                <w:rFonts w:ascii="宋体" w:hAnsi="宋体" w:eastAsia="宋体"/>
                <w:sz w:val="16"/>
              </w:rPr>
              <w:t>2,350.37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2B60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357B5">
            <w:pPr>
              <w:jc w:val="center"/>
            </w:pPr>
            <w:r>
              <w:rPr>
                <w:rFonts w:ascii="宋体" w:hAnsi="宋体" w:eastAsia="宋体"/>
                <w:sz w:val="16"/>
              </w:rPr>
              <w:t>99.79%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DC0F1">
            <w:pPr>
              <w:jc w:val="center"/>
            </w:pPr>
            <w:r>
              <w:rPr>
                <w:rFonts w:ascii="宋体" w:hAnsi="宋体" w:eastAsia="宋体"/>
                <w:sz w:val="16"/>
              </w:rPr>
              <w:t>9.98</w:t>
            </w:r>
          </w:p>
        </w:tc>
      </w:tr>
      <w:tr w14:paraId="2288FA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2CFD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9F2D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190D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1579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5691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EC97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CC7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CB7C6">
            <w:pPr>
              <w:jc w:val="center"/>
            </w:pPr>
            <w:r>
              <w:rPr>
                <w:rFonts w:ascii="宋体" w:hAnsi="宋体" w:eastAsia="宋体"/>
                <w:sz w:val="16"/>
              </w:rPr>
              <w:t>-</w:t>
            </w:r>
          </w:p>
        </w:tc>
      </w:tr>
      <w:tr w14:paraId="2FAAAC9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5084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273A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72CA5">
            <w:pPr>
              <w:jc w:val="center"/>
            </w:pPr>
            <w:r>
              <w:rPr>
                <w:rFonts w:ascii="宋体" w:hAnsi="宋体" w:eastAsia="宋体"/>
                <w:sz w:val="16"/>
              </w:rPr>
              <w:t>2,061.62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6E426">
            <w:pPr>
              <w:jc w:val="center"/>
            </w:pPr>
            <w:r>
              <w:rPr>
                <w:rFonts w:ascii="宋体" w:hAnsi="宋体" w:eastAsia="宋体"/>
                <w:sz w:val="16"/>
              </w:rPr>
              <w:t>2,355.29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9AEAE8">
            <w:pPr>
              <w:jc w:val="center"/>
            </w:pPr>
            <w:r>
              <w:rPr>
                <w:rFonts w:ascii="宋体" w:hAnsi="宋体" w:eastAsia="宋体"/>
                <w:sz w:val="16"/>
              </w:rPr>
              <w:t>2,350.37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43FC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7C73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A8FCB">
            <w:pPr>
              <w:jc w:val="center"/>
            </w:pPr>
            <w:r>
              <w:rPr>
                <w:rFonts w:ascii="宋体" w:hAnsi="宋体" w:eastAsia="宋体"/>
                <w:sz w:val="16"/>
              </w:rPr>
              <w:t>-</w:t>
            </w:r>
          </w:p>
        </w:tc>
      </w:tr>
      <w:tr w14:paraId="7C78AA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7E2D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4CCC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76F5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A83C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525A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40D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9F4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3F2D3A">
            <w:pPr>
              <w:jc w:val="center"/>
            </w:pPr>
            <w:r>
              <w:rPr>
                <w:rFonts w:ascii="宋体" w:hAnsi="宋体" w:eastAsia="宋体"/>
                <w:sz w:val="16"/>
              </w:rPr>
              <w:t>-</w:t>
            </w:r>
          </w:p>
        </w:tc>
      </w:tr>
      <w:tr w14:paraId="4E1AD65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646D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1E84F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8DFFCE">
            <w:pPr>
              <w:jc w:val="center"/>
            </w:pPr>
            <w:r>
              <w:rPr>
                <w:rFonts w:ascii="宋体" w:hAnsi="宋体" w:eastAsia="宋体"/>
                <w:sz w:val="16"/>
              </w:rPr>
              <w:t>实际完成情况</w:t>
            </w:r>
          </w:p>
        </w:tc>
      </w:tr>
      <w:tr w14:paraId="07794A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5FC95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0BE6C6">
            <w:pPr>
              <w:jc w:val="both"/>
            </w:pPr>
            <w:r>
              <w:rPr>
                <w:rFonts w:ascii="宋体" w:hAnsi="宋体" w:eastAsia="宋体"/>
                <w:sz w:val="16"/>
              </w:rPr>
              <w:t>在</w:t>
            </w:r>
            <w:r>
              <w:rPr>
                <w:rFonts w:hint="eastAsia" w:ascii="宋体" w:hAnsi="宋体"/>
                <w:sz w:val="16"/>
                <w:lang w:eastAsia="zh-CN"/>
              </w:rPr>
              <w:t>市委、市政府</w:t>
            </w:r>
            <w:r>
              <w:rPr>
                <w:rFonts w:ascii="宋体" w:hAnsi="宋体" w:eastAsia="宋体"/>
                <w:sz w:val="16"/>
              </w:rPr>
              <w:t>的坚强领导下，坚持以习近平新时代中国特色社会主义思想为指导，机关服务中心紧紧围绕中心工作，认真履职尽责，按照“管理规范化、服务人性化、节能常态化”要求，切实转变服务理念，不断加强干部队伍建设，扎实推进后勤服务保障各项工作高效开展。以精准实施《新疆维吾尔自治区机关事务管理办法》为核心任务，保障机关正常运行，降低机关运行成本，建设节约型机关。充分发挥和强化后勤部门的“参谋助手、协调枢纽、管理服务、后勤保障”等职能作用，更好地为干部职工提供全面、高效的优质服务，为机关工作的顺利开展发挥重要作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773E26">
            <w:pPr>
              <w:jc w:val="both"/>
            </w:pPr>
            <w:r>
              <w:rPr>
                <w:rFonts w:hint="eastAsia" w:ascii="宋体" w:hAnsi="宋体"/>
                <w:sz w:val="16"/>
                <w:lang w:eastAsia="zh-CN"/>
              </w:rPr>
              <w:t>截至</w:t>
            </w:r>
            <w:r>
              <w:rPr>
                <w:rFonts w:ascii="宋体" w:hAnsi="宋体" w:eastAsia="宋体"/>
                <w:sz w:val="16"/>
              </w:rPr>
              <w:t>2024年底，</w:t>
            </w:r>
            <w:r>
              <w:rPr>
                <w:rFonts w:hint="eastAsia" w:ascii="宋体" w:hAnsi="宋体"/>
                <w:sz w:val="16"/>
                <w:lang w:eastAsia="zh-CN"/>
              </w:rPr>
              <w:t>本单位</w:t>
            </w:r>
            <w:r>
              <w:rPr>
                <w:rFonts w:ascii="宋体" w:hAnsi="宋体" w:eastAsia="宋体"/>
                <w:sz w:val="16"/>
              </w:rPr>
              <w:t>紧紧围绕中心工作，认真履职尽责，按照“管理规范化、服务人性化、节能常态化”要求，切实转变服务理念，不断加强干部队伍建设，扎实推进后勤服务保障各项工作高效开展。保障党政机关办公楼正常运转8栋，完成节约型机关复验数量4家，完成机关事业单位公务用车编制数量核定171个，本年度工作取得圆满成效。</w:t>
            </w:r>
          </w:p>
        </w:tc>
      </w:tr>
      <w:tr w14:paraId="6DA84F8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F1F80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0B50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E431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E0FD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62B0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DBC4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3B740">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533D3">
            <w:pPr>
              <w:jc w:val="center"/>
            </w:pPr>
            <w:r>
              <w:rPr>
                <w:rFonts w:ascii="宋体" w:hAnsi="宋体" w:eastAsia="宋体"/>
                <w:sz w:val="16"/>
              </w:rPr>
              <w:t>得分</w:t>
            </w:r>
          </w:p>
        </w:tc>
      </w:tr>
      <w:tr w14:paraId="4165530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81596">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B3FE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4F0FC">
            <w:pPr>
              <w:jc w:val="center"/>
            </w:pPr>
            <w:r>
              <w:rPr>
                <w:rFonts w:ascii="宋体" w:hAnsi="宋体" w:eastAsia="宋体"/>
                <w:sz w:val="16"/>
              </w:rPr>
              <w:t>保障党政机关办公楼正常数量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9D9D8B">
            <w:pPr>
              <w:jc w:val="center"/>
            </w:pPr>
            <w:r>
              <w:rPr>
                <w:rFonts w:ascii="宋体" w:hAnsi="宋体" w:eastAsia="宋体"/>
                <w:sz w:val="16"/>
              </w:rPr>
              <w:t>&gt;=8栋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584D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05B52">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04246">
            <w:pPr>
              <w:jc w:val="center"/>
            </w:pPr>
            <w:r>
              <w:rPr>
                <w:rFonts w:ascii="宋体" w:hAnsi="宋体" w:eastAsia="宋体"/>
                <w:sz w:val="16"/>
              </w:rPr>
              <w:t>8栋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64930">
            <w:pPr>
              <w:jc w:val="center"/>
            </w:pPr>
            <w:r>
              <w:rPr>
                <w:rFonts w:ascii="宋体" w:hAnsi="宋体" w:eastAsia="宋体"/>
                <w:sz w:val="16"/>
              </w:rPr>
              <w:t>23</w:t>
            </w:r>
          </w:p>
        </w:tc>
      </w:tr>
      <w:tr w14:paraId="325C53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B120E0"/>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83AA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18916">
            <w:pPr>
              <w:jc w:val="center"/>
            </w:pPr>
            <w:r>
              <w:rPr>
                <w:rFonts w:ascii="宋体" w:hAnsi="宋体" w:eastAsia="宋体"/>
                <w:sz w:val="16"/>
              </w:rPr>
              <w:t>节约型机关创建及复验完成率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61ED9">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D791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32CC7">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B0CD8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4FB35">
            <w:pPr>
              <w:jc w:val="center"/>
            </w:pPr>
            <w:r>
              <w:rPr>
                <w:rFonts w:ascii="宋体" w:hAnsi="宋体" w:eastAsia="宋体"/>
                <w:sz w:val="16"/>
              </w:rPr>
              <w:t>23</w:t>
            </w:r>
          </w:p>
        </w:tc>
      </w:tr>
      <w:tr w14:paraId="4ED1CD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A870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8EFD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C9D65">
            <w:pPr>
              <w:jc w:val="center"/>
            </w:pPr>
            <w:r>
              <w:rPr>
                <w:rFonts w:ascii="宋体" w:hAnsi="宋体" w:eastAsia="宋体"/>
                <w:sz w:val="16"/>
              </w:rPr>
              <w:t>机关事业单位公务用车编制完成率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C5D97">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DA53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7B576">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5AC65">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AB1D9">
            <w:pPr>
              <w:jc w:val="center"/>
            </w:pPr>
            <w:r>
              <w:rPr>
                <w:rFonts w:ascii="宋体" w:hAnsi="宋体" w:eastAsia="宋体"/>
                <w:sz w:val="16"/>
              </w:rPr>
              <w:t>22</w:t>
            </w:r>
          </w:p>
        </w:tc>
      </w:tr>
      <w:tr w14:paraId="30267EF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DC92E">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63EA66">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D3188">
            <w:pPr>
              <w:jc w:val="center"/>
            </w:pPr>
            <w:r>
              <w:rPr>
                <w:rFonts w:ascii="宋体" w:hAnsi="宋体" w:eastAsia="宋体"/>
                <w:sz w:val="16"/>
              </w:rPr>
              <w:t>全市干部职工满意度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F33FE">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A0DA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A360A">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454B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E3FA6">
            <w:pPr>
              <w:jc w:val="center"/>
            </w:pPr>
            <w:r>
              <w:rPr>
                <w:rFonts w:ascii="宋体" w:hAnsi="宋体" w:eastAsia="宋体"/>
                <w:sz w:val="16"/>
              </w:rPr>
              <w:t>22</w:t>
            </w:r>
          </w:p>
        </w:tc>
      </w:tr>
    </w:tbl>
    <w:p w14:paraId="332E4ADB">
      <w:r>
        <w:br w:type="page"/>
      </w:r>
    </w:p>
    <w:tbl>
      <w:tblPr>
        <w:tblStyle w:val="9"/>
        <w:tblW w:w="0" w:type="auto"/>
        <w:tblInd w:w="0" w:type="dxa"/>
        <w:tblLayout w:type="autofit"/>
        <w:tblCellMar>
          <w:top w:w="0" w:type="dxa"/>
          <w:left w:w="108" w:type="dxa"/>
          <w:bottom w:w="0" w:type="dxa"/>
          <w:right w:w="108" w:type="dxa"/>
        </w:tblCellMar>
      </w:tblPr>
      <w:tblGrid>
        <w:gridCol w:w="611"/>
        <w:gridCol w:w="575"/>
        <w:gridCol w:w="575"/>
        <w:gridCol w:w="575"/>
        <w:gridCol w:w="593"/>
        <w:gridCol w:w="856"/>
        <w:gridCol w:w="696"/>
        <w:gridCol w:w="776"/>
        <w:gridCol w:w="593"/>
        <w:gridCol w:w="575"/>
        <w:gridCol w:w="856"/>
        <w:gridCol w:w="575"/>
        <w:gridCol w:w="575"/>
        <w:gridCol w:w="629"/>
      </w:tblGrid>
      <w:tr w14:paraId="47E8327D">
        <w:tblPrEx>
          <w:tblCellMar>
            <w:top w:w="0" w:type="dxa"/>
            <w:left w:w="108" w:type="dxa"/>
            <w:bottom w:w="0" w:type="dxa"/>
            <w:right w:w="108" w:type="dxa"/>
          </w:tblCellMar>
        </w:tblPrEx>
        <w:tc>
          <w:tcPr>
            <w:tcW w:w="8848" w:type="dxa"/>
            <w:gridSpan w:val="14"/>
            <w:vAlign w:val="center"/>
          </w:tcPr>
          <w:p w14:paraId="324BFEC3">
            <w:pPr>
              <w:jc w:val="center"/>
            </w:pPr>
            <w:r>
              <w:rPr>
                <w:rFonts w:ascii="宋体" w:hAnsi="宋体" w:eastAsia="宋体"/>
                <w:sz w:val="24"/>
              </w:rPr>
              <w:t>项目支出绩效自评表</w:t>
            </w:r>
          </w:p>
        </w:tc>
      </w:tr>
      <w:tr w14:paraId="5E132EC2">
        <w:tblPrEx>
          <w:tblCellMar>
            <w:top w:w="0" w:type="dxa"/>
            <w:left w:w="108" w:type="dxa"/>
            <w:bottom w:w="0" w:type="dxa"/>
            <w:right w:w="108" w:type="dxa"/>
          </w:tblCellMar>
        </w:tblPrEx>
        <w:tc>
          <w:tcPr>
            <w:tcW w:w="8848" w:type="dxa"/>
            <w:gridSpan w:val="14"/>
            <w:vAlign w:val="center"/>
          </w:tcPr>
          <w:p w14:paraId="1141C341">
            <w:pPr>
              <w:jc w:val="center"/>
            </w:pPr>
            <w:r>
              <w:rPr>
                <w:rFonts w:ascii="宋体" w:hAnsi="宋体" w:eastAsia="宋体"/>
                <w:sz w:val="24"/>
              </w:rPr>
              <w:t>(2024年度)</w:t>
            </w:r>
          </w:p>
        </w:tc>
      </w:tr>
      <w:tr w14:paraId="0EF917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87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B96C43">
            <w:pPr>
              <w:jc w:val="center"/>
            </w:pPr>
            <w:r>
              <w:rPr>
                <w:rFonts w:ascii="宋体" w:hAnsi="宋体" w:eastAsia="宋体"/>
                <w:sz w:val="16"/>
              </w:rPr>
              <w:t>2024年专项业务费</w:t>
            </w:r>
          </w:p>
        </w:tc>
      </w:tr>
      <w:tr w14:paraId="651073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8A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41AA5B">
            <w:pPr>
              <w:jc w:val="center"/>
            </w:pPr>
            <w:r>
              <w:rPr>
                <w:rFonts w:ascii="宋体" w:hAnsi="宋体" w:eastAsia="宋体"/>
                <w:sz w:val="16"/>
              </w:rPr>
              <w:t>霍尔果斯口岸机关服务中心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8C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A5EB89">
            <w:pPr>
              <w:jc w:val="center"/>
            </w:pPr>
            <w:r>
              <w:rPr>
                <w:rFonts w:ascii="宋体" w:hAnsi="宋体" w:eastAsia="宋体"/>
                <w:sz w:val="16"/>
              </w:rPr>
              <w:t>霍尔果斯口岸机关服务中心</w:t>
            </w:r>
          </w:p>
        </w:tc>
      </w:tr>
      <w:tr w14:paraId="08CBFA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CCB7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76E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725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DD3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9FC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E06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62F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7489">
            <w:pPr>
              <w:jc w:val="center"/>
            </w:pPr>
            <w:r>
              <w:rPr>
                <w:rFonts w:ascii="宋体" w:hAnsi="宋体" w:eastAsia="宋体"/>
                <w:sz w:val="16"/>
              </w:rPr>
              <w:t>得分</w:t>
            </w:r>
          </w:p>
        </w:tc>
      </w:tr>
      <w:tr w14:paraId="6B164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7D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F8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4047F">
            <w:pPr>
              <w:jc w:val="center"/>
            </w:pPr>
            <w:r>
              <w:rPr>
                <w:rFonts w:ascii="宋体" w:hAnsi="宋体" w:eastAsia="宋体"/>
                <w:sz w:val="16"/>
              </w:rPr>
              <w:t>246.64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99DD4">
            <w:pPr>
              <w:jc w:val="center"/>
            </w:pPr>
            <w:r>
              <w:rPr>
                <w:rFonts w:ascii="宋体" w:hAnsi="宋体" w:eastAsia="宋体"/>
                <w:sz w:val="16"/>
              </w:rPr>
              <w:t>246.64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18CC7">
            <w:pPr>
              <w:jc w:val="center"/>
            </w:pPr>
            <w:r>
              <w:rPr>
                <w:rFonts w:ascii="宋体" w:hAnsi="宋体" w:eastAsia="宋体"/>
                <w:sz w:val="16"/>
              </w:rPr>
              <w:t>246.62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3A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EAC86">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D815">
            <w:pPr>
              <w:jc w:val="center"/>
            </w:pPr>
            <w:r>
              <w:rPr>
                <w:rFonts w:ascii="宋体" w:hAnsi="宋体" w:eastAsia="宋体"/>
                <w:sz w:val="16"/>
              </w:rPr>
              <w:t>10.00</w:t>
            </w:r>
          </w:p>
        </w:tc>
      </w:tr>
      <w:tr w14:paraId="00A71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848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B8D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D12F">
            <w:pPr>
              <w:jc w:val="center"/>
            </w:pPr>
            <w:r>
              <w:rPr>
                <w:rFonts w:ascii="宋体" w:hAnsi="宋体" w:eastAsia="宋体"/>
                <w:sz w:val="16"/>
              </w:rPr>
              <w:t>246.64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E4506">
            <w:pPr>
              <w:jc w:val="center"/>
            </w:pPr>
            <w:r>
              <w:rPr>
                <w:rFonts w:ascii="宋体" w:hAnsi="宋体" w:eastAsia="宋体"/>
                <w:sz w:val="16"/>
              </w:rPr>
              <w:t>246.64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24BA5">
            <w:pPr>
              <w:jc w:val="center"/>
            </w:pPr>
            <w:r>
              <w:rPr>
                <w:rFonts w:ascii="宋体" w:hAnsi="宋体" w:eastAsia="宋体"/>
                <w:sz w:val="16"/>
              </w:rPr>
              <w:t>246.62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A86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E3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7C73">
            <w:pPr>
              <w:jc w:val="center"/>
            </w:pPr>
            <w:r>
              <w:rPr>
                <w:rFonts w:ascii="宋体" w:hAnsi="宋体" w:eastAsia="宋体"/>
                <w:sz w:val="16"/>
              </w:rPr>
              <w:t>—</w:t>
            </w:r>
          </w:p>
        </w:tc>
      </w:tr>
      <w:tr w14:paraId="775D6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888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981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AA2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27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B7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C2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AC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CB55">
            <w:pPr>
              <w:jc w:val="center"/>
            </w:pPr>
            <w:r>
              <w:rPr>
                <w:rFonts w:ascii="宋体" w:hAnsi="宋体" w:eastAsia="宋体"/>
                <w:sz w:val="16"/>
              </w:rPr>
              <w:t>—</w:t>
            </w:r>
          </w:p>
        </w:tc>
      </w:tr>
      <w:tr w14:paraId="556E03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835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30E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D54D8">
            <w:pPr>
              <w:jc w:val="center"/>
            </w:pPr>
            <w:r>
              <w:rPr>
                <w:rFonts w:ascii="宋体" w:hAnsi="宋体" w:eastAsia="宋体"/>
                <w:sz w:val="16"/>
              </w:rPr>
              <w:t>实际完成情况</w:t>
            </w:r>
          </w:p>
        </w:tc>
      </w:tr>
      <w:tr w14:paraId="0A637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86A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46535">
            <w:pPr>
              <w:jc w:val="both"/>
            </w:pPr>
            <w:r>
              <w:rPr>
                <w:rFonts w:ascii="宋体" w:hAnsi="宋体" w:eastAsia="宋体"/>
                <w:sz w:val="16"/>
              </w:rPr>
              <w:t>保障霍尔果斯市各联合楼内设备设施正常运转；保障各办公楼电费，水费、电梯维保等费用的支出；充分发挥和强化后勤部门的“参谋助手、协调枢纽、管理服务、后勤保障”等职能作用，更好地为干部职工提供全面、高效的优质服务，为机关工作的顺利开展发挥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160EA5">
            <w:pPr>
              <w:jc w:val="both"/>
            </w:pPr>
            <w:r>
              <w:rPr>
                <w:rFonts w:ascii="宋体" w:hAnsi="宋体" w:eastAsia="宋体"/>
                <w:sz w:val="16"/>
              </w:rPr>
              <w:t>支付水费、电费168.05元，专项业务费78.57元。保障霍尔果斯市各联合楼内设备设施正常运转以及电费，水费、电梯维保等费用的支出；为干部职工提供全面、高效的优质服务。</w:t>
            </w:r>
          </w:p>
        </w:tc>
      </w:tr>
      <w:tr w14:paraId="653493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D21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11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31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65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DF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7C0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139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A0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82C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5E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34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96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07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878F">
            <w:pPr>
              <w:jc w:val="center"/>
            </w:pPr>
            <w:r>
              <w:rPr>
                <w:rFonts w:ascii="宋体" w:hAnsi="宋体" w:eastAsia="宋体"/>
                <w:sz w:val="16"/>
              </w:rPr>
              <w:t>偏差原因分析及改进措施</w:t>
            </w:r>
          </w:p>
        </w:tc>
      </w:tr>
      <w:tr w14:paraId="56A38A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9CE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4D9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4F9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0DCC">
            <w:pPr>
              <w:jc w:val="center"/>
            </w:pPr>
            <w:r>
              <w:rPr>
                <w:rFonts w:ascii="宋体" w:hAnsi="宋体" w:eastAsia="宋体"/>
                <w:sz w:val="16"/>
              </w:rPr>
              <w:t>保障办公楼运行面积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C2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6017">
            <w:pPr>
              <w:jc w:val="center"/>
            </w:pPr>
            <w:r>
              <w:rPr>
                <w:rFonts w:ascii="宋体" w:hAnsi="宋体" w:eastAsia="宋体"/>
                <w:sz w:val="16"/>
              </w:rPr>
              <w:t>&gt;=65759平方米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1FD5">
            <w:pPr>
              <w:jc w:val="center"/>
            </w:pPr>
            <w:r>
              <w:rPr>
                <w:rFonts w:ascii="宋体" w:hAnsi="宋体" w:eastAsia="宋体"/>
                <w:sz w:val="16"/>
              </w:rPr>
              <w:t>65759平方米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0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88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3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641B">
            <w:pPr>
              <w:jc w:val="center"/>
            </w:pPr>
            <w:r>
              <w:rPr>
                <w:rFonts w:ascii="宋体" w:hAnsi="宋体" w:eastAsia="宋体"/>
                <w:sz w:val="16"/>
              </w:rPr>
              <w:t>=5759平方米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A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1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7FE9">
            <w:pPr>
              <w:jc w:val="center"/>
            </w:pPr>
          </w:p>
        </w:tc>
      </w:tr>
      <w:tr w14:paraId="468AC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D7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AD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9F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7DA2">
            <w:pPr>
              <w:jc w:val="center"/>
            </w:pPr>
            <w:r>
              <w:rPr>
                <w:rFonts w:ascii="宋体" w:hAnsi="宋体" w:eastAsia="宋体"/>
                <w:sz w:val="16"/>
              </w:rPr>
              <w:t>保障办公楼数量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7A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2DFF">
            <w:pPr>
              <w:jc w:val="center"/>
            </w:pPr>
            <w:r>
              <w:rPr>
                <w:rFonts w:ascii="宋体" w:hAnsi="宋体" w:eastAsia="宋体"/>
                <w:sz w:val="16"/>
              </w:rPr>
              <w:t>&gt;=8栋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C108">
            <w:pPr>
              <w:jc w:val="center"/>
            </w:pPr>
            <w:r>
              <w:rPr>
                <w:rFonts w:ascii="宋体" w:hAnsi="宋体" w:eastAsia="宋体"/>
                <w:sz w:val="16"/>
              </w:rPr>
              <w:t>8栋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5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77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2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1DD1">
            <w:pPr>
              <w:jc w:val="center"/>
            </w:pPr>
            <w:r>
              <w:rPr>
                <w:rFonts w:ascii="宋体" w:hAnsi="宋体" w:eastAsia="宋体"/>
                <w:sz w:val="16"/>
              </w:rPr>
              <w:t>=8栋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AE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2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C7B3">
            <w:pPr>
              <w:jc w:val="center"/>
            </w:pPr>
          </w:p>
        </w:tc>
      </w:tr>
      <w:tr w14:paraId="22D49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AC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18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94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DD3D">
            <w:pPr>
              <w:jc w:val="center"/>
            </w:pPr>
            <w:r>
              <w:rPr>
                <w:rFonts w:ascii="宋体" w:hAnsi="宋体" w:eastAsia="宋体"/>
                <w:sz w:val="16"/>
              </w:rPr>
              <w:t>办公楼正常运转率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3D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81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D3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8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AF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6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B5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D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21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3E0E">
            <w:pPr>
              <w:jc w:val="center"/>
            </w:pPr>
          </w:p>
        </w:tc>
      </w:tr>
      <w:tr w14:paraId="11E03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FC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B7F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57E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C85B">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C6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B8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B4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3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9C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9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B8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1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02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DDEC">
            <w:pPr>
              <w:jc w:val="center"/>
            </w:pPr>
          </w:p>
        </w:tc>
      </w:tr>
      <w:tr w14:paraId="048B2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57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36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C0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13AC">
            <w:pPr>
              <w:jc w:val="center"/>
            </w:pPr>
            <w:r>
              <w:rPr>
                <w:rFonts w:ascii="宋体" w:hAnsi="宋体" w:eastAsia="宋体"/>
                <w:sz w:val="16"/>
              </w:rPr>
              <w:t>维修维护响应时间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15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CD8B">
            <w:pPr>
              <w:jc w:val="center"/>
            </w:pPr>
            <w:r>
              <w:rPr>
                <w:rFonts w:ascii="宋体" w:hAnsi="宋体" w:eastAsia="宋体"/>
                <w:sz w:val="16"/>
              </w:rPr>
              <w:t>&lt;=0.50小时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DAC2">
            <w:pPr>
              <w:jc w:val="center"/>
            </w:pPr>
            <w:r>
              <w:rPr>
                <w:rFonts w:ascii="宋体" w:hAnsi="宋体" w:eastAsia="宋体"/>
                <w:sz w:val="16"/>
              </w:rPr>
              <w:t>0.5小时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8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6F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6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847D">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CF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B1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A4C7">
            <w:pPr>
              <w:jc w:val="center"/>
            </w:pPr>
          </w:p>
        </w:tc>
      </w:tr>
      <w:tr w14:paraId="5E0F3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5FC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1EF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5C5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093B">
            <w:pPr>
              <w:jc w:val="center"/>
            </w:pPr>
            <w:r>
              <w:rPr>
                <w:rFonts w:ascii="宋体" w:hAnsi="宋体" w:eastAsia="宋体"/>
                <w:sz w:val="16"/>
              </w:rPr>
              <w:t>维修维护费用支出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B9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3C97">
            <w:pPr>
              <w:jc w:val="center"/>
            </w:pPr>
            <w:r>
              <w:rPr>
                <w:rFonts w:ascii="宋体" w:hAnsi="宋体" w:eastAsia="宋体"/>
                <w:sz w:val="16"/>
              </w:rPr>
              <w:t>&lt;=78.57万元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9B40">
            <w:pPr>
              <w:jc w:val="center"/>
            </w:pPr>
            <w:r>
              <w:rPr>
                <w:rFonts w:ascii="宋体" w:hAnsi="宋体" w:eastAsia="宋体"/>
                <w:sz w:val="16"/>
              </w:rPr>
              <w:t>78.57万元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3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19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8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26ED">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5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D1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2B18">
            <w:pPr>
              <w:jc w:val="center"/>
            </w:pPr>
          </w:p>
        </w:tc>
      </w:tr>
      <w:tr w14:paraId="1F360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69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57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B5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A956">
            <w:pPr>
              <w:jc w:val="center"/>
            </w:pPr>
            <w:r>
              <w:rPr>
                <w:rFonts w:ascii="宋体" w:hAnsi="宋体" w:eastAsia="宋体"/>
                <w:sz w:val="16"/>
              </w:rPr>
              <w:t>水电费支出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4B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0EE9">
            <w:pPr>
              <w:jc w:val="center"/>
            </w:pPr>
            <w:r>
              <w:rPr>
                <w:rFonts w:ascii="宋体" w:hAnsi="宋体" w:eastAsia="宋体"/>
                <w:sz w:val="16"/>
              </w:rPr>
              <w:t>&lt;=168.07万元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3B53">
            <w:pPr>
              <w:jc w:val="center"/>
            </w:pPr>
            <w:r>
              <w:rPr>
                <w:rFonts w:ascii="宋体" w:hAnsi="宋体" w:eastAsia="宋体"/>
                <w:sz w:val="16"/>
              </w:rPr>
              <w:t>168.07万元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B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42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D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0790">
            <w:pPr>
              <w:jc w:val="center"/>
            </w:pPr>
            <w:r>
              <w:rPr>
                <w:rFonts w:ascii="宋体" w:hAnsi="宋体" w:eastAsia="宋体"/>
                <w:sz w:val="16"/>
              </w:rPr>
              <w:t>==185.05万元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DC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12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3B4E">
            <w:pPr>
              <w:jc w:val="center"/>
            </w:pPr>
          </w:p>
        </w:tc>
      </w:tr>
      <w:tr w14:paraId="5B665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63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2A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B4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10A5">
            <w:pPr>
              <w:jc w:val="center"/>
            </w:pPr>
            <w:r>
              <w:rPr>
                <w:rFonts w:ascii="宋体" w:hAnsi="宋体" w:eastAsia="宋体"/>
                <w:sz w:val="16"/>
              </w:rPr>
              <w:t>进一步提高机关服务中心管理水平和服务质量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55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518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5A62">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8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1D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B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BB0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1E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4B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F146">
            <w:pPr>
              <w:jc w:val="center"/>
            </w:pPr>
          </w:p>
        </w:tc>
      </w:tr>
      <w:tr w14:paraId="62D8E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63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0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95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A352">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80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67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F5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44C2">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9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5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D5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41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8E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6FB3">
            <w:pPr>
              <w:jc w:val="center"/>
            </w:pPr>
            <w:r>
              <w:rPr>
                <w:rFonts w:ascii="宋体" w:hAnsi="宋体" w:eastAsia="宋体"/>
                <w:sz w:val="16"/>
              </w:rPr>
              <w:t>人员满意度高</w:t>
            </w:r>
          </w:p>
        </w:tc>
      </w:tr>
      <w:tr w14:paraId="6A5DDC0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86C1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A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42A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D3E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6C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A79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A85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202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FBD6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3982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42482"/>
        </w:tc>
      </w:tr>
    </w:tbl>
    <w:p w14:paraId="0D1C25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7A336422">
        <w:tblPrEx>
          <w:tblCellMar>
            <w:top w:w="0" w:type="dxa"/>
            <w:left w:w="108" w:type="dxa"/>
            <w:bottom w:w="0" w:type="dxa"/>
            <w:right w:w="108" w:type="dxa"/>
          </w:tblCellMar>
        </w:tblPrEx>
        <w:tc>
          <w:tcPr>
            <w:tcW w:w="8848" w:type="dxa"/>
            <w:gridSpan w:val="14"/>
            <w:vAlign w:val="center"/>
          </w:tcPr>
          <w:p w14:paraId="289E162D">
            <w:pPr>
              <w:jc w:val="center"/>
            </w:pPr>
            <w:r>
              <w:rPr>
                <w:rFonts w:ascii="宋体" w:hAnsi="宋体" w:eastAsia="宋体"/>
                <w:sz w:val="24"/>
              </w:rPr>
              <w:t>项目支出绩效自评表</w:t>
            </w:r>
          </w:p>
        </w:tc>
      </w:tr>
      <w:tr w14:paraId="3AB30D15">
        <w:tblPrEx>
          <w:tblCellMar>
            <w:top w:w="0" w:type="dxa"/>
            <w:left w:w="108" w:type="dxa"/>
            <w:bottom w:w="0" w:type="dxa"/>
            <w:right w:w="108" w:type="dxa"/>
          </w:tblCellMar>
        </w:tblPrEx>
        <w:tc>
          <w:tcPr>
            <w:tcW w:w="8848" w:type="dxa"/>
            <w:gridSpan w:val="14"/>
            <w:vAlign w:val="center"/>
          </w:tcPr>
          <w:p w14:paraId="33FC95BF">
            <w:pPr>
              <w:jc w:val="center"/>
            </w:pPr>
            <w:r>
              <w:rPr>
                <w:rFonts w:ascii="宋体" w:hAnsi="宋体" w:eastAsia="宋体"/>
                <w:sz w:val="24"/>
              </w:rPr>
              <w:t>(2024年度)</w:t>
            </w:r>
          </w:p>
        </w:tc>
      </w:tr>
      <w:tr w14:paraId="4E4E93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19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EC4416">
            <w:pPr>
              <w:jc w:val="center"/>
            </w:pPr>
            <w:r>
              <w:rPr>
                <w:rFonts w:ascii="宋体" w:hAnsi="宋体" w:eastAsia="宋体"/>
                <w:sz w:val="16"/>
              </w:rPr>
              <w:t>2024年职工食堂补助</w:t>
            </w:r>
          </w:p>
        </w:tc>
      </w:tr>
      <w:tr w14:paraId="3367C2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57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8463F">
            <w:pPr>
              <w:jc w:val="center"/>
            </w:pPr>
            <w:r>
              <w:rPr>
                <w:rFonts w:ascii="宋体" w:hAnsi="宋体" w:eastAsia="宋体"/>
                <w:sz w:val="16"/>
              </w:rPr>
              <w:t>霍尔果斯口岸机关服务中心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4F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040084">
            <w:pPr>
              <w:jc w:val="center"/>
            </w:pPr>
            <w:r>
              <w:rPr>
                <w:rFonts w:ascii="宋体" w:hAnsi="宋体" w:eastAsia="宋体"/>
                <w:sz w:val="16"/>
              </w:rPr>
              <w:t>霍尔果斯口岸机关服务中心</w:t>
            </w:r>
          </w:p>
        </w:tc>
      </w:tr>
      <w:tr w14:paraId="00C17E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1630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9DA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95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60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ECB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300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552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3EE5">
            <w:pPr>
              <w:jc w:val="center"/>
            </w:pPr>
            <w:r>
              <w:rPr>
                <w:rFonts w:ascii="宋体" w:hAnsi="宋体" w:eastAsia="宋体"/>
                <w:sz w:val="16"/>
              </w:rPr>
              <w:t>得分</w:t>
            </w:r>
          </w:p>
        </w:tc>
      </w:tr>
      <w:tr w14:paraId="7FD8B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9DD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11A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A3A8D">
            <w:pPr>
              <w:jc w:val="center"/>
            </w:pPr>
            <w:r>
              <w:rPr>
                <w:rFonts w:ascii="宋体" w:hAnsi="宋体" w:eastAsia="宋体"/>
                <w:sz w:val="16"/>
              </w:rPr>
              <w:t>211.20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8712F">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AEF32">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B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C20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A00C">
            <w:pPr>
              <w:jc w:val="center"/>
            </w:pPr>
            <w:r>
              <w:rPr>
                <w:rFonts w:ascii="宋体" w:hAnsi="宋体" w:eastAsia="宋体"/>
                <w:sz w:val="16"/>
              </w:rPr>
              <w:t>10.00</w:t>
            </w:r>
          </w:p>
        </w:tc>
      </w:tr>
      <w:tr w14:paraId="173F5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DED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C43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9BB7">
            <w:pPr>
              <w:jc w:val="center"/>
            </w:pPr>
            <w:r>
              <w:rPr>
                <w:rFonts w:ascii="宋体" w:hAnsi="宋体" w:eastAsia="宋体"/>
                <w:sz w:val="16"/>
              </w:rPr>
              <w:t>211.20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40357">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DDB2E">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D15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DF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A6A0">
            <w:pPr>
              <w:jc w:val="center"/>
            </w:pPr>
            <w:r>
              <w:rPr>
                <w:rFonts w:ascii="宋体" w:hAnsi="宋体" w:eastAsia="宋体"/>
                <w:sz w:val="16"/>
              </w:rPr>
              <w:t>—</w:t>
            </w:r>
          </w:p>
        </w:tc>
      </w:tr>
      <w:tr w14:paraId="583FC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99D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8B6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623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90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ED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57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4B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AC4C">
            <w:pPr>
              <w:jc w:val="center"/>
            </w:pPr>
            <w:r>
              <w:rPr>
                <w:rFonts w:ascii="宋体" w:hAnsi="宋体" w:eastAsia="宋体"/>
                <w:sz w:val="16"/>
              </w:rPr>
              <w:t>—</w:t>
            </w:r>
          </w:p>
        </w:tc>
      </w:tr>
      <w:tr w14:paraId="30CCED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C324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27B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D53574">
            <w:pPr>
              <w:jc w:val="center"/>
            </w:pPr>
            <w:r>
              <w:rPr>
                <w:rFonts w:ascii="宋体" w:hAnsi="宋体" w:eastAsia="宋体"/>
                <w:sz w:val="16"/>
              </w:rPr>
              <w:t>实际完成情况</w:t>
            </w:r>
          </w:p>
        </w:tc>
      </w:tr>
      <w:tr w14:paraId="19F7C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262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33D06">
            <w:pPr>
              <w:jc w:val="both"/>
            </w:pPr>
            <w:r>
              <w:rPr>
                <w:rFonts w:ascii="宋体" w:hAnsi="宋体" w:eastAsia="宋体"/>
                <w:sz w:val="16"/>
              </w:rPr>
              <w:t>为保障霍尔果斯市各联合办公楼工作人员饮食条件安全可靠，为他们提供良好的用餐环境，让工作人员能全身心投入工作，开展工作，更好</w:t>
            </w:r>
            <w:r>
              <w:rPr>
                <w:rFonts w:hint="eastAsia" w:ascii="宋体" w:hAnsi="宋体"/>
                <w:sz w:val="16"/>
                <w:lang w:eastAsia="zh-CN"/>
              </w:rPr>
              <w:t>地</w:t>
            </w:r>
            <w:r>
              <w:rPr>
                <w:rFonts w:ascii="宋体" w:hAnsi="宋体" w:eastAsia="宋体"/>
                <w:sz w:val="16"/>
              </w:rPr>
              <w:t>帮助群众解决他们的问题。机关服务中心设立老市委职工食堂，大约可为500位干部职工解决就餐问题。每周会合理安排食谱，就餐方式人性化，采用全自助模式，员工可根据个人口味进行就餐。掌握每日就餐人数对米面油、蔬菜、水果、副食品等物资按需进行订购，并核算成本费用，做好供货商费用支付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7E5239">
            <w:pPr>
              <w:jc w:val="both"/>
            </w:pPr>
            <w:r>
              <w:rPr>
                <w:rFonts w:ascii="宋体" w:hAnsi="宋体" w:eastAsia="宋体"/>
                <w:sz w:val="16"/>
              </w:rPr>
              <w:t>保障霍尔果斯市各联合办公楼工作人员饮食条件安全可靠，提供良好的用餐环境，职工食堂为500位干部职工解决就餐问题。每周合理安排食谱，就餐方式人性化，采用全自助模式，员工可根据个人口味进行就餐。每日就餐人数对米面油、蔬菜、水果、副食品等物资按需进行订购，并核算成本费用，完成供货商费用支付工作。</w:t>
            </w:r>
          </w:p>
        </w:tc>
      </w:tr>
      <w:tr w14:paraId="502C37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F63A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83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95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F1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1C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E99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24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22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E46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C9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01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A1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3D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3B9A">
            <w:pPr>
              <w:jc w:val="center"/>
            </w:pPr>
            <w:r>
              <w:rPr>
                <w:rFonts w:ascii="宋体" w:hAnsi="宋体" w:eastAsia="宋体"/>
                <w:sz w:val="16"/>
              </w:rPr>
              <w:t>偏差原因分析及改进措施</w:t>
            </w:r>
          </w:p>
        </w:tc>
      </w:tr>
      <w:tr w14:paraId="4A554C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0E1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CCD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9F6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3178">
            <w:pPr>
              <w:jc w:val="center"/>
            </w:pPr>
            <w:r>
              <w:rPr>
                <w:rFonts w:ascii="宋体" w:hAnsi="宋体" w:eastAsia="宋体"/>
                <w:sz w:val="16"/>
              </w:rPr>
              <w:t>食堂就餐人数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C0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961D">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ADF9">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3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65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13B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799B">
            <w:pPr>
              <w:jc w:val="center"/>
            </w:pPr>
            <w:r>
              <w:rPr>
                <w:rFonts w:ascii="宋体" w:hAnsi="宋体" w:eastAsia="宋体"/>
                <w:sz w:val="16"/>
              </w:rPr>
              <w: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6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6C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AFF1">
            <w:pPr>
              <w:jc w:val="center"/>
            </w:pPr>
          </w:p>
        </w:tc>
      </w:tr>
      <w:tr w14:paraId="2B333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8E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A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F3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A9BE">
            <w:pPr>
              <w:jc w:val="center"/>
            </w:pPr>
            <w:r>
              <w:rPr>
                <w:rFonts w:ascii="宋体" w:hAnsi="宋体" w:eastAsia="宋体"/>
                <w:sz w:val="16"/>
              </w:rPr>
              <w:t>食堂就餐月数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C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9CC2">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A2F4">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C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1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260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2593">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E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0C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610A">
            <w:pPr>
              <w:jc w:val="center"/>
            </w:pPr>
          </w:p>
        </w:tc>
      </w:tr>
      <w:tr w14:paraId="6F7D1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C3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90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7E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8E78">
            <w:pPr>
              <w:jc w:val="center"/>
            </w:pPr>
            <w:r>
              <w:rPr>
                <w:rFonts w:ascii="宋体" w:hAnsi="宋体" w:eastAsia="宋体"/>
                <w:sz w:val="16"/>
              </w:rPr>
              <w:t>开展食堂专项检查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07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A8D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00F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6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7D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F09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2DF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4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E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30E3">
            <w:pPr>
              <w:jc w:val="center"/>
            </w:pPr>
          </w:p>
        </w:tc>
      </w:tr>
      <w:tr w14:paraId="24B3E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6B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9C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8D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C41F">
            <w:pPr>
              <w:jc w:val="center"/>
            </w:pPr>
            <w:r>
              <w:rPr>
                <w:rFonts w:ascii="宋体" w:hAnsi="宋体" w:eastAsia="宋体"/>
                <w:sz w:val="16"/>
              </w:rPr>
              <w:t>重大食品安全事故发生率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E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2276">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0D0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2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0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4AB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3581">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0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B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3406">
            <w:pPr>
              <w:jc w:val="center"/>
            </w:pPr>
          </w:p>
        </w:tc>
      </w:tr>
      <w:tr w14:paraId="06173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22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3D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8B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A452">
            <w:pPr>
              <w:jc w:val="center"/>
            </w:pPr>
            <w:r>
              <w:rPr>
                <w:rFonts w:ascii="宋体" w:hAnsi="宋体" w:eastAsia="宋体"/>
                <w:sz w:val="16"/>
              </w:rPr>
              <w:t>补助支付及时率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EA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0E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73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8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4B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E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07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C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64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107D">
            <w:pPr>
              <w:jc w:val="center"/>
            </w:pPr>
          </w:p>
        </w:tc>
      </w:tr>
      <w:tr w14:paraId="2CD90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F1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4F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A3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EB05">
            <w:pPr>
              <w:jc w:val="center"/>
            </w:pPr>
            <w:r>
              <w:rPr>
                <w:rFonts w:ascii="宋体" w:hAnsi="宋体" w:eastAsia="宋体"/>
                <w:sz w:val="16"/>
              </w:rPr>
              <w:t>职工食堂平均每月供餐成本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F4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364A">
            <w:pPr>
              <w:jc w:val="center"/>
            </w:pPr>
            <w:r>
              <w:rPr>
                <w:rFonts w:ascii="宋体" w:hAnsi="宋体" w:eastAsia="宋体"/>
                <w:sz w:val="16"/>
              </w:rPr>
              <w:t>&lt;=37.5万元/月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0CC7">
            <w:pPr>
              <w:jc w:val="center"/>
            </w:pPr>
            <w:r>
              <w:rPr>
                <w:rFonts w:ascii="宋体" w:hAnsi="宋体" w:eastAsia="宋体"/>
                <w:sz w:val="16"/>
              </w:rPr>
              <w:t>37.5万元/月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7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45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F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2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3F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9B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F1BD">
            <w:pPr>
              <w:jc w:val="center"/>
            </w:pPr>
          </w:p>
        </w:tc>
      </w:tr>
      <w:tr w14:paraId="14FA7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55B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E9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C2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FE01">
            <w:pPr>
              <w:jc w:val="center"/>
            </w:pPr>
            <w:r>
              <w:rPr>
                <w:rFonts w:ascii="宋体" w:hAnsi="宋体" w:eastAsia="宋体"/>
                <w:sz w:val="16"/>
              </w:rPr>
              <w:t>有效解决干部职工就餐问题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20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CA5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FD3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6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1B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E3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4BB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E6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9B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0086">
            <w:pPr>
              <w:jc w:val="center"/>
            </w:pPr>
          </w:p>
        </w:tc>
      </w:tr>
      <w:tr w14:paraId="0F4C8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94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D8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2F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EB67">
            <w:pPr>
              <w:jc w:val="center"/>
            </w:pPr>
            <w:r>
              <w:rPr>
                <w:rFonts w:ascii="宋体" w:hAnsi="宋体" w:eastAsia="宋体"/>
                <w:sz w:val="16"/>
              </w:rPr>
              <w:t>就餐人员满意度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4F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5D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2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E047">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2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B85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7A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FB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B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91DD">
            <w:pPr>
              <w:jc w:val="center"/>
            </w:pPr>
            <w:r>
              <w:rPr>
                <w:rFonts w:ascii="宋体" w:hAnsi="宋体" w:eastAsia="宋体"/>
                <w:sz w:val="16"/>
              </w:rPr>
              <w:t>食堂就餐人员满意度高</w:t>
            </w:r>
          </w:p>
        </w:tc>
      </w:tr>
      <w:tr w14:paraId="47D6E0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97C7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7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A6B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B97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93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CB6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C01F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D44D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213F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87E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E20FCD"/>
        </w:tc>
      </w:tr>
    </w:tbl>
    <w:p w14:paraId="6B3C55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120288DF">
        <w:tblPrEx>
          <w:tblCellMar>
            <w:top w:w="0" w:type="dxa"/>
            <w:left w:w="108" w:type="dxa"/>
            <w:bottom w:w="0" w:type="dxa"/>
            <w:right w:w="108" w:type="dxa"/>
          </w:tblCellMar>
        </w:tblPrEx>
        <w:tc>
          <w:tcPr>
            <w:tcW w:w="8848" w:type="dxa"/>
            <w:gridSpan w:val="14"/>
            <w:vAlign w:val="center"/>
          </w:tcPr>
          <w:p w14:paraId="1F9526D9">
            <w:pPr>
              <w:jc w:val="center"/>
            </w:pPr>
            <w:r>
              <w:rPr>
                <w:rFonts w:ascii="宋体" w:hAnsi="宋体" w:eastAsia="宋体"/>
                <w:sz w:val="24"/>
              </w:rPr>
              <w:t>项目支出绩效自评表</w:t>
            </w:r>
          </w:p>
        </w:tc>
      </w:tr>
      <w:tr w14:paraId="7D3BAE71">
        <w:tblPrEx>
          <w:tblCellMar>
            <w:top w:w="0" w:type="dxa"/>
            <w:left w:w="108" w:type="dxa"/>
            <w:bottom w:w="0" w:type="dxa"/>
            <w:right w:w="108" w:type="dxa"/>
          </w:tblCellMar>
        </w:tblPrEx>
        <w:tc>
          <w:tcPr>
            <w:tcW w:w="8848" w:type="dxa"/>
            <w:gridSpan w:val="14"/>
            <w:vAlign w:val="center"/>
          </w:tcPr>
          <w:p w14:paraId="4C70EA99">
            <w:pPr>
              <w:jc w:val="center"/>
            </w:pPr>
            <w:r>
              <w:rPr>
                <w:rFonts w:ascii="宋体" w:hAnsi="宋体" w:eastAsia="宋体"/>
                <w:sz w:val="24"/>
              </w:rPr>
              <w:t>(2024年度)</w:t>
            </w:r>
          </w:p>
        </w:tc>
      </w:tr>
      <w:tr w14:paraId="6463D2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E4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1988B9">
            <w:pPr>
              <w:jc w:val="center"/>
            </w:pPr>
            <w:r>
              <w:rPr>
                <w:rFonts w:ascii="宋体" w:hAnsi="宋体" w:eastAsia="宋体"/>
                <w:sz w:val="16"/>
              </w:rPr>
              <w:t>六代国门及援疆楼保安保洁工资</w:t>
            </w:r>
          </w:p>
        </w:tc>
      </w:tr>
      <w:tr w14:paraId="62DC29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F3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23A9A5">
            <w:pPr>
              <w:jc w:val="center"/>
            </w:pPr>
            <w:r>
              <w:rPr>
                <w:rFonts w:ascii="宋体" w:hAnsi="宋体" w:eastAsia="宋体"/>
                <w:sz w:val="16"/>
              </w:rPr>
              <w:t>霍尔果斯口岸机关服务中心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FE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A0CFF0">
            <w:pPr>
              <w:jc w:val="center"/>
            </w:pPr>
            <w:r>
              <w:rPr>
                <w:rFonts w:ascii="宋体" w:hAnsi="宋体" w:eastAsia="宋体"/>
                <w:sz w:val="16"/>
              </w:rPr>
              <w:t>霍尔果斯口岸机关服务中心</w:t>
            </w:r>
          </w:p>
        </w:tc>
      </w:tr>
      <w:tr w14:paraId="616921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DBB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58F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608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74E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E8F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FD9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AA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E3D6">
            <w:pPr>
              <w:jc w:val="center"/>
            </w:pPr>
            <w:r>
              <w:rPr>
                <w:rFonts w:ascii="宋体" w:hAnsi="宋体" w:eastAsia="宋体"/>
                <w:sz w:val="16"/>
              </w:rPr>
              <w:t>得分</w:t>
            </w:r>
          </w:p>
        </w:tc>
      </w:tr>
      <w:tr w14:paraId="56503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8D4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BD9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49E9">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7343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92693">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247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79E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9F0D">
            <w:pPr>
              <w:jc w:val="center"/>
            </w:pPr>
            <w:r>
              <w:rPr>
                <w:rFonts w:ascii="宋体" w:hAnsi="宋体" w:eastAsia="宋体"/>
                <w:sz w:val="16"/>
              </w:rPr>
              <w:t>10.00</w:t>
            </w:r>
          </w:p>
        </w:tc>
      </w:tr>
      <w:tr w14:paraId="05249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D01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257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2354">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6BCA9">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AF88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943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5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DF36">
            <w:pPr>
              <w:jc w:val="center"/>
            </w:pPr>
            <w:r>
              <w:rPr>
                <w:rFonts w:ascii="宋体" w:hAnsi="宋体" w:eastAsia="宋体"/>
                <w:sz w:val="16"/>
              </w:rPr>
              <w:t>—</w:t>
            </w:r>
          </w:p>
        </w:tc>
      </w:tr>
      <w:tr w14:paraId="2BDA9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50D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A88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C40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C8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49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878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45B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E4E6">
            <w:pPr>
              <w:jc w:val="center"/>
            </w:pPr>
            <w:r>
              <w:rPr>
                <w:rFonts w:ascii="宋体" w:hAnsi="宋体" w:eastAsia="宋体"/>
                <w:sz w:val="16"/>
              </w:rPr>
              <w:t>—</w:t>
            </w:r>
          </w:p>
        </w:tc>
      </w:tr>
      <w:tr w14:paraId="012DBD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E1DE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C3B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39167">
            <w:pPr>
              <w:jc w:val="center"/>
            </w:pPr>
            <w:r>
              <w:rPr>
                <w:rFonts w:ascii="宋体" w:hAnsi="宋体" w:eastAsia="宋体"/>
                <w:sz w:val="16"/>
              </w:rPr>
              <w:t>实际完成情况</w:t>
            </w:r>
          </w:p>
        </w:tc>
      </w:tr>
      <w:tr w14:paraId="00447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85F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8FB179">
            <w:pPr>
              <w:jc w:val="both"/>
            </w:pPr>
            <w:r>
              <w:rPr>
                <w:rFonts w:ascii="宋体" w:hAnsi="宋体" w:eastAsia="宋体"/>
                <w:sz w:val="16"/>
              </w:rPr>
              <w:t>为了保障霍尔果斯市第六代国门一期办公楼及援疆楼区域内的安保和环境卫生工作，</w:t>
            </w:r>
            <w:r>
              <w:rPr>
                <w:rFonts w:hint="eastAsia" w:ascii="宋体" w:hAnsi="宋体"/>
                <w:sz w:val="16"/>
                <w:lang w:eastAsia="zh-CN"/>
              </w:rPr>
              <w:t>本单位</w:t>
            </w:r>
            <w:r>
              <w:rPr>
                <w:rFonts w:ascii="宋体" w:hAnsi="宋体" w:eastAsia="宋体"/>
                <w:sz w:val="16"/>
              </w:rPr>
              <w:t>共安排12名工作人员。其中聘用保安人员6人，聘用保洁人员6人，每人每年工资标准为5万元。</w:t>
            </w:r>
            <w:r>
              <w:rPr>
                <w:rFonts w:hint="eastAsia" w:ascii="宋体" w:hAnsi="宋体"/>
                <w:sz w:val="16"/>
                <w:lang w:eastAsia="zh-CN"/>
              </w:rPr>
              <w:t>本单位</w:t>
            </w:r>
            <w:r>
              <w:rPr>
                <w:rFonts w:ascii="宋体" w:hAnsi="宋体" w:eastAsia="宋体"/>
                <w:sz w:val="16"/>
              </w:rPr>
              <w:t>保证按时足额将工资发放到聘用人员手中，以确保聘用人员高效及时</w:t>
            </w:r>
            <w:r>
              <w:rPr>
                <w:rFonts w:hint="eastAsia" w:ascii="宋体" w:hAnsi="宋体"/>
                <w:sz w:val="16"/>
                <w:lang w:eastAsia="zh-CN"/>
              </w:rPr>
              <w:t>地</w:t>
            </w:r>
            <w:r>
              <w:rPr>
                <w:rFonts w:ascii="宋体" w:hAnsi="宋体" w:eastAsia="宋体"/>
                <w:sz w:val="16"/>
              </w:rPr>
              <w:t>开展工作，更好地为第六代国门办公楼的工作人员提供高效优质的服务。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1DE421">
            <w:pPr>
              <w:jc w:val="both"/>
            </w:pPr>
            <w:r>
              <w:rPr>
                <w:rFonts w:hint="eastAsia" w:ascii="宋体" w:hAnsi="宋体"/>
                <w:sz w:val="16"/>
                <w:lang w:eastAsia="zh-CN"/>
              </w:rPr>
              <w:t>本单位</w:t>
            </w:r>
            <w:r>
              <w:rPr>
                <w:rFonts w:ascii="宋体" w:hAnsi="宋体" w:eastAsia="宋体"/>
                <w:sz w:val="16"/>
              </w:rPr>
              <w:t>共安排12名工作人员。其中聘用保安人员6人，聘用保洁人员6人，每人每年工资标准为5万元。</w:t>
            </w:r>
            <w:r>
              <w:rPr>
                <w:rFonts w:hint="eastAsia" w:ascii="宋体" w:hAnsi="宋体"/>
                <w:sz w:val="16"/>
                <w:lang w:eastAsia="zh-CN"/>
              </w:rPr>
              <w:t>本单位</w:t>
            </w:r>
            <w:r>
              <w:rPr>
                <w:rFonts w:ascii="宋体" w:hAnsi="宋体" w:eastAsia="宋体"/>
                <w:sz w:val="16"/>
              </w:rPr>
              <w:t>保证按时足额将工资发放到聘用人员手中，以确保聘用人员高效及时</w:t>
            </w:r>
            <w:r>
              <w:rPr>
                <w:rFonts w:hint="eastAsia" w:ascii="宋体" w:hAnsi="宋体"/>
                <w:sz w:val="16"/>
                <w:lang w:eastAsia="zh-CN"/>
              </w:rPr>
              <w:t>地</w:t>
            </w:r>
            <w:r>
              <w:rPr>
                <w:rFonts w:ascii="宋体" w:hAnsi="宋体" w:eastAsia="宋体"/>
                <w:sz w:val="16"/>
              </w:rPr>
              <w:t>开展工作，更好地为第六代国门一期办公楼及援疆楼的工作人员提供高效优质的服务。</w:t>
            </w:r>
          </w:p>
        </w:tc>
      </w:tr>
      <w:tr w14:paraId="29738A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E4E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E8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96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9F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AA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C28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F62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B8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EAA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D1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B0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BD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63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99A0">
            <w:pPr>
              <w:jc w:val="center"/>
            </w:pPr>
            <w:r>
              <w:rPr>
                <w:rFonts w:ascii="宋体" w:hAnsi="宋体" w:eastAsia="宋体"/>
                <w:sz w:val="16"/>
              </w:rPr>
              <w:t>偏差原因分析及改进措施</w:t>
            </w:r>
          </w:p>
        </w:tc>
      </w:tr>
      <w:tr w14:paraId="20B17A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C8B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FB7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682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2CDD">
            <w:pPr>
              <w:jc w:val="center"/>
            </w:pPr>
            <w:r>
              <w:rPr>
                <w:rFonts w:ascii="宋体" w:hAnsi="宋体" w:eastAsia="宋体"/>
                <w:sz w:val="16"/>
              </w:rPr>
              <w:t>聘用保洁人数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F1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3C85">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753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4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F5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3A4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EB09">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0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BA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2E41">
            <w:pPr>
              <w:jc w:val="center"/>
            </w:pPr>
          </w:p>
        </w:tc>
      </w:tr>
      <w:tr w14:paraId="705B8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74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6A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CC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EFB7">
            <w:pPr>
              <w:jc w:val="center"/>
            </w:pPr>
            <w:r>
              <w:rPr>
                <w:rFonts w:ascii="宋体" w:hAnsi="宋体" w:eastAsia="宋体"/>
                <w:sz w:val="16"/>
              </w:rPr>
              <w:t>聘用保安人数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2F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5196">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41F4">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4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D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8A4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B970">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6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4F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B812">
            <w:pPr>
              <w:jc w:val="center"/>
            </w:pPr>
          </w:p>
        </w:tc>
      </w:tr>
      <w:tr w14:paraId="49D79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72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56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E6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D7A6">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A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868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10A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1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D5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8F3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9F3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F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F1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E456">
            <w:pPr>
              <w:jc w:val="center"/>
            </w:pPr>
          </w:p>
        </w:tc>
      </w:tr>
      <w:tr w14:paraId="34527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88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AA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87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AE40">
            <w:pPr>
              <w:jc w:val="center"/>
            </w:pPr>
            <w:r>
              <w:rPr>
                <w:rFonts w:ascii="宋体" w:hAnsi="宋体" w:eastAsia="宋体"/>
                <w:sz w:val="16"/>
              </w:rPr>
              <w:t>确保人员工资正常发放准确率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7E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92A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5B9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B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31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C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0C2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5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E9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83A4">
            <w:pPr>
              <w:jc w:val="center"/>
            </w:pPr>
          </w:p>
        </w:tc>
      </w:tr>
      <w:tr w14:paraId="3DF12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67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37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98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6519">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E3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2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9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03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C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2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1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A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03ED">
            <w:pPr>
              <w:jc w:val="center"/>
            </w:pPr>
          </w:p>
        </w:tc>
      </w:tr>
      <w:tr w14:paraId="5FBE1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C9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06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91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825B">
            <w:pPr>
              <w:jc w:val="center"/>
            </w:pPr>
            <w:r>
              <w:rPr>
                <w:rFonts w:ascii="宋体" w:hAnsi="宋体" w:eastAsia="宋体"/>
                <w:sz w:val="16"/>
              </w:rPr>
              <w:t>每人每年工资成本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EB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A0C7">
            <w:pPr>
              <w:jc w:val="center"/>
            </w:pPr>
            <w:r>
              <w:rPr>
                <w:rFonts w:ascii="宋体" w:hAnsi="宋体" w:eastAsia="宋体"/>
                <w:sz w:val="16"/>
              </w:rPr>
              <w:t>&lt;=5万元/人/年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1DD6">
            <w:pPr>
              <w:jc w:val="center"/>
            </w:pPr>
            <w:r>
              <w:rPr>
                <w:rFonts w:ascii="宋体" w:hAnsi="宋体" w:eastAsia="宋体"/>
                <w:sz w:val="16"/>
              </w:rPr>
              <w:t>5万元/人/年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2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52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9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E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16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75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A0BE">
            <w:pPr>
              <w:jc w:val="center"/>
            </w:pPr>
          </w:p>
        </w:tc>
      </w:tr>
      <w:tr w14:paraId="51852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13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64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4A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C2E0">
            <w:pPr>
              <w:jc w:val="center"/>
            </w:pPr>
            <w:r>
              <w:rPr>
                <w:rFonts w:ascii="宋体" w:hAnsi="宋体" w:eastAsia="宋体"/>
                <w:sz w:val="16"/>
              </w:rPr>
              <w:t>进一步提高机关服务中心管理水平和服务质量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15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5905">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D63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C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65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B79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ACA2">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34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2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FC7B">
            <w:pPr>
              <w:jc w:val="center"/>
            </w:pPr>
          </w:p>
        </w:tc>
      </w:tr>
      <w:tr w14:paraId="64272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05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AB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A1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BF01">
            <w:pPr>
              <w:jc w:val="center"/>
            </w:pPr>
            <w:r>
              <w:rPr>
                <w:rFonts w:ascii="宋体" w:hAnsi="宋体" w:eastAsia="宋体"/>
                <w:sz w:val="16"/>
              </w:rPr>
              <w:t>保安及保洁满意度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4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D0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8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ABFA">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6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8F6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71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6E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30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9BE3">
            <w:pPr>
              <w:jc w:val="center"/>
            </w:pPr>
            <w:r>
              <w:rPr>
                <w:rFonts w:ascii="宋体" w:hAnsi="宋体" w:eastAsia="宋体"/>
                <w:sz w:val="16"/>
              </w:rPr>
              <w:t>保安保洁人员满意度高</w:t>
            </w:r>
          </w:p>
        </w:tc>
      </w:tr>
      <w:tr w14:paraId="5D41D7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2EFC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8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0E5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D96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B0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41E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39AE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C01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635F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F93A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0A904"/>
        </w:tc>
      </w:tr>
    </w:tbl>
    <w:p w14:paraId="2C8481DE">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2"/>
        <w:gridCol w:w="625"/>
        <w:gridCol w:w="776"/>
        <w:gridCol w:w="631"/>
        <w:gridCol w:w="776"/>
        <w:gridCol w:w="625"/>
        <w:gridCol w:w="622"/>
        <w:gridCol w:w="631"/>
        <w:gridCol w:w="624"/>
        <w:gridCol w:w="624"/>
        <w:gridCol w:w="632"/>
      </w:tblGrid>
      <w:tr w14:paraId="3624737B">
        <w:tblPrEx>
          <w:tblCellMar>
            <w:top w:w="0" w:type="dxa"/>
            <w:left w:w="108" w:type="dxa"/>
            <w:bottom w:w="0" w:type="dxa"/>
            <w:right w:w="108" w:type="dxa"/>
          </w:tblCellMar>
        </w:tblPrEx>
        <w:tc>
          <w:tcPr>
            <w:tcW w:w="8848" w:type="dxa"/>
            <w:gridSpan w:val="14"/>
            <w:vAlign w:val="center"/>
          </w:tcPr>
          <w:p w14:paraId="0621503B">
            <w:pPr>
              <w:jc w:val="center"/>
            </w:pPr>
            <w:r>
              <w:rPr>
                <w:rFonts w:ascii="宋体" w:hAnsi="宋体" w:eastAsia="宋体"/>
                <w:sz w:val="24"/>
              </w:rPr>
              <w:t>项目支出绩效自评表</w:t>
            </w:r>
          </w:p>
        </w:tc>
      </w:tr>
      <w:tr w14:paraId="2C269A6F">
        <w:tblPrEx>
          <w:tblCellMar>
            <w:top w:w="0" w:type="dxa"/>
            <w:left w:w="108" w:type="dxa"/>
            <w:bottom w:w="0" w:type="dxa"/>
            <w:right w:w="108" w:type="dxa"/>
          </w:tblCellMar>
        </w:tblPrEx>
        <w:tc>
          <w:tcPr>
            <w:tcW w:w="8848" w:type="dxa"/>
            <w:gridSpan w:val="14"/>
            <w:vAlign w:val="center"/>
          </w:tcPr>
          <w:p w14:paraId="397819D6">
            <w:pPr>
              <w:jc w:val="center"/>
            </w:pPr>
            <w:r>
              <w:rPr>
                <w:rFonts w:ascii="宋体" w:hAnsi="宋体" w:eastAsia="宋体"/>
                <w:sz w:val="24"/>
              </w:rPr>
              <w:t>(2024年度)</w:t>
            </w:r>
          </w:p>
        </w:tc>
      </w:tr>
      <w:tr w14:paraId="7CDEFE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55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D89FA5">
            <w:pPr>
              <w:jc w:val="center"/>
            </w:pPr>
            <w:r>
              <w:rPr>
                <w:rFonts w:ascii="宋体" w:hAnsi="宋体" w:eastAsia="宋体"/>
                <w:sz w:val="16"/>
              </w:rPr>
              <w:t>机关服务中心后勤人员工资</w:t>
            </w:r>
          </w:p>
        </w:tc>
      </w:tr>
      <w:tr w14:paraId="5313DF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2A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83C57">
            <w:pPr>
              <w:jc w:val="center"/>
            </w:pPr>
            <w:r>
              <w:rPr>
                <w:rFonts w:ascii="宋体" w:hAnsi="宋体" w:eastAsia="宋体"/>
                <w:sz w:val="16"/>
              </w:rPr>
              <w:t>霍尔果斯口岸机关服务中心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F6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DCD3A8">
            <w:pPr>
              <w:jc w:val="center"/>
            </w:pPr>
            <w:r>
              <w:rPr>
                <w:rFonts w:ascii="宋体" w:hAnsi="宋体" w:eastAsia="宋体"/>
                <w:sz w:val="16"/>
              </w:rPr>
              <w:t>霍尔果斯口岸机关服务中心</w:t>
            </w:r>
          </w:p>
        </w:tc>
      </w:tr>
      <w:tr w14:paraId="0D37CD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F43E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69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C4B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272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BC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3EF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90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3C91">
            <w:pPr>
              <w:jc w:val="center"/>
            </w:pPr>
            <w:r>
              <w:rPr>
                <w:rFonts w:ascii="宋体" w:hAnsi="宋体" w:eastAsia="宋体"/>
                <w:sz w:val="16"/>
              </w:rPr>
              <w:t>得分</w:t>
            </w:r>
          </w:p>
        </w:tc>
      </w:tr>
      <w:tr w14:paraId="731A1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70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9B6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4614A">
            <w:pPr>
              <w:jc w:val="center"/>
            </w:pPr>
            <w:r>
              <w:rPr>
                <w:rFonts w:ascii="宋体" w:hAnsi="宋体" w:eastAsia="宋体"/>
                <w:sz w:val="16"/>
              </w:rPr>
              <w:t>224.14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0C4F1">
            <w:pPr>
              <w:jc w:val="center"/>
            </w:pPr>
            <w:r>
              <w:rPr>
                <w:rFonts w:ascii="宋体" w:hAnsi="宋体" w:eastAsia="宋体"/>
                <w:sz w:val="16"/>
              </w:rPr>
              <w:t>282.07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653F5">
            <w:pPr>
              <w:jc w:val="center"/>
            </w:pPr>
            <w:r>
              <w:rPr>
                <w:rFonts w:ascii="宋体" w:hAnsi="宋体" w:eastAsia="宋体"/>
                <w:sz w:val="16"/>
              </w:rPr>
              <w:t>282.07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26C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36C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36C4">
            <w:pPr>
              <w:jc w:val="center"/>
            </w:pPr>
            <w:r>
              <w:rPr>
                <w:rFonts w:ascii="宋体" w:hAnsi="宋体" w:eastAsia="宋体"/>
                <w:sz w:val="16"/>
              </w:rPr>
              <w:t>10.00</w:t>
            </w:r>
          </w:p>
        </w:tc>
      </w:tr>
      <w:tr w14:paraId="78B91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9FE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4A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32430">
            <w:pPr>
              <w:jc w:val="center"/>
            </w:pPr>
            <w:r>
              <w:rPr>
                <w:rFonts w:ascii="宋体" w:hAnsi="宋体" w:eastAsia="宋体"/>
                <w:sz w:val="16"/>
              </w:rPr>
              <w:t>224.14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5C34D">
            <w:pPr>
              <w:jc w:val="center"/>
            </w:pPr>
            <w:r>
              <w:rPr>
                <w:rFonts w:ascii="宋体" w:hAnsi="宋体" w:eastAsia="宋体"/>
                <w:sz w:val="16"/>
              </w:rPr>
              <w:t>282.07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935D0">
            <w:pPr>
              <w:jc w:val="center"/>
            </w:pPr>
            <w:r>
              <w:rPr>
                <w:rFonts w:ascii="宋体" w:hAnsi="宋体" w:eastAsia="宋体"/>
                <w:sz w:val="16"/>
              </w:rPr>
              <w:t>282.07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485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A59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36F4">
            <w:pPr>
              <w:jc w:val="center"/>
            </w:pPr>
            <w:r>
              <w:rPr>
                <w:rFonts w:ascii="宋体" w:hAnsi="宋体" w:eastAsia="宋体"/>
                <w:sz w:val="16"/>
              </w:rPr>
              <w:t>—</w:t>
            </w:r>
          </w:p>
        </w:tc>
      </w:tr>
      <w:tr w14:paraId="11363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A7E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AE3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071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AF0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625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4A4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B4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6427">
            <w:pPr>
              <w:jc w:val="center"/>
            </w:pPr>
            <w:r>
              <w:rPr>
                <w:rFonts w:ascii="宋体" w:hAnsi="宋体" w:eastAsia="宋体"/>
                <w:sz w:val="16"/>
              </w:rPr>
              <w:t>—</w:t>
            </w:r>
          </w:p>
        </w:tc>
      </w:tr>
      <w:tr w14:paraId="427EE9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42A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DD0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CD50D4">
            <w:pPr>
              <w:jc w:val="center"/>
            </w:pPr>
            <w:r>
              <w:rPr>
                <w:rFonts w:ascii="宋体" w:hAnsi="宋体" w:eastAsia="宋体"/>
                <w:sz w:val="16"/>
              </w:rPr>
              <w:t>实际完成情况</w:t>
            </w:r>
          </w:p>
        </w:tc>
      </w:tr>
      <w:tr w14:paraId="71863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01C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B965D">
            <w:pPr>
              <w:jc w:val="both"/>
            </w:pPr>
            <w:r>
              <w:rPr>
                <w:rFonts w:ascii="宋体" w:hAnsi="宋体" w:eastAsia="宋体"/>
                <w:sz w:val="16"/>
              </w:rPr>
              <w:t>为了保障霍尔果斯市各联合办公楼内的安保工作、环境卫生工作以及食堂后勤保障工作，</w:t>
            </w:r>
            <w:r>
              <w:rPr>
                <w:rFonts w:hint="eastAsia" w:ascii="宋体" w:hAnsi="宋体"/>
                <w:sz w:val="16"/>
                <w:lang w:eastAsia="zh-CN"/>
              </w:rPr>
              <w:t>本单位</w:t>
            </w:r>
            <w:r>
              <w:rPr>
                <w:rFonts w:ascii="宋体" w:hAnsi="宋体" w:eastAsia="宋体"/>
                <w:sz w:val="16"/>
              </w:rPr>
              <w:t>共安排56名工作人员。其中聘用保安人员6人，聘用保洁人员13人，食堂员工37人，每人每月平均工资标准为4198元。</w:t>
            </w:r>
            <w:r>
              <w:rPr>
                <w:rFonts w:hint="eastAsia" w:ascii="宋体" w:hAnsi="宋体"/>
                <w:sz w:val="16"/>
                <w:lang w:eastAsia="zh-CN"/>
              </w:rPr>
              <w:t>本单位</w:t>
            </w:r>
            <w:r>
              <w:rPr>
                <w:rFonts w:ascii="宋体" w:hAnsi="宋体" w:eastAsia="宋体"/>
                <w:sz w:val="16"/>
              </w:rPr>
              <w:t>保证按时足额将工资发放到聘用人员手中，以确保聘用人员高效及时</w:t>
            </w:r>
            <w:r>
              <w:rPr>
                <w:rFonts w:hint="eastAsia" w:ascii="宋体" w:hAnsi="宋体"/>
                <w:sz w:val="16"/>
                <w:lang w:eastAsia="zh-CN"/>
              </w:rPr>
              <w:t>地</w:t>
            </w:r>
            <w:r>
              <w:rPr>
                <w:rFonts w:ascii="宋体" w:hAnsi="宋体" w:eastAsia="宋体"/>
                <w:sz w:val="16"/>
              </w:rPr>
              <w:t>开展工作，能更好地为各联合办公楼的工作人员提供高效的优质服务。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8D5BE6">
            <w:pPr>
              <w:jc w:val="both"/>
            </w:pPr>
            <w:r>
              <w:rPr>
                <w:rFonts w:hint="eastAsia" w:ascii="宋体" w:hAnsi="宋体"/>
                <w:sz w:val="16"/>
                <w:lang w:eastAsia="zh-CN"/>
              </w:rPr>
              <w:t>本单位</w:t>
            </w:r>
            <w:r>
              <w:rPr>
                <w:rFonts w:ascii="宋体" w:hAnsi="宋体" w:eastAsia="宋体"/>
                <w:sz w:val="16"/>
              </w:rPr>
              <w:t>共安排56名工作人员。其中聘用保安人员6人，聘用保洁人员13人，食堂员工37人，每人每月平均工资标准为4198元。</w:t>
            </w:r>
            <w:r>
              <w:rPr>
                <w:rFonts w:hint="eastAsia" w:ascii="宋体" w:hAnsi="宋体"/>
                <w:sz w:val="16"/>
                <w:lang w:eastAsia="zh-CN"/>
              </w:rPr>
              <w:t>本单位</w:t>
            </w:r>
            <w:r>
              <w:rPr>
                <w:rFonts w:ascii="宋体" w:hAnsi="宋体" w:eastAsia="宋体"/>
                <w:sz w:val="16"/>
              </w:rPr>
              <w:t>按时足额将工资发放到聘用人员手中，为聘用人员高效及时</w:t>
            </w:r>
            <w:r>
              <w:rPr>
                <w:rFonts w:hint="eastAsia" w:ascii="宋体" w:hAnsi="宋体"/>
                <w:sz w:val="16"/>
                <w:lang w:eastAsia="zh-CN"/>
              </w:rPr>
              <w:t>地</w:t>
            </w:r>
            <w:r>
              <w:rPr>
                <w:rFonts w:ascii="宋体" w:hAnsi="宋体" w:eastAsia="宋体"/>
                <w:sz w:val="16"/>
              </w:rPr>
              <w:t>开展工作提供保障。保障霍尔果斯市各联合办公楼内的安保工作、环境卫生工作以及食堂后勤保障工作，能更好地为各联合办公楼的工作人员提供高效的优质服务。</w:t>
            </w:r>
          </w:p>
        </w:tc>
      </w:tr>
      <w:tr w14:paraId="333376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8DB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7F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2C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21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5D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5FE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214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B4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C57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9E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12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8E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6B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B543">
            <w:pPr>
              <w:jc w:val="center"/>
            </w:pPr>
            <w:r>
              <w:rPr>
                <w:rFonts w:ascii="宋体" w:hAnsi="宋体" w:eastAsia="宋体"/>
                <w:sz w:val="16"/>
              </w:rPr>
              <w:t>偏差原因分析及改进措施</w:t>
            </w:r>
          </w:p>
        </w:tc>
      </w:tr>
      <w:tr w14:paraId="60595B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A6E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9B8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682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DD2C">
            <w:pPr>
              <w:jc w:val="center"/>
            </w:pPr>
            <w:r>
              <w:rPr>
                <w:rFonts w:ascii="宋体" w:hAnsi="宋体" w:eastAsia="宋体"/>
                <w:sz w:val="16"/>
              </w:rPr>
              <w:t>发放后勤人员工资人数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3B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2053">
            <w:pPr>
              <w:jc w:val="center"/>
            </w:pPr>
            <w:r>
              <w:rPr>
                <w:rFonts w:ascii="宋体" w:hAnsi="宋体" w:eastAsia="宋体"/>
                <w:sz w:val="16"/>
              </w:rPr>
              <w:t>&gt;=56人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4AF7">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D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7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511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B006">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A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11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FD5F">
            <w:pPr>
              <w:jc w:val="center"/>
            </w:pPr>
          </w:p>
        </w:tc>
      </w:tr>
      <w:tr w14:paraId="701A9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5F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AA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9F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A855">
            <w:pPr>
              <w:jc w:val="center"/>
            </w:pPr>
            <w:r>
              <w:rPr>
                <w:rFonts w:ascii="宋体" w:hAnsi="宋体" w:eastAsia="宋体"/>
                <w:sz w:val="16"/>
              </w:rPr>
              <w:t>发放后勤人员工资次数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94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CE2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68C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1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6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537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ACB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9F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A9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90B4">
            <w:pPr>
              <w:jc w:val="center"/>
            </w:pPr>
          </w:p>
        </w:tc>
      </w:tr>
      <w:tr w14:paraId="327C2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DF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C5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C6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C307">
            <w:pPr>
              <w:jc w:val="center"/>
            </w:pPr>
            <w:r>
              <w:rPr>
                <w:rFonts w:ascii="宋体" w:hAnsi="宋体" w:eastAsia="宋体"/>
                <w:sz w:val="16"/>
              </w:rPr>
              <w:t>发放后勤人员工资准确率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9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C7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18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8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4C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9A8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A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65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54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742B">
            <w:pPr>
              <w:jc w:val="center"/>
            </w:pPr>
          </w:p>
        </w:tc>
      </w:tr>
      <w:tr w14:paraId="662EC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04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0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9C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9820">
            <w:pPr>
              <w:jc w:val="center"/>
            </w:pPr>
            <w:r>
              <w:rPr>
                <w:rFonts w:ascii="宋体" w:hAnsi="宋体" w:eastAsia="宋体"/>
                <w:sz w:val="16"/>
              </w:rPr>
              <w:t>发放后勤人员工资及时率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05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F7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39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5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3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002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C3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38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9F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1379">
            <w:pPr>
              <w:jc w:val="center"/>
            </w:pPr>
          </w:p>
        </w:tc>
      </w:tr>
      <w:tr w14:paraId="09B96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D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D93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C7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0380">
            <w:pPr>
              <w:jc w:val="center"/>
            </w:pPr>
            <w:r>
              <w:rPr>
                <w:rFonts w:ascii="宋体" w:hAnsi="宋体" w:eastAsia="宋体"/>
                <w:sz w:val="16"/>
              </w:rPr>
              <w:t>每次发放工资金额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19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3721">
            <w:pPr>
              <w:jc w:val="center"/>
            </w:pPr>
            <w:r>
              <w:rPr>
                <w:rFonts w:ascii="宋体" w:hAnsi="宋体" w:eastAsia="宋体"/>
                <w:sz w:val="16"/>
              </w:rPr>
              <w:t>&lt;=23.51万元/月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79CF">
            <w:pPr>
              <w:jc w:val="center"/>
            </w:pPr>
            <w:r>
              <w:rPr>
                <w:rFonts w:ascii="宋体" w:hAnsi="宋体" w:eastAsia="宋体"/>
                <w:sz w:val="16"/>
              </w:rPr>
              <w:t>23.51万元/月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F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27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0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22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1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33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B2CC">
            <w:pPr>
              <w:jc w:val="center"/>
            </w:pPr>
          </w:p>
        </w:tc>
      </w:tr>
      <w:tr w14:paraId="54BED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39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34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57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5F69">
            <w:pPr>
              <w:jc w:val="center"/>
            </w:pPr>
            <w:r>
              <w:rPr>
                <w:rFonts w:ascii="宋体" w:hAnsi="宋体" w:eastAsia="宋体"/>
                <w:sz w:val="16"/>
              </w:rPr>
              <w:t>后勤人员发挥工作积极性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3C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28DA">
            <w:pPr>
              <w:jc w:val="center"/>
            </w:pPr>
            <w:r>
              <w:rPr>
                <w:rFonts w:ascii="宋体" w:hAnsi="宋体" w:eastAsia="宋体"/>
                <w:sz w:val="16"/>
              </w:rPr>
              <w:t>持续发挥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4B61">
            <w:pPr>
              <w:jc w:val="center"/>
            </w:pPr>
            <w:r>
              <w:rPr>
                <w:rFonts w:ascii="宋体" w:hAnsi="宋体" w:eastAsia="宋体"/>
                <w:sz w:val="16"/>
              </w:rPr>
              <w:t>持续发挥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A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71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2C4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DEC1">
            <w:pPr>
              <w:jc w:val="center"/>
            </w:pPr>
            <w:r>
              <w:rPr>
                <w:rFonts w:ascii="宋体" w:hAnsi="宋体" w:eastAsia="宋体"/>
                <w:sz w:val="16"/>
              </w:rPr>
              <w:t>持续发挥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2C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26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D252">
            <w:pPr>
              <w:jc w:val="center"/>
            </w:pPr>
          </w:p>
        </w:tc>
      </w:tr>
      <w:tr w14:paraId="49EF3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FD6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7F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26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DF9D">
            <w:pPr>
              <w:jc w:val="center"/>
            </w:pPr>
            <w:r>
              <w:rPr>
                <w:rFonts w:ascii="宋体" w:hAnsi="宋体" w:eastAsia="宋体"/>
                <w:sz w:val="16"/>
              </w:rPr>
              <w:t>后勤人员满意度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9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DF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A7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00C1">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3C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54E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41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F7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F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12EF">
            <w:pPr>
              <w:jc w:val="center"/>
            </w:pPr>
            <w:r>
              <w:rPr>
                <w:rFonts w:ascii="宋体" w:hAnsi="宋体" w:eastAsia="宋体"/>
                <w:sz w:val="16"/>
              </w:rPr>
              <w:t>人员满意度高</w:t>
            </w:r>
          </w:p>
        </w:tc>
      </w:tr>
      <w:tr w14:paraId="4D7C05C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4769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6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FF3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790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057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E1C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3FF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4C8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275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2D2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8DCFF"/>
        </w:tc>
      </w:tr>
    </w:tbl>
    <w:p w14:paraId="5676671E">
      <w:r>
        <w:br w:type="page"/>
      </w:r>
    </w:p>
    <w:p w14:paraId="6AFF8CD6">
      <w:pPr>
        <w:spacing w:line="640" w:lineRule="exact"/>
        <w:ind w:firstLine="640"/>
        <w:jc w:val="both"/>
        <w:outlineLvl w:val="2"/>
      </w:pPr>
      <w:r>
        <w:rPr>
          <w:rFonts w:ascii="黑体" w:hAnsi="黑体" w:eastAsia="黑体"/>
          <w:sz w:val="32"/>
        </w:rPr>
        <w:t>十二、其他需说明的事项</w:t>
      </w:r>
    </w:p>
    <w:p w14:paraId="719F9C4B">
      <w:pPr>
        <w:spacing w:line="580" w:lineRule="exact"/>
        <w:ind w:firstLine="640"/>
        <w:jc w:val="both"/>
      </w:pPr>
      <w:r>
        <w:rPr>
          <w:rFonts w:ascii="仿宋_GB2312" w:hAnsi="仿宋_GB2312" w:eastAsia="仿宋_GB2312"/>
          <w:b w:val="0"/>
          <w:sz w:val="32"/>
        </w:rPr>
        <w:t>本单位无其他需说明的事项。</w:t>
      </w:r>
    </w:p>
    <w:p w14:paraId="42E5E0A8">
      <w:r>
        <w:br w:type="page"/>
      </w:r>
    </w:p>
    <w:p w14:paraId="5D2158F0">
      <w:pPr>
        <w:spacing w:line="240" w:lineRule="auto"/>
        <w:jc w:val="center"/>
        <w:outlineLvl w:val="1"/>
      </w:pPr>
      <w:r>
        <w:rPr>
          <w:rFonts w:ascii="黑体" w:hAnsi="黑体" w:eastAsia="黑体"/>
          <w:sz w:val="32"/>
        </w:rPr>
        <w:t>第三部分 专业名词解释</w:t>
      </w:r>
    </w:p>
    <w:p w14:paraId="4C48D3F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4F2FD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E12C0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F0E42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5B20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65EFD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CDD23A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77AD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477A6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EFA6E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44327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CAA9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7AF73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1E194B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083BC2">
      <w:r>
        <w:br w:type="page"/>
      </w:r>
    </w:p>
    <w:p w14:paraId="4D1E40D8">
      <w:pPr>
        <w:spacing w:line="240" w:lineRule="auto"/>
        <w:jc w:val="center"/>
        <w:outlineLvl w:val="1"/>
      </w:pPr>
      <w:r>
        <w:rPr>
          <w:rFonts w:ascii="黑体" w:hAnsi="黑体" w:eastAsia="黑体"/>
          <w:sz w:val="32"/>
        </w:rPr>
        <w:t>第四部分 部门决算报表（见附表）</w:t>
      </w:r>
    </w:p>
    <w:p w14:paraId="5EE4825D">
      <w:pPr>
        <w:spacing w:line="240" w:lineRule="auto"/>
        <w:ind w:firstLine="640"/>
        <w:jc w:val="both"/>
      </w:pPr>
      <w:r>
        <w:rPr>
          <w:rFonts w:ascii="仿宋_GB2312" w:hAnsi="仿宋_GB2312" w:eastAsia="仿宋_GB2312"/>
          <w:b w:val="0"/>
          <w:sz w:val="32"/>
        </w:rPr>
        <w:t>一、《收入支出决算总表》</w:t>
      </w:r>
    </w:p>
    <w:p w14:paraId="09F9DE37">
      <w:pPr>
        <w:spacing w:line="240" w:lineRule="auto"/>
        <w:ind w:firstLine="640"/>
        <w:jc w:val="both"/>
      </w:pPr>
      <w:r>
        <w:rPr>
          <w:rFonts w:ascii="仿宋_GB2312" w:hAnsi="仿宋_GB2312" w:eastAsia="仿宋_GB2312"/>
          <w:b w:val="0"/>
          <w:sz w:val="32"/>
        </w:rPr>
        <w:t>二、《收入决算表》</w:t>
      </w:r>
    </w:p>
    <w:p w14:paraId="757488CC">
      <w:pPr>
        <w:spacing w:line="240" w:lineRule="auto"/>
        <w:ind w:firstLine="640"/>
        <w:jc w:val="both"/>
      </w:pPr>
      <w:r>
        <w:rPr>
          <w:rFonts w:ascii="仿宋_GB2312" w:hAnsi="仿宋_GB2312" w:eastAsia="仿宋_GB2312"/>
          <w:b w:val="0"/>
          <w:sz w:val="32"/>
        </w:rPr>
        <w:t>三、《支出决算表》</w:t>
      </w:r>
    </w:p>
    <w:p w14:paraId="0B155E25">
      <w:pPr>
        <w:spacing w:line="240" w:lineRule="auto"/>
        <w:ind w:firstLine="640"/>
        <w:jc w:val="both"/>
      </w:pPr>
      <w:r>
        <w:rPr>
          <w:rFonts w:ascii="仿宋_GB2312" w:hAnsi="仿宋_GB2312" w:eastAsia="仿宋_GB2312"/>
          <w:b w:val="0"/>
          <w:sz w:val="32"/>
        </w:rPr>
        <w:t>四、《财政拨款收入支出决算总表》</w:t>
      </w:r>
    </w:p>
    <w:p w14:paraId="3642FC49">
      <w:pPr>
        <w:spacing w:line="240" w:lineRule="auto"/>
        <w:ind w:firstLine="640"/>
        <w:jc w:val="both"/>
      </w:pPr>
      <w:r>
        <w:rPr>
          <w:rFonts w:ascii="仿宋_GB2312" w:hAnsi="仿宋_GB2312" w:eastAsia="仿宋_GB2312"/>
          <w:b w:val="0"/>
          <w:sz w:val="32"/>
        </w:rPr>
        <w:t>五、《一般公共预算财政拨款支出决算表》</w:t>
      </w:r>
    </w:p>
    <w:p w14:paraId="021FDFF1">
      <w:pPr>
        <w:spacing w:line="240" w:lineRule="auto"/>
        <w:ind w:firstLine="640"/>
        <w:jc w:val="both"/>
      </w:pPr>
      <w:r>
        <w:rPr>
          <w:rFonts w:ascii="仿宋_GB2312" w:hAnsi="仿宋_GB2312" w:eastAsia="仿宋_GB2312"/>
          <w:b w:val="0"/>
          <w:sz w:val="32"/>
        </w:rPr>
        <w:t>六、《一般公共预算财政拨款基本支出决算表》</w:t>
      </w:r>
    </w:p>
    <w:p w14:paraId="276810BF">
      <w:pPr>
        <w:spacing w:line="240" w:lineRule="auto"/>
        <w:ind w:firstLine="640"/>
        <w:jc w:val="both"/>
      </w:pPr>
      <w:r>
        <w:rPr>
          <w:rFonts w:ascii="仿宋_GB2312" w:hAnsi="仿宋_GB2312" w:eastAsia="仿宋_GB2312"/>
          <w:b w:val="0"/>
          <w:sz w:val="32"/>
        </w:rPr>
        <w:t>七、《政府性基金预算财政拨款收入支出决算表》</w:t>
      </w:r>
    </w:p>
    <w:p w14:paraId="12C82EDF">
      <w:pPr>
        <w:spacing w:line="240" w:lineRule="auto"/>
        <w:ind w:firstLine="640"/>
        <w:jc w:val="both"/>
      </w:pPr>
      <w:r>
        <w:rPr>
          <w:rFonts w:ascii="仿宋_GB2312" w:hAnsi="仿宋_GB2312" w:eastAsia="仿宋_GB2312"/>
          <w:b w:val="0"/>
          <w:sz w:val="32"/>
        </w:rPr>
        <w:t>八、《国有资本经营预算财政拨款收入支出决算表》</w:t>
      </w:r>
    </w:p>
    <w:p w14:paraId="36001DAA">
      <w:pPr>
        <w:spacing w:line="240" w:lineRule="auto"/>
        <w:ind w:firstLine="640"/>
        <w:jc w:val="both"/>
      </w:pPr>
      <w:r>
        <w:rPr>
          <w:rFonts w:ascii="仿宋_GB2312" w:hAnsi="仿宋_GB2312" w:eastAsia="仿宋_GB2312"/>
          <w:b w:val="0"/>
          <w:sz w:val="32"/>
        </w:rPr>
        <w:t>九、《财政拨款“三公”经费支出决算表》</w:t>
      </w:r>
    </w:p>
    <w:p w14:paraId="547DC237">
      <w:pPr>
        <w:spacing w:line="240" w:lineRule="auto"/>
        <w:ind w:firstLine="640"/>
        <w:jc w:val="both"/>
      </w:pPr>
    </w:p>
    <w:p w14:paraId="58631304">
      <w:pPr>
        <w:spacing w:line="240" w:lineRule="auto"/>
        <w:ind w:firstLine="640"/>
        <w:jc w:val="both"/>
      </w:pPr>
    </w:p>
    <w:p w14:paraId="19561BBA">
      <w:pPr>
        <w:spacing w:line="240" w:lineRule="auto"/>
        <w:ind w:firstLine="640"/>
        <w:jc w:val="both"/>
      </w:pPr>
    </w:p>
    <w:p w14:paraId="33741A3B">
      <w:pPr>
        <w:spacing w:line="240" w:lineRule="auto"/>
        <w:ind w:firstLine="640"/>
        <w:jc w:val="both"/>
      </w:pPr>
    </w:p>
    <w:p w14:paraId="0E1A903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B704C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96387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5112</Words>
  <Characters>5863</Characters>
  <Lines>0</Lines>
  <Paragraphs>0</Paragraphs>
  <TotalTime>1</TotalTime>
  <ScaleCrop>false</ScaleCrop>
  <LinksUpToDate>false</LinksUpToDate>
  <CharactersWithSpaces>5871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2025-12-05T04:00:05Z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