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中国共产党霍尔果斯市委员会统一战线工作部2024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6B8FCBC">
      <w:r>
        <w:br w:type="page"/>
      </w:r>
    </w:p>
    <w:p w14:paraId="4150AE22">
      <w:pPr>
        <w:spacing w:line="640" w:lineRule="exact"/>
        <w:jc w:val="center"/>
        <w:outlineLvl w:val="1"/>
      </w:pPr>
      <w:r>
        <w:rPr>
          <w:rFonts w:ascii="黑体" w:hAnsi="黑体" w:eastAsia="黑体"/>
          <w:sz w:val="32"/>
        </w:rPr>
        <w:t>第一部分 单位概况</w:t>
      </w:r>
    </w:p>
    <w:p w14:paraId="14E27447">
      <w:pPr>
        <w:spacing w:line="640" w:lineRule="exact"/>
        <w:ind w:firstLine="640"/>
        <w:jc w:val="both"/>
        <w:outlineLvl w:val="2"/>
      </w:pPr>
      <w:r>
        <w:rPr>
          <w:rFonts w:ascii="黑体" w:hAnsi="黑体" w:eastAsia="黑体"/>
          <w:sz w:val="32"/>
        </w:rPr>
        <w:t>一、主要职能</w:t>
      </w:r>
    </w:p>
    <w:p w14:paraId="79F1FB58">
      <w:pPr>
        <w:spacing w:line="580" w:lineRule="exact"/>
        <w:ind w:firstLine="640"/>
        <w:jc w:val="both"/>
      </w:pPr>
      <w:r>
        <w:rPr>
          <w:rFonts w:ascii="仿宋_GB2312" w:hAnsi="仿宋_GB2312" w:eastAsia="仿宋_GB2312"/>
          <w:sz w:val="32"/>
        </w:rPr>
        <w:t>对统一战线工作情况开展调查和研究，协调我市统一战线方面的关系，负责联系和指导各乡镇的统一战线工作。统一管理民族工作和侨务工作。坚持和加强党对统一战线工作的集中统一领导，贯彻落实党中央关于统一战线工作的方针政策和决策部署，贯彻落实自治区党委、自治州党委关于统一战线工作的部署要求和重大举措及市委工作要求，紧紧围绕新疆社会稳定和长治久安总目标，发挥市委在统战工作方面的参谋机构、组织协调机构、具体执行机构、督促检查机构作用，了解情况、掌握政策、协调关系、安排人事、增进共识、加强团结，协调统一战线各方面关系，巩固壮大最广泛的统一战线。</w:t>
      </w:r>
    </w:p>
    <w:p w14:paraId="383865B7">
      <w:pPr>
        <w:spacing w:line="640" w:lineRule="exact"/>
        <w:ind w:firstLine="640"/>
        <w:jc w:val="both"/>
        <w:outlineLvl w:val="2"/>
      </w:pPr>
      <w:r>
        <w:rPr>
          <w:rFonts w:ascii="黑体" w:hAnsi="黑体" w:eastAsia="黑体"/>
          <w:sz w:val="32"/>
        </w:rPr>
        <w:t>二、机构设置及人员情况</w:t>
      </w:r>
    </w:p>
    <w:p w14:paraId="5CCFF634">
      <w:pPr>
        <w:spacing w:line="580" w:lineRule="exact"/>
        <w:ind w:firstLine="640"/>
        <w:jc w:val="both"/>
      </w:pPr>
      <w:r>
        <w:rPr>
          <w:rFonts w:ascii="仿宋_GB2312" w:hAnsi="仿宋_GB2312" w:eastAsia="仿宋_GB2312"/>
          <w:sz w:val="32"/>
        </w:rPr>
        <w:t>中国共产党霍尔果斯市委员会统一战线工作部2024年度，实有人数9人，其中：在职人员7人，增加3人；离休人员0人，增加0人；退休人员2人,增加0人。</w:t>
      </w:r>
    </w:p>
    <w:p w14:paraId="2344CA5C">
      <w:pPr>
        <w:spacing w:line="580" w:lineRule="exact"/>
        <w:ind w:firstLine="640"/>
        <w:jc w:val="both"/>
      </w:pPr>
      <w:r>
        <w:rPr>
          <w:rFonts w:ascii="仿宋_GB2312" w:hAnsi="仿宋_GB2312" w:eastAsia="仿宋_GB2312"/>
          <w:sz w:val="32"/>
        </w:rPr>
        <w:t>中国共产党霍尔果斯市委员会统一战线工作部无下属预算单位，下设5个科室，分别是：综合办公室、工商业联合会、民族团结创建办公室、归国华侨办公室、统战民宗事务处。</w:t>
      </w:r>
    </w:p>
    <w:p w14:paraId="4A0C7AF7">
      <w:r>
        <w:br w:type="page"/>
      </w:r>
    </w:p>
    <w:p w14:paraId="0CBFD44E">
      <w:pPr>
        <w:spacing w:line="240" w:lineRule="auto"/>
        <w:jc w:val="center"/>
        <w:outlineLvl w:val="1"/>
      </w:pPr>
      <w:r>
        <w:rPr>
          <w:rFonts w:ascii="黑体" w:hAnsi="黑体" w:eastAsia="黑体"/>
          <w:sz w:val="32"/>
        </w:rPr>
        <w:t>第二部分 部门决算情况说明</w:t>
      </w:r>
    </w:p>
    <w:p w14:paraId="0B9CCC32">
      <w:pPr>
        <w:spacing w:line="640" w:lineRule="exact"/>
        <w:ind w:firstLine="640"/>
        <w:jc w:val="both"/>
        <w:outlineLvl w:val="2"/>
      </w:pPr>
      <w:r>
        <w:rPr>
          <w:rFonts w:ascii="黑体" w:hAnsi="黑体" w:eastAsia="黑体"/>
          <w:sz w:val="32"/>
        </w:rPr>
        <w:t>一、收入支出决算总体情况说明</w:t>
      </w:r>
    </w:p>
    <w:p w14:paraId="527E3B74">
      <w:pPr>
        <w:spacing w:line="580" w:lineRule="exact"/>
        <w:ind w:firstLine="640"/>
        <w:jc w:val="both"/>
      </w:pPr>
      <w:r>
        <w:rPr>
          <w:rFonts w:ascii="仿宋_GB2312" w:hAnsi="仿宋_GB2312" w:eastAsia="仿宋_GB2312"/>
          <w:b/>
          <w:sz w:val="32"/>
        </w:rPr>
        <w:t>2024年度收入总计787.11万元，</w:t>
      </w:r>
      <w:r>
        <w:rPr>
          <w:rFonts w:ascii="仿宋_GB2312" w:hAnsi="仿宋_GB2312" w:eastAsia="仿宋_GB2312"/>
          <w:b w:val="0"/>
          <w:sz w:val="32"/>
        </w:rPr>
        <w:t>其中：本年收入合计784.81万元，使用非财政拨款结余（含专用结余）0.00万元，年初结转和结余2.29万元。</w:t>
      </w:r>
    </w:p>
    <w:p w14:paraId="7332E631">
      <w:pPr>
        <w:spacing w:line="580" w:lineRule="exact"/>
        <w:ind w:firstLine="640"/>
        <w:jc w:val="both"/>
      </w:pPr>
      <w:r>
        <w:rPr>
          <w:rFonts w:ascii="仿宋_GB2312" w:hAnsi="仿宋_GB2312" w:eastAsia="仿宋_GB2312"/>
          <w:b/>
          <w:sz w:val="32"/>
        </w:rPr>
        <w:t>2024年度支出总计787.11万元，</w:t>
      </w:r>
      <w:r>
        <w:rPr>
          <w:rFonts w:ascii="仿宋_GB2312" w:hAnsi="仿宋_GB2312" w:eastAsia="仿宋_GB2312"/>
          <w:b w:val="0"/>
          <w:sz w:val="32"/>
        </w:rPr>
        <w:t>其中：本年支出合计761.91万元，结余分配0.00万元，年末结转和结余25.20万元。</w:t>
      </w:r>
    </w:p>
    <w:p w14:paraId="22822BFA">
      <w:pPr>
        <w:spacing w:line="580" w:lineRule="exact"/>
        <w:ind w:firstLine="640"/>
        <w:jc w:val="both"/>
      </w:pPr>
      <w:r>
        <w:rPr>
          <w:rFonts w:ascii="仿宋_GB2312" w:hAnsi="仿宋_GB2312" w:eastAsia="仿宋_GB2312"/>
          <w:b w:val="0"/>
          <w:sz w:val="32"/>
        </w:rPr>
        <w:t>收入支出总体与上年相比，增加221.23万元，增长39.09%，主要原因是：本年民族团结一家亲活动经费、民族团结创建等项目资金较上年增加；民营企业贴息等项目资金较上年增加。</w:t>
      </w:r>
    </w:p>
    <w:p w14:paraId="355D63B5">
      <w:pPr>
        <w:spacing w:line="640" w:lineRule="exact"/>
        <w:ind w:firstLine="640"/>
        <w:jc w:val="both"/>
        <w:outlineLvl w:val="2"/>
      </w:pPr>
      <w:r>
        <w:rPr>
          <w:rFonts w:ascii="黑体" w:hAnsi="黑体" w:eastAsia="黑体"/>
          <w:sz w:val="32"/>
        </w:rPr>
        <w:t>二、收入决算情况说明</w:t>
      </w:r>
    </w:p>
    <w:p w14:paraId="23F76B91">
      <w:pPr>
        <w:spacing w:line="580" w:lineRule="exact"/>
        <w:ind w:firstLine="640"/>
        <w:jc w:val="both"/>
      </w:pPr>
      <w:r>
        <w:rPr>
          <w:rFonts w:ascii="仿宋_GB2312" w:hAnsi="仿宋_GB2312" w:eastAsia="仿宋_GB2312"/>
          <w:b/>
          <w:sz w:val="32"/>
        </w:rPr>
        <w:t>本年收入784.81万元，</w:t>
      </w:r>
      <w:r>
        <w:rPr>
          <w:rFonts w:ascii="仿宋_GB2312" w:hAnsi="仿宋_GB2312" w:eastAsia="仿宋_GB2312"/>
          <w:b w:val="0"/>
          <w:sz w:val="32"/>
        </w:rPr>
        <w:t>其中：财政拨款收入704.64万元，占89.78%；上级补助收入0.00万元，占0.00%；事业收入0.00万元，占0.00%；经营收入0.00万元，占0.00%；附属单位上缴收入0.00万元，占0.00%；其他收入80.17万元，占10.22%。</w:t>
      </w:r>
    </w:p>
    <w:p w14:paraId="196D0776">
      <w:pPr>
        <w:spacing w:line="640" w:lineRule="exact"/>
        <w:ind w:firstLine="640"/>
        <w:jc w:val="both"/>
        <w:outlineLvl w:val="2"/>
      </w:pPr>
      <w:r>
        <w:rPr>
          <w:rFonts w:ascii="黑体" w:hAnsi="黑体" w:eastAsia="黑体"/>
          <w:sz w:val="32"/>
        </w:rPr>
        <w:t>三、支出决算情况说明</w:t>
      </w:r>
    </w:p>
    <w:p w14:paraId="0A22D0D3">
      <w:pPr>
        <w:spacing w:line="580" w:lineRule="exact"/>
        <w:ind w:firstLine="640"/>
        <w:jc w:val="both"/>
      </w:pPr>
      <w:r>
        <w:rPr>
          <w:rFonts w:ascii="仿宋_GB2312" w:hAnsi="仿宋_GB2312" w:eastAsia="仿宋_GB2312"/>
          <w:b/>
          <w:sz w:val="32"/>
        </w:rPr>
        <w:t>本年支出761.91万元，</w:t>
      </w:r>
      <w:r>
        <w:rPr>
          <w:rFonts w:ascii="仿宋_GB2312" w:hAnsi="仿宋_GB2312" w:eastAsia="仿宋_GB2312"/>
          <w:b w:val="0"/>
          <w:sz w:val="32"/>
        </w:rPr>
        <w:t>其中：基本支出259.13万元，占34.01%；项目支出502.78万元，占65.99%；上缴上级支出0.00万元，占0.00%；经营支出0.00万元，占0.00%；对附属单位补助支出0.00万元，占0.00%。</w:t>
      </w:r>
    </w:p>
    <w:p w14:paraId="7E5B1479">
      <w:pPr>
        <w:spacing w:line="640" w:lineRule="exact"/>
        <w:ind w:firstLine="640"/>
        <w:jc w:val="both"/>
        <w:outlineLvl w:val="2"/>
      </w:pPr>
      <w:r>
        <w:rPr>
          <w:rFonts w:ascii="黑体" w:hAnsi="黑体" w:eastAsia="黑体"/>
          <w:sz w:val="32"/>
        </w:rPr>
        <w:t>四、财政拨款收入支出决算总体情况说明</w:t>
      </w:r>
    </w:p>
    <w:p w14:paraId="757D43A2">
      <w:pPr>
        <w:spacing w:line="580" w:lineRule="exact"/>
        <w:ind w:firstLine="640"/>
        <w:jc w:val="both"/>
      </w:pPr>
      <w:r>
        <w:rPr>
          <w:rFonts w:ascii="仿宋_GB2312" w:hAnsi="仿宋_GB2312" w:eastAsia="仿宋_GB2312"/>
          <w:b/>
          <w:sz w:val="32"/>
        </w:rPr>
        <w:t>2024年度财政拨款收入总计704.64万元，</w:t>
      </w:r>
      <w:r>
        <w:rPr>
          <w:rFonts w:ascii="仿宋_GB2312" w:hAnsi="仿宋_GB2312" w:eastAsia="仿宋_GB2312"/>
          <w:b w:val="0"/>
          <w:sz w:val="32"/>
        </w:rPr>
        <w:t>其中：年初财政拨款结转和结余0.00万元，本年财政拨款收入704.64万元。</w:t>
      </w:r>
      <w:r>
        <w:rPr>
          <w:rFonts w:ascii="仿宋_GB2312" w:hAnsi="仿宋_GB2312" w:eastAsia="仿宋_GB2312"/>
          <w:b/>
          <w:sz w:val="32"/>
        </w:rPr>
        <w:t>财政拨款支出总计704.64万元，</w:t>
      </w:r>
      <w:r>
        <w:rPr>
          <w:rFonts w:ascii="仿宋_GB2312" w:hAnsi="仿宋_GB2312" w:eastAsia="仿宋_GB2312"/>
          <w:b w:val="0"/>
          <w:sz w:val="32"/>
        </w:rPr>
        <w:t>其中：年末财政拨款结转和结余0.00万元，本年财政拨款支出704.64万元。</w:t>
      </w:r>
    </w:p>
    <w:p w14:paraId="0ED15F8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增加160.88万元，增长29.59%，主要原因是：本年民营企业贴息等项目资金较上年增加。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年初预算数338.21万元，决算数704.64万元，预决算差异率108.34%，主要原因是：年中追加民贸民品企业贴息项目，导致预决算存在差异。</w:t>
      </w:r>
    </w:p>
    <w:p w14:paraId="366DCD38">
      <w:pPr>
        <w:spacing w:line="640" w:lineRule="exact"/>
        <w:ind w:firstLine="640"/>
        <w:jc w:val="both"/>
        <w:outlineLvl w:val="2"/>
      </w:pPr>
      <w:r>
        <w:rPr>
          <w:rFonts w:ascii="黑体" w:hAnsi="黑体" w:eastAsia="黑体"/>
          <w:sz w:val="32"/>
        </w:rPr>
        <w:t>五、一般公共预算财政拨款支出决算情况说明</w:t>
      </w:r>
    </w:p>
    <w:p w14:paraId="66F323BB">
      <w:pPr>
        <w:spacing w:line="640" w:lineRule="exact"/>
        <w:ind w:firstLine="640"/>
        <w:jc w:val="both"/>
        <w:outlineLvl w:val="3"/>
      </w:pPr>
      <w:r>
        <w:rPr>
          <w:rFonts w:ascii="楷体_GB2312" w:hAnsi="楷体_GB2312" w:eastAsia="楷体_GB2312"/>
          <w:b/>
          <w:sz w:val="32"/>
        </w:rPr>
        <w:t>（一）一般公共预算财政拨款支出决算总体情况</w:t>
      </w:r>
    </w:p>
    <w:p w14:paraId="41A0648C">
      <w:pPr>
        <w:spacing w:line="580" w:lineRule="exact"/>
        <w:ind w:firstLine="640"/>
        <w:jc w:val="both"/>
      </w:pPr>
      <w:r>
        <w:rPr>
          <w:rFonts w:ascii="仿宋_GB2312" w:hAnsi="仿宋_GB2312" w:eastAsia="仿宋_GB2312"/>
          <w:b/>
          <w:sz w:val="32"/>
        </w:rPr>
        <w:t>2024年度一般公共预算财政拨款支出704.64万元，</w:t>
      </w:r>
      <w:r>
        <w:rPr>
          <w:rFonts w:ascii="仿宋_GB2312" w:hAnsi="仿宋_GB2312" w:eastAsia="仿宋_GB2312"/>
          <w:b w:val="0"/>
          <w:sz w:val="32"/>
        </w:rPr>
        <w:t>占本年支出合计的92.48%。</w:t>
      </w:r>
      <w:r>
        <w:rPr>
          <w:rFonts w:ascii="仿宋_GB2312" w:hAnsi="仿宋_GB2312" w:eastAsia="仿宋_GB2312"/>
          <w:b/>
          <w:sz w:val="32"/>
        </w:rPr>
        <w:t>与上年相比，</w:t>
      </w:r>
      <w:r>
        <w:rPr>
          <w:rFonts w:ascii="仿宋_GB2312" w:hAnsi="仿宋_GB2312" w:eastAsia="仿宋_GB2312"/>
          <w:b w:val="0"/>
          <w:sz w:val="32"/>
        </w:rPr>
        <w:t>增加160.88万元，增长29.59%，主要原因是：本年民营企业贴息等项目资金较上年增加。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年初预算数338.21万元，决算数704.64万元，预决算差异率108.34%，主要原因是：年中追加民贸民品企业贴息项目，导致预决算存在差异。</w:t>
      </w:r>
    </w:p>
    <w:p w14:paraId="244F5B96">
      <w:pPr>
        <w:spacing w:line="640" w:lineRule="exact"/>
        <w:ind w:firstLine="640"/>
        <w:jc w:val="both"/>
        <w:outlineLvl w:val="3"/>
      </w:pPr>
      <w:r>
        <w:rPr>
          <w:rFonts w:ascii="楷体_GB2312" w:hAnsi="楷体_GB2312" w:eastAsia="楷体_GB2312"/>
          <w:b/>
          <w:sz w:val="32"/>
        </w:rPr>
        <w:t>（二）一般公共预算财政拨款支出决算结构情况</w:t>
      </w:r>
    </w:p>
    <w:p w14:paraId="75DA06C5">
      <w:pPr>
        <w:spacing w:line="580" w:lineRule="exact"/>
        <w:ind w:firstLine="640"/>
        <w:jc w:val="both"/>
      </w:pPr>
      <w:r>
        <w:rPr>
          <w:rFonts w:ascii="仿宋_GB2312" w:hAnsi="仿宋_GB2312" w:eastAsia="仿宋_GB2312"/>
          <w:b w:val="0"/>
          <w:sz w:val="32"/>
        </w:rPr>
        <w:t>1.一般公共服务支出(类)255.65万元,占36.28%。</w:t>
      </w:r>
    </w:p>
    <w:p w14:paraId="067BC242">
      <w:pPr>
        <w:spacing w:line="580" w:lineRule="exact"/>
        <w:ind w:firstLine="640"/>
        <w:jc w:val="both"/>
      </w:pPr>
      <w:r>
        <w:rPr>
          <w:rFonts w:ascii="仿宋_GB2312" w:hAnsi="仿宋_GB2312" w:eastAsia="仿宋_GB2312"/>
          <w:b w:val="0"/>
          <w:sz w:val="32"/>
        </w:rPr>
        <w:t>2.社会保障和就业支出(类)31.84万元,占4.52%。</w:t>
      </w:r>
    </w:p>
    <w:p w14:paraId="0DDB0205">
      <w:pPr>
        <w:spacing w:line="580" w:lineRule="exact"/>
        <w:ind w:firstLine="640"/>
        <w:jc w:val="both"/>
      </w:pPr>
      <w:r>
        <w:rPr>
          <w:rFonts w:ascii="仿宋_GB2312" w:hAnsi="仿宋_GB2312" w:eastAsia="仿宋_GB2312"/>
          <w:b w:val="0"/>
          <w:sz w:val="32"/>
        </w:rPr>
        <w:t>3.农林水支出(类)5.20万元,占0.74%。</w:t>
      </w:r>
    </w:p>
    <w:p w14:paraId="4075850A">
      <w:pPr>
        <w:spacing w:line="580" w:lineRule="exact"/>
        <w:ind w:firstLine="640"/>
        <w:jc w:val="both"/>
      </w:pPr>
      <w:r>
        <w:rPr>
          <w:rFonts w:ascii="仿宋_GB2312" w:hAnsi="仿宋_GB2312" w:eastAsia="仿宋_GB2312"/>
          <w:b w:val="0"/>
          <w:sz w:val="32"/>
        </w:rPr>
        <w:t>4.商业服务业等支出(类)392.72万元,占55.73%。</w:t>
      </w:r>
    </w:p>
    <w:p w14:paraId="17E7AF67">
      <w:pPr>
        <w:spacing w:line="580" w:lineRule="exact"/>
        <w:ind w:firstLine="640"/>
        <w:jc w:val="both"/>
      </w:pPr>
      <w:r>
        <w:rPr>
          <w:rFonts w:ascii="仿宋_GB2312" w:hAnsi="仿宋_GB2312" w:eastAsia="仿宋_GB2312"/>
          <w:b w:val="0"/>
          <w:sz w:val="32"/>
        </w:rPr>
        <w:t>5.住房保障支出(类)19.23万元,占2.73%。</w:t>
      </w:r>
    </w:p>
    <w:p w14:paraId="6B4A18B0">
      <w:pPr>
        <w:spacing w:line="640" w:lineRule="exact"/>
        <w:ind w:firstLine="640"/>
        <w:jc w:val="both"/>
        <w:outlineLvl w:val="3"/>
      </w:pPr>
      <w:r>
        <w:rPr>
          <w:rFonts w:ascii="楷体_GB2312" w:hAnsi="楷体_GB2312" w:eastAsia="楷体_GB2312"/>
          <w:b/>
          <w:sz w:val="32"/>
        </w:rPr>
        <w:t>（三）一般公共预算财政拨款支出决算具体情况</w:t>
      </w:r>
    </w:p>
    <w:p w14:paraId="7196AA03">
      <w:pPr>
        <w:spacing w:line="580" w:lineRule="exact"/>
        <w:ind w:firstLine="640"/>
        <w:jc w:val="both"/>
      </w:pPr>
      <w:r>
        <w:rPr>
          <w:rFonts w:ascii="仿宋_GB2312" w:hAnsi="仿宋_GB2312" w:eastAsia="仿宋_GB2312"/>
          <w:b w:val="0"/>
          <w:sz w:val="32"/>
        </w:rPr>
        <w:t>1.一般公共服务支出(类)统战事务(款)行政运行(项):支出决算数为208.06万元，比上年决算减少13.30万元，下降6.01%,主要原因是：本年在职人员调入调出，人员职级不同，工资基数不同，导致人员经费较上年减少。</w:t>
      </w:r>
    </w:p>
    <w:p w14:paraId="298EB095">
      <w:pPr>
        <w:spacing w:line="580" w:lineRule="exact"/>
        <w:ind w:firstLine="640"/>
        <w:jc w:val="both"/>
      </w:pPr>
      <w:r>
        <w:rPr>
          <w:rFonts w:ascii="仿宋_GB2312" w:hAnsi="仿宋_GB2312" w:eastAsia="仿宋_GB2312"/>
          <w:b w:val="0"/>
          <w:sz w:val="32"/>
        </w:rPr>
        <w:t>2.一般公共服务支出(类)统战事务(款)一般行政管理事务(项):支出决算数为33.70万元，比上年决算增加0.50万元，增长1.51%,主要原因是：本年新增霍尔果斯市新联会活动资金项目。</w:t>
      </w:r>
    </w:p>
    <w:p w14:paraId="228FC532">
      <w:pPr>
        <w:spacing w:line="580" w:lineRule="exact"/>
        <w:ind w:firstLine="640"/>
        <w:jc w:val="both"/>
      </w:pPr>
      <w:r>
        <w:rPr>
          <w:rFonts w:ascii="仿宋_GB2312" w:hAnsi="仿宋_GB2312" w:eastAsia="仿宋_GB2312"/>
          <w:b w:val="0"/>
          <w:sz w:val="32"/>
        </w:rPr>
        <w:t>3.一般公共服务支出(类)统战事务(款)宗教事务(项):支出决算数为13.90万元，比上年决算减少17.85万元，下降56.22%,主要原因是：本年减少管委会工作、人员经费减少。</w:t>
      </w:r>
    </w:p>
    <w:p w14:paraId="71BA7A3A">
      <w:pPr>
        <w:spacing w:line="580" w:lineRule="exact"/>
        <w:ind w:firstLine="640"/>
        <w:jc w:val="both"/>
      </w:pPr>
      <w:r>
        <w:rPr>
          <w:rFonts w:ascii="仿宋_GB2312" w:hAnsi="仿宋_GB2312" w:eastAsia="仿宋_GB2312"/>
          <w:b w:val="0"/>
          <w:sz w:val="32"/>
        </w:rPr>
        <w:t>4.一般公共服务支出(类)统战事务(款)其他统战事务支出(项):支出决算数为0.00万元，比上年决算减少39.18万元，下降100.00%,主要原因是：本年功能科目调整，民贸民品贴息由其他统战事务支出科目调整至民贸民品贷款贴息科目，导致经费较上年减少。</w:t>
      </w:r>
    </w:p>
    <w:p w14:paraId="287E95F6">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5.社会保障和就业支出(类)行政事业单位养老支出(款)行政单位离退休(项):支出决算数为1.24万元，比上年决算增加0.85万元，增长217.95%,主要原因是：本年增加退休人员基础绩效奖，退休费支出增加。</w:t>
      </w:r>
    </w:p>
    <w:p w14:paraId="4EFDA4EF">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20.29万元，比上年决算减少0.52万元，下降2.50%,主要原因是：本年在职人员调入调出，人员职级不同，缴费基数不同，导致养老保险缴费较上年减少。</w:t>
      </w:r>
    </w:p>
    <w:p w14:paraId="473EB429">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10.30万元，比上年决算增加9.32万元，增长951.02%,主要原因是：本年功能科目调整，部分机关事业单位职业年金缴费上年度在主科目列支，本年全部单独列支，导致经费较上年增加。</w:t>
      </w:r>
    </w:p>
    <w:p w14:paraId="0DFA5925">
      <w:pPr>
        <w:spacing w:line="580" w:lineRule="exact"/>
        <w:ind w:firstLine="640"/>
        <w:jc w:val="both"/>
      </w:pPr>
      <w:r>
        <w:rPr>
          <w:rFonts w:ascii="仿宋_GB2312" w:hAnsi="仿宋_GB2312" w:eastAsia="仿宋_GB2312"/>
          <w:b w:val="0"/>
          <w:sz w:val="32"/>
        </w:rPr>
        <w:t>8.农林水支出(类)巩固脱贫攻坚成果衔接乡村振兴(款)其他巩固脱贫攻坚成果衔接乡村振兴支出(项):支出决算数为5.20万元，比上年决算增加5.20万元，增长100.00%,主要原因是：本年增加霍尔果斯市困难群众饮用送茶入户项目。</w:t>
      </w:r>
    </w:p>
    <w:p w14:paraId="78FFD9FD">
      <w:pPr>
        <w:spacing w:line="580" w:lineRule="exact"/>
        <w:ind w:firstLine="640"/>
        <w:jc w:val="both"/>
      </w:pPr>
      <w:r>
        <w:rPr>
          <w:rFonts w:ascii="仿宋_GB2312" w:hAnsi="仿宋_GB2312" w:eastAsia="仿宋_GB2312"/>
          <w:b w:val="0"/>
          <w:sz w:val="32"/>
        </w:rPr>
        <w:t>9.商业服务业等支出(类)商业流通事务(款)民贸民品贷款贴息(项):支出决算数为392.72万元，比上年决算增加218.47万元，增长125.38%,主要原因是：本年功能科目调整，民贸民品贴息由其他统战事务支出科目调整至民贸民品贷款贴息科目，导致经费较上年增加；本年民营企业贴息等项目资金较上年增加。</w:t>
      </w:r>
    </w:p>
    <w:p w14:paraId="5E449189">
      <w:pPr>
        <w:spacing w:line="580" w:lineRule="exact"/>
        <w:ind w:firstLine="640"/>
        <w:jc w:val="both"/>
      </w:pPr>
      <w:r>
        <w:rPr>
          <w:rFonts w:ascii="仿宋_GB2312" w:hAnsi="仿宋_GB2312" w:eastAsia="仿宋_GB2312"/>
          <w:b w:val="0"/>
          <w:sz w:val="32"/>
        </w:rPr>
        <w:t>10.住房保障支出(类)住房改革支出(款)住房公积金(项):支出决算数为19.23万元，比上年决算减少2.61万元，下降11.95%,主要原因是：本年在职人员调入调出，人员职级不同，缴费基数不同，导致住房公积金较上年减少。</w:t>
      </w:r>
    </w:p>
    <w:p w14:paraId="7E01F8B0">
      <w:pPr>
        <w:spacing w:line="640" w:lineRule="exact"/>
        <w:ind w:firstLine="640"/>
        <w:jc w:val="both"/>
        <w:outlineLvl w:val="2"/>
      </w:pPr>
      <w:r>
        <w:rPr>
          <w:rFonts w:ascii="黑体" w:hAnsi="黑体" w:eastAsia="黑体"/>
          <w:sz w:val="32"/>
        </w:rPr>
        <w:t>六、一般公共预算财政拨款基本支出决算情况说明</w:t>
      </w:r>
    </w:p>
    <w:p w14:paraId="2E1E45D6">
      <w:pPr>
        <w:spacing w:line="580" w:lineRule="exact"/>
        <w:ind w:firstLine="640"/>
        <w:jc w:val="both"/>
      </w:pPr>
      <w:r>
        <w:rPr>
          <w:rFonts w:ascii="仿宋_GB2312" w:hAnsi="仿宋_GB2312" w:eastAsia="仿宋_GB2312"/>
          <w:b w:val="0"/>
          <w:sz w:val="32"/>
        </w:rPr>
        <w:t>2024年度一般公共预算财政拨款基本支出259.13万元，其中：</w:t>
      </w:r>
      <w:r>
        <w:rPr>
          <w:rFonts w:ascii="仿宋_GB2312" w:hAnsi="仿宋_GB2312" w:eastAsia="仿宋_GB2312"/>
          <w:b/>
          <w:sz w:val="32"/>
        </w:rPr>
        <w:t>人员经费245.72万元，</w:t>
      </w:r>
      <w:r>
        <w:rPr>
          <w:rFonts w:ascii="仿宋_GB2312" w:hAnsi="仿宋_GB2312" w:eastAsia="仿宋_GB2312"/>
          <w:b w:val="0"/>
          <w:sz w:val="32"/>
        </w:rPr>
        <w:t>包括：基本工资、津贴补贴、绩效工资、机关事业单位基本养老保险缴费、职业年金缴费、职工基本医疗保险缴费、公务员医疗补助缴费、其他社会保障缴费、住房公积金、其他工资福利支出、退休费。</w:t>
      </w:r>
    </w:p>
    <w:p w14:paraId="06CFE647">
      <w:pPr>
        <w:spacing w:line="580" w:lineRule="exact"/>
        <w:ind w:firstLine="640"/>
        <w:jc w:val="both"/>
      </w:pPr>
      <w:r>
        <w:rPr>
          <w:rFonts w:ascii="仿宋_GB2312" w:hAnsi="仿宋_GB2312" w:eastAsia="仿宋_GB2312"/>
          <w:b/>
          <w:sz w:val="32"/>
        </w:rPr>
        <w:t>公用经费13.40万元，</w:t>
      </w:r>
      <w:r>
        <w:rPr>
          <w:rFonts w:ascii="仿宋_GB2312" w:hAnsi="仿宋_GB2312" w:eastAsia="仿宋_GB2312"/>
          <w:b w:val="0"/>
          <w:sz w:val="32"/>
        </w:rPr>
        <w:t>包括：办公费、取暖费、物业管理费、差旅费、租赁费、培训费、工会经费、税金及附加费用。</w:t>
      </w:r>
    </w:p>
    <w:p w14:paraId="7CC4C484">
      <w:pPr>
        <w:spacing w:line="640" w:lineRule="exact"/>
        <w:ind w:firstLine="640"/>
        <w:jc w:val="both"/>
        <w:outlineLvl w:val="2"/>
      </w:pPr>
      <w:r>
        <w:rPr>
          <w:rFonts w:ascii="黑体" w:hAnsi="黑体" w:eastAsia="黑体"/>
          <w:sz w:val="32"/>
        </w:rPr>
        <w:t>七、政府性基金预算财政拨款收入支出决算情况说明</w:t>
      </w:r>
    </w:p>
    <w:p w14:paraId="3312B76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1D6ADFF">
      <w:pPr>
        <w:spacing w:line="640" w:lineRule="exact"/>
        <w:ind w:firstLine="640"/>
        <w:jc w:val="both"/>
        <w:outlineLvl w:val="2"/>
      </w:pPr>
      <w:r>
        <w:rPr>
          <w:rFonts w:ascii="黑体" w:hAnsi="黑体" w:eastAsia="黑体"/>
          <w:sz w:val="32"/>
        </w:rPr>
        <w:t>八、国有资本经营预算财政拨款收入支出决算情况说明</w:t>
      </w:r>
    </w:p>
    <w:p w14:paraId="028BE34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99D1848">
      <w:pPr>
        <w:spacing w:line="640" w:lineRule="exact"/>
        <w:ind w:firstLine="640"/>
        <w:jc w:val="both"/>
        <w:outlineLvl w:val="2"/>
      </w:pPr>
      <w:r>
        <w:rPr>
          <w:rFonts w:ascii="黑体" w:hAnsi="黑体" w:eastAsia="黑体"/>
          <w:sz w:val="32"/>
        </w:rPr>
        <w:t>九、财政拨款“三公”经费支出决算情况说明</w:t>
      </w:r>
    </w:p>
    <w:p w14:paraId="5BAC5A8F">
      <w:pPr>
        <w:spacing w:line="580" w:lineRule="exact"/>
        <w:ind w:firstLine="640"/>
        <w:jc w:val="both"/>
      </w:pPr>
      <w:r>
        <w:rPr>
          <w:rFonts w:ascii="仿宋_GB2312" w:hAnsi="仿宋_GB2312" w:eastAsia="仿宋_GB2312"/>
          <w:b/>
          <w:sz w:val="32"/>
        </w:rPr>
        <w:t>2024年度财政拨款“三公”经费支出4.77万元，</w:t>
      </w:r>
      <w:r>
        <w:rPr>
          <w:rFonts w:ascii="仿宋_GB2312" w:hAnsi="仿宋_GB2312" w:eastAsia="仿宋_GB2312"/>
          <w:b w:val="0"/>
          <w:sz w:val="32"/>
        </w:rPr>
        <w:t>比上年增加3.03万元，增长174.14%，主要原因是：本年因业务需求，增加公务接待工作，导致公务接待费较上年增加。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4.77万元，占100.00%，比上年增加3.03万元，增长174.14%，主要原因是：本年因业务需求，增加公务接待工作，导致公务接待费较上年增加。</w:t>
      </w:r>
    </w:p>
    <w:p w14:paraId="323BA2B2">
      <w:pPr>
        <w:spacing w:line="580" w:lineRule="exact"/>
        <w:ind w:firstLine="640"/>
        <w:jc w:val="both"/>
      </w:pPr>
      <w:r>
        <w:rPr>
          <w:rFonts w:ascii="仿宋_GB2312" w:hAnsi="仿宋_GB2312" w:eastAsia="仿宋_GB2312"/>
          <w:b/>
          <w:sz w:val="32"/>
        </w:rPr>
        <w:t>具体情况如下：</w:t>
      </w:r>
    </w:p>
    <w:p w14:paraId="6DE0BDB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A084D32">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49E49D33">
      <w:pPr>
        <w:spacing w:line="580" w:lineRule="exact"/>
        <w:ind w:firstLine="640"/>
        <w:jc w:val="both"/>
      </w:pPr>
      <w:r>
        <w:rPr>
          <w:rFonts w:ascii="仿宋_GB2312" w:hAnsi="仿宋_GB2312" w:eastAsia="仿宋_GB2312"/>
          <w:b w:val="0"/>
          <w:sz w:val="32"/>
        </w:rPr>
        <w:t>公务接待费4.77万元，开支内容包括接待上级调研产生的住宿费及餐费。单位全年安排的国内公务接待50批次，477人次。</w:t>
      </w:r>
    </w:p>
    <w:p w14:paraId="3ACD772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4.77万元，决算数4.77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4.77万元，决算数4.77万元，预决算差异率0.00%，主要原因是：严格按照预算执行，预决算无差异。</w:t>
      </w:r>
    </w:p>
    <w:p w14:paraId="10987ABE">
      <w:pPr>
        <w:spacing w:line="640" w:lineRule="exact"/>
        <w:ind w:firstLine="640"/>
        <w:jc w:val="both"/>
        <w:outlineLvl w:val="2"/>
      </w:pPr>
      <w:r>
        <w:rPr>
          <w:rFonts w:ascii="黑体" w:hAnsi="黑体" w:eastAsia="黑体"/>
          <w:sz w:val="32"/>
        </w:rPr>
        <w:t>十、其他重要事项的情况说明</w:t>
      </w:r>
    </w:p>
    <w:p w14:paraId="0093FAF2">
      <w:pPr>
        <w:spacing w:line="640" w:lineRule="exact"/>
        <w:ind w:firstLine="640"/>
        <w:jc w:val="both"/>
        <w:outlineLvl w:val="3"/>
      </w:pPr>
      <w:r>
        <w:rPr>
          <w:rFonts w:ascii="楷体_GB2312" w:hAnsi="楷体_GB2312" w:eastAsia="楷体_GB2312"/>
          <w:b/>
          <w:sz w:val="32"/>
        </w:rPr>
        <w:t>（一）机关运行经费及公用经费支出情况</w:t>
      </w:r>
    </w:p>
    <w:p w14:paraId="3DD01384">
      <w:pPr>
        <w:spacing w:line="580" w:lineRule="exact"/>
        <w:ind w:firstLine="640"/>
        <w:jc w:val="both"/>
      </w:pPr>
      <w:r>
        <w:rPr>
          <w:rFonts w:ascii="仿宋_GB2312" w:hAnsi="仿宋_GB2312" w:eastAsia="仿宋_GB2312"/>
          <w:b w:val="0"/>
          <w:sz w:val="32"/>
        </w:rPr>
        <w:t>2024年度中国共产党霍尔果斯市委员会统一战线工作部（行政单位和参照公务员法管理事业单位）机关运行经费支出13.40万元，比上年增加2.59万元，增长23.96%，主要原因是：本年在职人员增加，办公费用增加</w:t>
      </w:r>
      <w:r>
        <w:rPr>
          <w:rFonts w:hint="eastAsia" w:ascii="仿宋_GB2312" w:hAnsi="仿宋_GB2312" w:eastAsia="仿宋_GB2312"/>
          <w:b w:val="0"/>
          <w:sz w:val="32"/>
          <w:lang w:eastAsia="zh-CN"/>
        </w:rPr>
        <w:t>，</w:t>
      </w:r>
      <w:r>
        <w:rPr>
          <w:rFonts w:ascii="仿宋_GB2312" w:hAnsi="仿宋_GB2312" w:eastAsia="仿宋_GB2312"/>
          <w:b w:val="0"/>
          <w:sz w:val="32"/>
        </w:rPr>
        <w:t>取暖费、物业管理费</w:t>
      </w:r>
      <w:r>
        <w:rPr>
          <w:rFonts w:hint="eastAsia" w:ascii="仿宋_GB2312" w:hAnsi="仿宋_GB2312" w:eastAsia="仿宋_GB2312"/>
          <w:b w:val="0"/>
          <w:sz w:val="32"/>
          <w:lang w:val="en-US" w:eastAsia="zh-CN"/>
        </w:rPr>
        <w:t>增加</w:t>
      </w:r>
      <w:bookmarkStart w:id="0" w:name="_GoBack"/>
      <w:bookmarkEnd w:id="0"/>
      <w:r>
        <w:rPr>
          <w:rFonts w:ascii="仿宋_GB2312" w:hAnsi="仿宋_GB2312" w:eastAsia="仿宋_GB2312"/>
          <w:b w:val="0"/>
          <w:sz w:val="32"/>
        </w:rPr>
        <w:t>。</w:t>
      </w:r>
    </w:p>
    <w:p w14:paraId="0F371842">
      <w:pPr>
        <w:spacing w:line="640" w:lineRule="exact"/>
        <w:ind w:firstLine="640"/>
        <w:jc w:val="both"/>
        <w:outlineLvl w:val="3"/>
      </w:pPr>
      <w:r>
        <w:rPr>
          <w:rFonts w:ascii="楷体_GB2312" w:hAnsi="楷体_GB2312" w:eastAsia="楷体_GB2312"/>
          <w:b/>
          <w:sz w:val="32"/>
        </w:rPr>
        <w:t>（二）政府采购情况</w:t>
      </w:r>
    </w:p>
    <w:p w14:paraId="64186CE3">
      <w:pPr>
        <w:spacing w:line="580" w:lineRule="exact"/>
        <w:ind w:firstLine="640"/>
        <w:jc w:val="both"/>
      </w:pPr>
      <w:r>
        <w:rPr>
          <w:rFonts w:ascii="仿宋_GB2312" w:hAnsi="仿宋_GB2312" w:eastAsia="仿宋_GB2312"/>
          <w:b w:val="0"/>
          <w:sz w:val="32"/>
        </w:rPr>
        <w:t>2024年度政府采购支出总额33.63万元，其中：政府采购货物支出13.54万元、政府采购工程支出0.00万元、政府采购服务支出20.10万元。</w:t>
      </w:r>
    </w:p>
    <w:p w14:paraId="26013FFE">
      <w:pPr>
        <w:spacing w:line="580" w:lineRule="exact"/>
        <w:ind w:firstLine="640"/>
        <w:jc w:val="both"/>
      </w:pPr>
      <w:r>
        <w:rPr>
          <w:rFonts w:ascii="仿宋_GB2312" w:hAnsi="仿宋_GB2312" w:eastAsia="仿宋_GB2312"/>
          <w:b w:val="0"/>
          <w:sz w:val="32"/>
        </w:rPr>
        <w:t>授予中小企业合同金额33.63万元，占政府采购支出总额的100.00%，其中：授予小微企业合同金额33.63万元，占政府采购支出总额的100.00%。</w:t>
      </w:r>
    </w:p>
    <w:p w14:paraId="1221359A">
      <w:pPr>
        <w:spacing w:line="640" w:lineRule="exact"/>
        <w:ind w:firstLine="640"/>
        <w:jc w:val="both"/>
        <w:outlineLvl w:val="3"/>
      </w:pPr>
      <w:r>
        <w:rPr>
          <w:rFonts w:ascii="楷体_GB2312" w:hAnsi="楷体_GB2312" w:eastAsia="楷体_GB2312"/>
          <w:b/>
          <w:sz w:val="32"/>
        </w:rPr>
        <w:t>（三）国有资产占用情况说明</w:t>
      </w:r>
    </w:p>
    <w:p w14:paraId="3CD210BE">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99F8D2E">
      <w:pPr>
        <w:spacing w:line="640" w:lineRule="exact"/>
        <w:ind w:firstLine="640"/>
        <w:jc w:val="both"/>
        <w:outlineLvl w:val="2"/>
      </w:pPr>
      <w:r>
        <w:rPr>
          <w:rFonts w:ascii="黑体" w:hAnsi="黑体" w:eastAsia="黑体"/>
          <w:sz w:val="32"/>
        </w:rPr>
        <w:t>十一、预算绩效的情况说明</w:t>
      </w:r>
    </w:p>
    <w:p w14:paraId="11891B3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787.11万元，实际执行总额761.91万元；预算绩效评价项目5个，全年预算数234.22万元，全年执行数233.63万元。预算绩效管理取得的成效：民族团结进步创建宣传教育深入人心；组织铸牢中华民族共同体意识民族团结系列报告会、座谈会、联谊会，知识竞赛活动；工商联做好民营企业家的走访慰问，组织民营企业家参加座谈交流；侨联工作组织开展对困难归侨、侨眷的走访慰问，宣传，联谊交流座谈会。推进统战各项工作有序开展，建设新的社会阶层组织；排除相关领域重大安全隐患，促进全市统战工作持续正常运转。发现的问题及原因：1.对绩效评价结果运用不够，</w:t>
      </w:r>
      <w:r>
        <w:rPr>
          <w:rFonts w:hint="eastAsia" w:ascii="仿宋_GB2312" w:hAnsi="仿宋_GB2312" w:eastAsia="仿宋_GB2312"/>
          <w:b w:val="0"/>
          <w:sz w:val="32"/>
          <w:lang w:eastAsia="zh-CN"/>
        </w:rPr>
        <w:t>由于</w:t>
      </w:r>
      <w:r>
        <w:rPr>
          <w:rFonts w:ascii="仿宋_GB2312" w:hAnsi="仿宋_GB2312" w:eastAsia="仿宋_GB2312"/>
          <w:b w:val="0"/>
          <w:sz w:val="32"/>
        </w:rPr>
        <w:t>部分人员缺乏相关绩效管理专业知识，导致绩效评价结果运用不到位，影响后续工作。2.因工作人员调动等因素使</w:t>
      </w:r>
      <w:r>
        <w:rPr>
          <w:rFonts w:hint="eastAsia" w:ascii="仿宋_GB2312" w:hAnsi="仿宋_GB2312" w:eastAsia="仿宋_GB2312"/>
          <w:b w:val="0"/>
          <w:sz w:val="32"/>
          <w:lang w:eastAsia="zh-CN"/>
        </w:rPr>
        <w:t>本单位</w:t>
      </w:r>
      <w:r>
        <w:rPr>
          <w:rFonts w:ascii="仿宋_GB2312" w:hAnsi="仿宋_GB2312" w:eastAsia="仿宋_GB2312"/>
          <w:b w:val="0"/>
          <w:sz w:val="32"/>
        </w:rPr>
        <w:t>绩效工作人员流动频繁，造成工作衔接不到位的情况。下一步改进措施：1.多进行有关绩效管理工作方面的培训。积极组织第三方开展绩效管理工作培训，进一步夯实业务基础，提高</w:t>
      </w:r>
      <w:r>
        <w:rPr>
          <w:rFonts w:hint="eastAsia" w:ascii="仿宋_GB2312" w:hAnsi="仿宋_GB2312" w:eastAsia="仿宋_GB2312"/>
          <w:b w:val="0"/>
          <w:sz w:val="32"/>
          <w:lang w:eastAsia="zh-CN"/>
        </w:rPr>
        <w:t>本单位</w:t>
      </w:r>
      <w:r>
        <w:rPr>
          <w:rFonts w:ascii="仿宋_GB2312" w:hAnsi="仿宋_GB2312" w:eastAsia="仿宋_GB2312"/>
          <w:b w:val="0"/>
          <w:sz w:val="32"/>
        </w:rPr>
        <w:t>绩效人员水平。2.专门设定对绩效工作人员定职、定岗、定责等相关制度措施，进一步提升</w:t>
      </w:r>
      <w:r>
        <w:rPr>
          <w:rFonts w:hint="eastAsia" w:ascii="仿宋_GB2312" w:hAnsi="仿宋_GB2312" w:eastAsia="仿宋_GB2312"/>
          <w:b w:val="0"/>
          <w:sz w:val="32"/>
          <w:lang w:eastAsia="zh-CN"/>
        </w:rPr>
        <w:t>本单位</w:t>
      </w:r>
      <w:r>
        <w:rPr>
          <w:rFonts w:ascii="仿宋_GB2312" w:hAnsi="仿宋_GB2312" w:eastAsia="仿宋_GB2312"/>
          <w:b w:val="0"/>
          <w:sz w:val="32"/>
        </w:rPr>
        <w:t>绩效管理工作业务水平，扎实做好绩效管理工作。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4.进一步完善项目评价过程中有关数据和资料的收集、整理、审核及分析。项目启动时同步做好档案的归纳与整理，及时整理、收集、汇总，健全档案资料。项目后续管理有待进一步加强和跟踪。5.进一步加强对绩效管理工作的组织领导，提高对预算绩效管理工作重要性的认识，总结经验查找问题，抓紧研究制定更全面更完善的绩效评价管理办法。具体附整体支出绩效自评表，项目支出绩效自评表和评价报告。</w:t>
      </w:r>
    </w:p>
    <w:p w14:paraId="3C9E24DC">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654945F0">
        <w:tblPrEx>
          <w:tblCellMar>
            <w:top w:w="0" w:type="dxa"/>
            <w:left w:w="108" w:type="dxa"/>
            <w:bottom w:w="0" w:type="dxa"/>
            <w:right w:w="108" w:type="dxa"/>
          </w:tblCellMar>
        </w:tblPrEx>
        <w:tc>
          <w:tcPr>
            <w:tcW w:w="8840" w:type="dxa"/>
            <w:gridSpan w:val="8"/>
            <w:vAlign w:val="center"/>
          </w:tcPr>
          <w:p w14:paraId="4FBD500F">
            <w:pPr>
              <w:jc w:val="center"/>
            </w:pPr>
            <w:r>
              <w:rPr>
                <w:rFonts w:ascii="宋体" w:hAnsi="宋体" w:eastAsia="宋体"/>
                <w:sz w:val="24"/>
              </w:rPr>
              <w:t>单位整体支出绩效自评表</w:t>
            </w:r>
          </w:p>
        </w:tc>
      </w:tr>
      <w:tr w14:paraId="08BB8175">
        <w:tblPrEx>
          <w:tblCellMar>
            <w:top w:w="0" w:type="dxa"/>
            <w:left w:w="108" w:type="dxa"/>
            <w:bottom w:w="0" w:type="dxa"/>
            <w:right w:w="108" w:type="dxa"/>
          </w:tblCellMar>
        </w:tblPrEx>
        <w:tc>
          <w:tcPr>
            <w:tcW w:w="8840" w:type="dxa"/>
            <w:gridSpan w:val="8"/>
            <w:vAlign w:val="center"/>
          </w:tcPr>
          <w:p w14:paraId="619F48AD">
            <w:pPr>
              <w:jc w:val="center"/>
            </w:pPr>
            <w:r>
              <w:rPr>
                <w:rFonts w:ascii="宋体" w:hAnsi="宋体" w:eastAsia="宋体"/>
                <w:sz w:val="24"/>
              </w:rPr>
              <w:t>（2024年度）</w:t>
            </w:r>
          </w:p>
        </w:tc>
      </w:tr>
      <w:tr w14:paraId="3331B50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4F5E8C">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84C91E">
            <w:pPr>
              <w:jc w:val="center"/>
            </w:pPr>
            <w:r>
              <w:rPr>
                <w:rFonts w:ascii="宋体" w:hAnsi="宋体" w:eastAsia="宋体"/>
                <w:sz w:val="16"/>
              </w:rPr>
              <w:t>中国共产党霍尔果斯市委员会统一战线工作部</w:t>
            </w:r>
          </w:p>
        </w:tc>
      </w:tr>
      <w:tr w14:paraId="04D679D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8F228">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6E531C">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4172AB">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644999">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41E326">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35807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CBC252">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FC0C04">
            <w:pPr>
              <w:jc w:val="center"/>
            </w:pPr>
            <w:r>
              <w:rPr>
                <w:rFonts w:ascii="宋体" w:hAnsi="宋体" w:eastAsia="宋体"/>
                <w:sz w:val="16"/>
              </w:rPr>
              <w:t>得分</w:t>
            </w:r>
          </w:p>
        </w:tc>
      </w:tr>
      <w:tr w14:paraId="7FE0617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AD0E87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3E83D6">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6D16CF">
            <w:pPr>
              <w:jc w:val="center"/>
            </w:pPr>
            <w:r>
              <w:rPr>
                <w:rFonts w:ascii="宋体" w:hAnsi="宋体" w:eastAsia="宋体"/>
                <w:sz w:val="16"/>
              </w:rPr>
              <w:t>338.21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62B5F7">
            <w:pPr>
              <w:jc w:val="center"/>
            </w:pPr>
            <w:r>
              <w:rPr>
                <w:rFonts w:ascii="宋体" w:hAnsi="宋体" w:eastAsia="宋体"/>
                <w:sz w:val="16"/>
              </w:rPr>
              <w:t>787.11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247998">
            <w:pPr>
              <w:jc w:val="center"/>
            </w:pPr>
            <w:r>
              <w:rPr>
                <w:rFonts w:ascii="宋体" w:hAnsi="宋体" w:eastAsia="宋体"/>
                <w:sz w:val="16"/>
              </w:rPr>
              <w:t>761.91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F6A39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C64310">
            <w:pPr>
              <w:jc w:val="center"/>
            </w:pPr>
            <w:r>
              <w:rPr>
                <w:rFonts w:ascii="宋体" w:hAnsi="宋体" w:eastAsia="宋体"/>
                <w:sz w:val="16"/>
              </w:rPr>
              <w:t>96.8%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154F29">
            <w:pPr>
              <w:jc w:val="center"/>
            </w:pPr>
            <w:r>
              <w:rPr>
                <w:rFonts w:ascii="宋体" w:hAnsi="宋体" w:eastAsia="宋体"/>
                <w:sz w:val="16"/>
              </w:rPr>
              <w:t>9.68</w:t>
            </w:r>
          </w:p>
        </w:tc>
      </w:tr>
      <w:tr w14:paraId="4DB48AD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65EFF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3174A0">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14B928">
            <w:pPr>
              <w:jc w:val="center"/>
            </w:pPr>
            <w:r>
              <w:rPr>
                <w:rFonts w:ascii="宋体" w:hAnsi="宋体" w:eastAsia="宋体"/>
                <w:sz w:val="16"/>
              </w:rPr>
              <w:t>15.28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6FC361">
            <w:pPr>
              <w:jc w:val="center"/>
            </w:pPr>
            <w:r>
              <w:rPr>
                <w:rFonts w:ascii="宋体" w:hAnsi="宋体" w:eastAsia="宋体"/>
                <w:sz w:val="16"/>
              </w:rPr>
              <w:t>408.00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9D85D2">
            <w:pPr>
              <w:jc w:val="center"/>
            </w:pPr>
            <w:r>
              <w:rPr>
                <w:rFonts w:ascii="宋体" w:hAnsi="宋体" w:eastAsia="宋体"/>
                <w:sz w:val="16"/>
              </w:rPr>
              <w:t>408.00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E054C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087BA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788DCB">
            <w:pPr>
              <w:jc w:val="center"/>
            </w:pPr>
            <w:r>
              <w:rPr>
                <w:rFonts w:ascii="宋体" w:hAnsi="宋体" w:eastAsia="宋体"/>
                <w:sz w:val="16"/>
              </w:rPr>
              <w:t>-</w:t>
            </w:r>
          </w:p>
        </w:tc>
      </w:tr>
      <w:tr w14:paraId="79CC24B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28BC6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96CFDB">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D984F3">
            <w:pPr>
              <w:jc w:val="center"/>
            </w:pPr>
            <w:r>
              <w:rPr>
                <w:rFonts w:ascii="宋体" w:hAnsi="宋体" w:eastAsia="宋体"/>
                <w:sz w:val="16"/>
              </w:rPr>
              <w:t>322.93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9858CF">
            <w:pPr>
              <w:jc w:val="center"/>
            </w:pPr>
            <w:r>
              <w:rPr>
                <w:rFonts w:ascii="宋体" w:hAnsi="宋体" w:eastAsia="宋体"/>
                <w:sz w:val="16"/>
              </w:rPr>
              <w:t>296.64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134230">
            <w:pPr>
              <w:jc w:val="center"/>
            </w:pPr>
            <w:r>
              <w:rPr>
                <w:rFonts w:ascii="宋体" w:hAnsi="宋体" w:eastAsia="宋体"/>
                <w:sz w:val="16"/>
              </w:rPr>
              <w:t>273.74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BF328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7637C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88B55E">
            <w:pPr>
              <w:jc w:val="center"/>
            </w:pPr>
            <w:r>
              <w:rPr>
                <w:rFonts w:ascii="宋体" w:hAnsi="宋体" w:eastAsia="宋体"/>
                <w:sz w:val="16"/>
              </w:rPr>
              <w:t>-</w:t>
            </w:r>
          </w:p>
        </w:tc>
      </w:tr>
      <w:tr w14:paraId="1373405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54AD42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F15356">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3FDE8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25E7B7">
            <w:pPr>
              <w:jc w:val="center"/>
            </w:pPr>
            <w:r>
              <w:rPr>
                <w:rFonts w:ascii="宋体" w:hAnsi="宋体" w:eastAsia="宋体"/>
                <w:sz w:val="16"/>
              </w:rPr>
              <w:t>82.47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643EFF">
            <w:pPr>
              <w:jc w:val="center"/>
            </w:pPr>
            <w:r>
              <w:rPr>
                <w:rFonts w:ascii="宋体" w:hAnsi="宋体" w:eastAsia="宋体"/>
                <w:sz w:val="16"/>
              </w:rPr>
              <w:t>80.17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F1AD6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88854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EA45B1">
            <w:pPr>
              <w:jc w:val="center"/>
            </w:pPr>
            <w:r>
              <w:rPr>
                <w:rFonts w:ascii="宋体" w:hAnsi="宋体" w:eastAsia="宋体"/>
                <w:sz w:val="16"/>
              </w:rPr>
              <w:t>-</w:t>
            </w:r>
          </w:p>
        </w:tc>
      </w:tr>
      <w:tr w14:paraId="47A50C9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358FF">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2B8F8A">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A115B3">
            <w:pPr>
              <w:jc w:val="center"/>
            </w:pPr>
            <w:r>
              <w:rPr>
                <w:rFonts w:ascii="宋体" w:hAnsi="宋体" w:eastAsia="宋体"/>
                <w:sz w:val="16"/>
              </w:rPr>
              <w:t>实际完成情况</w:t>
            </w:r>
          </w:p>
        </w:tc>
      </w:tr>
      <w:tr w14:paraId="229860B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705874"/>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772505">
            <w:pPr>
              <w:jc w:val="both"/>
            </w:pPr>
            <w:r>
              <w:rPr>
                <w:rFonts w:ascii="宋体" w:hAnsi="宋体" w:eastAsia="宋体"/>
                <w:sz w:val="16"/>
              </w:rPr>
              <w:t>一是以铸牢中华民族共同体意识为主线，推动全市各民族广泛交往交流交融。二是全面巩固提升自治区、自治州和市级民族团结进步示范区示范单位创建成果，争创一批自治区、自治州民族团结进步示范区示范单位。三是推动兵地民族团结进步共创共建工作，推动兵地各族群众干部在交往交流中增进团结。四是优化“万企兴万村”结对共建，发挥示范引领作用。五是积极服务基层侨界群众。</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6EAC74">
            <w:pPr>
              <w:jc w:val="both"/>
            </w:pPr>
            <w:r>
              <w:rPr>
                <w:rFonts w:ascii="宋体" w:hAnsi="宋体" w:eastAsia="宋体"/>
                <w:sz w:val="16"/>
              </w:rPr>
              <w:t>民族团结进步创建宣传教育深入人心；组织铸牢中华民族共同体意识民族团结系列报告会、座谈会、联谊会，知识竞赛活动；工商联做好民营企业家的走访慰问，组织民营企业家参加座谈交流；侨联工作组织开展对困难归侨、侨眷的走访慰问，宣传，联谊交流座谈会。推进统战各项工作有序开展，建设新的社会阶层组织；排除相关领域重大安全隐患，促进全市统战工作持续正常运转。</w:t>
            </w:r>
          </w:p>
        </w:tc>
      </w:tr>
      <w:tr w14:paraId="5B5D7BD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A96131">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81398D">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8C1C8E">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734E61">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0D04F0">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120E0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D1276E">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E5C7E1">
            <w:pPr>
              <w:jc w:val="center"/>
            </w:pPr>
            <w:r>
              <w:rPr>
                <w:rFonts w:ascii="宋体" w:hAnsi="宋体" w:eastAsia="宋体"/>
                <w:sz w:val="16"/>
              </w:rPr>
              <w:t>得分</w:t>
            </w:r>
          </w:p>
        </w:tc>
      </w:tr>
      <w:tr w14:paraId="1E00811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15255">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A913C">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CDAB47">
            <w:pPr>
              <w:jc w:val="center"/>
            </w:pPr>
            <w:r>
              <w:rPr>
                <w:rFonts w:ascii="宋体" w:hAnsi="宋体" w:eastAsia="宋体"/>
                <w:sz w:val="16"/>
              </w:rPr>
              <w:t>举办市级民族团结联谊活动场次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BF8A0E">
            <w:pPr>
              <w:jc w:val="center"/>
            </w:pPr>
            <w:r>
              <w:rPr>
                <w:rFonts w:ascii="宋体" w:hAnsi="宋体" w:eastAsia="宋体"/>
                <w:sz w:val="16"/>
              </w:rPr>
              <w:t>=2场次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E4FB8C">
            <w:pPr>
              <w:jc w:val="center"/>
            </w:pPr>
            <w:r>
              <w:rPr>
                <w:rFonts w:ascii="宋体" w:hAnsi="宋体" w:eastAsia="宋体"/>
                <w:sz w:val="16"/>
              </w:rPr>
              <w:t>霍尔果斯市委统战部2024年工作计划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CE9EF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FA8941">
            <w:pPr>
              <w:jc w:val="center"/>
            </w:pPr>
            <w:r>
              <w:rPr>
                <w:rFonts w:ascii="宋体" w:hAnsi="宋体" w:eastAsia="宋体"/>
                <w:sz w:val="16"/>
              </w:rPr>
              <w:t>2场次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1965F3">
            <w:pPr>
              <w:jc w:val="center"/>
            </w:pPr>
            <w:r>
              <w:rPr>
                <w:rFonts w:ascii="宋体" w:hAnsi="宋体" w:eastAsia="宋体"/>
                <w:sz w:val="16"/>
              </w:rPr>
              <w:t>10</w:t>
            </w:r>
          </w:p>
        </w:tc>
      </w:tr>
      <w:tr w14:paraId="3CA6C81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437DDC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3E84A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552A47">
            <w:pPr>
              <w:jc w:val="center"/>
            </w:pPr>
            <w:r>
              <w:rPr>
                <w:rFonts w:ascii="宋体" w:hAnsi="宋体" w:eastAsia="宋体"/>
                <w:sz w:val="16"/>
              </w:rPr>
              <w:t>命名授牌市级示范区示范单位数量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944B0F">
            <w:pPr>
              <w:jc w:val="center"/>
            </w:pPr>
            <w:r>
              <w:rPr>
                <w:rFonts w:ascii="宋体" w:hAnsi="宋体" w:eastAsia="宋体"/>
                <w:sz w:val="16"/>
              </w:rPr>
              <w:t>=20家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345716">
            <w:pPr>
              <w:jc w:val="center"/>
            </w:pPr>
            <w:r>
              <w:rPr>
                <w:rFonts w:ascii="宋体" w:hAnsi="宋体" w:eastAsia="宋体"/>
                <w:sz w:val="16"/>
              </w:rPr>
              <w:t>霍尔果斯市委统战部2024年工作计划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243D71">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256C51">
            <w:pPr>
              <w:jc w:val="center"/>
            </w:pPr>
            <w:r>
              <w:rPr>
                <w:rFonts w:ascii="宋体" w:hAnsi="宋体" w:eastAsia="宋体"/>
                <w:sz w:val="16"/>
              </w:rPr>
              <w:t>20家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85BC1A">
            <w:pPr>
              <w:jc w:val="center"/>
            </w:pPr>
            <w:r>
              <w:rPr>
                <w:rFonts w:ascii="宋体" w:hAnsi="宋体" w:eastAsia="宋体"/>
                <w:sz w:val="16"/>
              </w:rPr>
              <w:t>15</w:t>
            </w:r>
          </w:p>
        </w:tc>
      </w:tr>
      <w:tr w14:paraId="3CBD163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04A9A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C844A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DA64AC">
            <w:pPr>
              <w:jc w:val="center"/>
            </w:pPr>
            <w:r>
              <w:rPr>
                <w:rFonts w:ascii="宋体" w:hAnsi="宋体" w:eastAsia="宋体"/>
                <w:sz w:val="16"/>
              </w:rPr>
              <w:t>创建自治区级民族团结进步示范区示范单位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B94C0F">
            <w:pPr>
              <w:jc w:val="center"/>
            </w:pPr>
            <w:r>
              <w:rPr>
                <w:rFonts w:ascii="宋体" w:hAnsi="宋体" w:eastAsia="宋体"/>
                <w:sz w:val="16"/>
              </w:rPr>
              <w:t>=2个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E4AC68">
            <w:pPr>
              <w:jc w:val="center"/>
            </w:pPr>
            <w:r>
              <w:rPr>
                <w:rFonts w:ascii="宋体" w:hAnsi="宋体" w:eastAsia="宋体"/>
                <w:sz w:val="16"/>
              </w:rPr>
              <w:t>霍尔果斯市委统战部2024年工作计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D43AC3">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7B0568">
            <w:pPr>
              <w:jc w:val="center"/>
            </w:pPr>
            <w:r>
              <w:rPr>
                <w:rFonts w:ascii="宋体" w:hAnsi="宋体" w:eastAsia="宋体"/>
                <w:sz w:val="16"/>
              </w:rPr>
              <w:t>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3360D1">
            <w:pPr>
              <w:jc w:val="center"/>
            </w:pPr>
            <w:r>
              <w:rPr>
                <w:rFonts w:ascii="宋体" w:hAnsi="宋体" w:eastAsia="宋体"/>
                <w:sz w:val="16"/>
              </w:rPr>
              <w:t>10</w:t>
            </w:r>
          </w:p>
        </w:tc>
      </w:tr>
      <w:tr w14:paraId="0D5C32E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7B06E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AC1E5B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691C5A">
            <w:pPr>
              <w:jc w:val="center"/>
            </w:pPr>
            <w:r>
              <w:rPr>
                <w:rFonts w:ascii="宋体" w:hAnsi="宋体" w:eastAsia="宋体"/>
                <w:sz w:val="16"/>
              </w:rPr>
              <w:t>选树市级兵地民族团结进步共创共建示范单位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38917B">
            <w:pPr>
              <w:jc w:val="center"/>
            </w:pPr>
            <w:r>
              <w:rPr>
                <w:rFonts w:ascii="宋体" w:hAnsi="宋体" w:eastAsia="宋体"/>
                <w:sz w:val="16"/>
              </w:rPr>
              <w:t>=3个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C425B2">
            <w:pPr>
              <w:jc w:val="center"/>
            </w:pPr>
            <w:r>
              <w:rPr>
                <w:rFonts w:ascii="宋体" w:hAnsi="宋体" w:eastAsia="宋体"/>
                <w:sz w:val="16"/>
              </w:rPr>
              <w:t>霍尔果斯市委统战部2024年工作计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2165E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E986E8">
            <w:pPr>
              <w:jc w:val="center"/>
            </w:pPr>
            <w:r>
              <w:rPr>
                <w:rFonts w:ascii="宋体" w:hAnsi="宋体" w:eastAsia="宋体"/>
                <w:sz w:val="16"/>
              </w:rPr>
              <w:t>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831005">
            <w:pPr>
              <w:jc w:val="center"/>
            </w:pPr>
            <w:r>
              <w:rPr>
                <w:rFonts w:ascii="宋体" w:hAnsi="宋体" w:eastAsia="宋体"/>
                <w:sz w:val="16"/>
              </w:rPr>
              <w:t>6.67</w:t>
            </w:r>
          </w:p>
        </w:tc>
      </w:tr>
      <w:tr w14:paraId="6838E8E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4E0950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6987C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0A32EE">
            <w:pPr>
              <w:jc w:val="center"/>
            </w:pPr>
            <w:r>
              <w:rPr>
                <w:rFonts w:ascii="宋体" w:hAnsi="宋体" w:eastAsia="宋体"/>
                <w:sz w:val="16"/>
              </w:rPr>
              <w:t>创建“万企兴万村”行动典型项目（企业）</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6085DA">
            <w:pPr>
              <w:jc w:val="center"/>
            </w:pPr>
            <w:r>
              <w:rPr>
                <w:rFonts w:ascii="宋体" w:hAnsi="宋体" w:eastAsia="宋体"/>
                <w:sz w:val="16"/>
              </w:rPr>
              <w:t>=3个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AF33F0">
            <w:pPr>
              <w:jc w:val="center"/>
            </w:pPr>
            <w:r>
              <w:rPr>
                <w:rFonts w:ascii="宋体" w:hAnsi="宋体" w:eastAsia="宋体"/>
                <w:sz w:val="16"/>
              </w:rPr>
              <w:t>霍尔果斯市委统战部2024年工作计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67EC70">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937B65">
            <w:pPr>
              <w:jc w:val="center"/>
            </w:pPr>
            <w:r>
              <w:rPr>
                <w:rFonts w:ascii="宋体" w:hAnsi="宋体" w:eastAsia="宋体"/>
                <w:sz w:val="16"/>
              </w:rPr>
              <w:t>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05DE64">
            <w:pPr>
              <w:jc w:val="center"/>
            </w:pPr>
            <w:r>
              <w:rPr>
                <w:rFonts w:ascii="宋体" w:hAnsi="宋体" w:eastAsia="宋体"/>
                <w:sz w:val="16"/>
              </w:rPr>
              <w:t>10</w:t>
            </w:r>
          </w:p>
        </w:tc>
      </w:tr>
      <w:tr w14:paraId="41519D0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8D324A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91ED34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5ACCA4">
            <w:pPr>
              <w:jc w:val="center"/>
            </w:pPr>
            <w:r>
              <w:rPr>
                <w:rFonts w:ascii="宋体" w:hAnsi="宋体" w:eastAsia="宋体"/>
                <w:sz w:val="16"/>
              </w:rPr>
              <w:t>举办政企茶叙会</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E18E89">
            <w:pPr>
              <w:jc w:val="center"/>
            </w:pPr>
            <w:r>
              <w:rPr>
                <w:rFonts w:ascii="宋体" w:hAnsi="宋体" w:eastAsia="宋体"/>
                <w:sz w:val="16"/>
              </w:rPr>
              <w:t>=2场次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349462">
            <w:pPr>
              <w:jc w:val="center"/>
            </w:pPr>
            <w:r>
              <w:rPr>
                <w:rFonts w:ascii="宋体" w:hAnsi="宋体" w:eastAsia="宋体"/>
                <w:sz w:val="16"/>
              </w:rPr>
              <w:t>霍尔果斯市委统战部2024年工作计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499983">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E99A7E">
            <w:pPr>
              <w:jc w:val="center"/>
            </w:pPr>
            <w:r>
              <w:rPr>
                <w:rFonts w:ascii="宋体" w:hAnsi="宋体" w:eastAsia="宋体"/>
                <w:sz w:val="16"/>
              </w:rPr>
              <w:t>2场次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E7D88C">
            <w:pPr>
              <w:jc w:val="center"/>
            </w:pPr>
            <w:r>
              <w:rPr>
                <w:rFonts w:ascii="宋体" w:hAnsi="宋体" w:eastAsia="宋体"/>
                <w:sz w:val="16"/>
              </w:rPr>
              <w:t>10</w:t>
            </w:r>
          </w:p>
        </w:tc>
      </w:tr>
      <w:tr w14:paraId="767A351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9289D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A8E0C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A6A79A">
            <w:pPr>
              <w:jc w:val="center"/>
            </w:pPr>
            <w:r>
              <w:rPr>
                <w:rFonts w:ascii="宋体" w:hAnsi="宋体" w:eastAsia="宋体"/>
                <w:sz w:val="16"/>
              </w:rPr>
              <w:t>新建“侨胞之家”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BF59F4">
            <w:pPr>
              <w:jc w:val="center"/>
            </w:pPr>
            <w:r>
              <w:rPr>
                <w:rFonts w:ascii="宋体" w:hAnsi="宋体" w:eastAsia="宋体"/>
                <w:sz w:val="16"/>
              </w:rPr>
              <w:t>=4个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CA162D">
            <w:pPr>
              <w:jc w:val="center"/>
            </w:pPr>
            <w:r>
              <w:rPr>
                <w:rFonts w:ascii="宋体" w:hAnsi="宋体" w:eastAsia="宋体"/>
                <w:sz w:val="16"/>
              </w:rPr>
              <w:t>霍尔果斯市委统战部2024年工作计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34D91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A084A6">
            <w:pPr>
              <w:jc w:val="center"/>
            </w:pPr>
            <w:r>
              <w:rPr>
                <w:rFonts w:ascii="宋体" w:hAnsi="宋体" w:eastAsia="宋体"/>
                <w:sz w:val="16"/>
              </w:rPr>
              <w:t>4个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DA4362">
            <w:pPr>
              <w:jc w:val="center"/>
            </w:pPr>
            <w:r>
              <w:rPr>
                <w:rFonts w:ascii="宋体" w:hAnsi="宋体" w:eastAsia="宋体"/>
                <w:sz w:val="16"/>
              </w:rPr>
              <w:t>10</w:t>
            </w:r>
          </w:p>
        </w:tc>
      </w:tr>
      <w:tr w14:paraId="160C478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2574B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86325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FDB248">
            <w:pPr>
              <w:jc w:val="center"/>
            </w:pPr>
            <w:r>
              <w:rPr>
                <w:rFonts w:ascii="宋体" w:hAnsi="宋体" w:eastAsia="宋体"/>
                <w:sz w:val="16"/>
              </w:rPr>
              <w:t>表彰市级</w:t>
            </w:r>
            <w:r>
              <w:rPr>
                <w:rFonts w:hint="eastAsia" w:ascii="宋体" w:hAnsi="宋体"/>
                <w:sz w:val="16"/>
                <w:lang w:eastAsia="zh-CN"/>
              </w:rPr>
              <w:t>民族团结进步模范集体</w:t>
            </w:r>
            <w:r>
              <w:rPr>
                <w:rFonts w:ascii="宋体" w:hAnsi="宋体" w:eastAsia="宋体"/>
                <w:sz w:val="16"/>
              </w:rPr>
              <w:t>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85B63E">
            <w:pPr>
              <w:jc w:val="center"/>
            </w:pPr>
            <w:r>
              <w:rPr>
                <w:rFonts w:ascii="宋体" w:hAnsi="宋体" w:eastAsia="宋体"/>
                <w:sz w:val="16"/>
              </w:rPr>
              <w:t>=30个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6DF412">
            <w:pPr>
              <w:jc w:val="center"/>
            </w:pPr>
            <w:r>
              <w:rPr>
                <w:rFonts w:ascii="宋体" w:hAnsi="宋体" w:eastAsia="宋体"/>
                <w:sz w:val="16"/>
              </w:rPr>
              <w:t>霍尔果斯市委统战部2024年工作计划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E6AC55">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AE89EC">
            <w:pPr>
              <w:jc w:val="center"/>
            </w:pPr>
            <w:r>
              <w:rPr>
                <w:rFonts w:ascii="宋体" w:hAnsi="宋体" w:eastAsia="宋体"/>
                <w:sz w:val="16"/>
              </w:rPr>
              <w:t>30个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7BDC0E">
            <w:pPr>
              <w:jc w:val="center"/>
            </w:pPr>
            <w:r>
              <w:rPr>
                <w:rFonts w:ascii="宋体" w:hAnsi="宋体" w:eastAsia="宋体"/>
                <w:sz w:val="16"/>
              </w:rPr>
              <w:t>15</w:t>
            </w:r>
          </w:p>
        </w:tc>
      </w:tr>
    </w:tbl>
    <w:p w14:paraId="41C0693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78C8F0AD">
        <w:tblPrEx>
          <w:tblCellMar>
            <w:top w:w="0" w:type="dxa"/>
            <w:left w:w="108" w:type="dxa"/>
            <w:bottom w:w="0" w:type="dxa"/>
            <w:right w:w="108" w:type="dxa"/>
          </w:tblCellMar>
        </w:tblPrEx>
        <w:tc>
          <w:tcPr>
            <w:tcW w:w="8848" w:type="dxa"/>
            <w:gridSpan w:val="14"/>
            <w:vAlign w:val="center"/>
          </w:tcPr>
          <w:p w14:paraId="1A798367">
            <w:pPr>
              <w:jc w:val="center"/>
            </w:pPr>
            <w:r>
              <w:rPr>
                <w:rFonts w:ascii="宋体" w:hAnsi="宋体" w:eastAsia="宋体"/>
                <w:sz w:val="24"/>
              </w:rPr>
              <w:t>项目支出绩效自评表</w:t>
            </w:r>
          </w:p>
        </w:tc>
      </w:tr>
      <w:tr w14:paraId="7A066A20">
        <w:tblPrEx>
          <w:tblCellMar>
            <w:top w:w="0" w:type="dxa"/>
            <w:left w:w="108" w:type="dxa"/>
            <w:bottom w:w="0" w:type="dxa"/>
            <w:right w:w="108" w:type="dxa"/>
          </w:tblCellMar>
        </w:tblPrEx>
        <w:tc>
          <w:tcPr>
            <w:tcW w:w="8848" w:type="dxa"/>
            <w:gridSpan w:val="14"/>
            <w:vAlign w:val="center"/>
          </w:tcPr>
          <w:p w14:paraId="52F4AF1E">
            <w:pPr>
              <w:jc w:val="center"/>
            </w:pPr>
            <w:r>
              <w:rPr>
                <w:rFonts w:ascii="宋体" w:hAnsi="宋体" w:eastAsia="宋体"/>
                <w:sz w:val="24"/>
              </w:rPr>
              <w:t>(2024年度)</w:t>
            </w:r>
          </w:p>
        </w:tc>
      </w:tr>
      <w:tr w14:paraId="1C17B6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C9C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5B111A">
            <w:pPr>
              <w:jc w:val="center"/>
            </w:pPr>
            <w:r>
              <w:rPr>
                <w:rFonts w:ascii="宋体" w:hAnsi="宋体" w:eastAsia="宋体"/>
                <w:sz w:val="16"/>
              </w:rPr>
              <w:t>2023年民贸民品企业贴息</w:t>
            </w:r>
          </w:p>
        </w:tc>
      </w:tr>
      <w:tr w14:paraId="41723E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779F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1500B4">
            <w:pPr>
              <w:jc w:val="center"/>
            </w:pPr>
            <w:r>
              <w:rPr>
                <w:rFonts w:ascii="宋体" w:hAnsi="宋体" w:eastAsia="宋体"/>
                <w:sz w:val="16"/>
              </w:rPr>
              <w:t>中国共产党霍尔果斯市委员会统一战线工作部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B36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6C3756">
            <w:pPr>
              <w:jc w:val="center"/>
            </w:pPr>
            <w:r>
              <w:rPr>
                <w:rFonts w:ascii="宋体" w:hAnsi="宋体" w:eastAsia="宋体"/>
                <w:sz w:val="16"/>
              </w:rPr>
              <w:t>中国共产党霍尔果斯市委员会统一战线工作部</w:t>
            </w:r>
          </w:p>
        </w:tc>
      </w:tr>
      <w:tr w14:paraId="6EB0BC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57BE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FA81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972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CB24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299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4029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C91F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6D420">
            <w:pPr>
              <w:jc w:val="center"/>
            </w:pPr>
            <w:r>
              <w:rPr>
                <w:rFonts w:ascii="宋体" w:hAnsi="宋体" w:eastAsia="宋体"/>
                <w:sz w:val="16"/>
              </w:rPr>
              <w:t>得分</w:t>
            </w:r>
          </w:p>
        </w:tc>
      </w:tr>
      <w:tr w14:paraId="150F37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CDA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BDD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F36BC">
            <w:pPr>
              <w:jc w:val="center"/>
            </w:pPr>
            <w:r>
              <w:rPr>
                <w:rFonts w:ascii="宋体" w:hAnsi="宋体" w:eastAsia="宋体"/>
                <w:sz w:val="16"/>
              </w:rPr>
              <w:t>192.72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8F27C">
            <w:pPr>
              <w:jc w:val="center"/>
            </w:pPr>
            <w:r>
              <w:rPr>
                <w:rFonts w:ascii="宋体" w:hAnsi="宋体" w:eastAsia="宋体"/>
                <w:sz w:val="16"/>
              </w:rPr>
              <w:t>192.72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D6036">
            <w:pPr>
              <w:jc w:val="center"/>
            </w:pPr>
            <w:r>
              <w:rPr>
                <w:rFonts w:ascii="宋体" w:hAnsi="宋体" w:eastAsia="宋体"/>
                <w:sz w:val="16"/>
              </w:rPr>
              <w:t>192.72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488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ED5A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AD195">
            <w:pPr>
              <w:jc w:val="center"/>
            </w:pPr>
            <w:r>
              <w:rPr>
                <w:rFonts w:ascii="宋体" w:hAnsi="宋体" w:eastAsia="宋体"/>
                <w:sz w:val="16"/>
              </w:rPr>
              <w:t>10.00</w:t>
            </w:r>
          </w:p>
        </w:tc>
      </w:tr>
      <w:tr w14:paraId="6917C6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E3E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3FD4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D6F6A">
            <w:pPr>
              <w:jc w:val="center"/>
            </w:pPr>
            <w:r>
              <w:rPr>
                <w:rFonts w:ascii="宋体" w:hAnsi="宋体" w:eastAsia="宋体"/>
                <w:sz w:val="16"/>
              </w:rPr>
              <w:t>192.72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DC078">
            <w:pPr>
              <w:jc w:val="center"/>
            </w:pPr>
            <w:r>
              <w:rPr>
                <w:rFonts w:ascii="宋体" w:hAnsi="宋体" w:eastAsia="宋体"/>
                <w:sz w:val="16"/>
              </w:rPr>
              <w:t>192.72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B90F1">
            <w:pPr>
              <w:jc w:val="center"/>
            </w:pPr>
            <w:r>
              <w:rPr>
                <w:rFonts w:ascii="宋体" w:hAnsi="宋体" w:eastAsia="宋体"/>
                <w:sz w:val="16"/>
              </w:rPr>
              <w:t>192.72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85C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94E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74C14">
            <w:pPr>
              <w:jc w:val="center"/>
            </w:pPr>
            <w:r>
              <w:rPr>
                <w:rFonts w:ascii="宋体" w:hAnsi="宋体" w:eastAsia="宋体"/>
                <w:sz w:val="16"/>
              </w:rPr>
              <w:t>—</w:t>
            </w:r>
          </w:p>
        </w:tc>
      </w:tr>
      <w:tr w14:paraId="5C67ED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242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3807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78C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5DD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1DC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71E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2E5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D1599">
            <w:pPr>
              <w:jc w:val="center"/>
            </w:pPr>
            <w:r>
              <w:rPr>
                <w:rFonts w:ascii="宋体" w:hAnsi="宋体" w:eastAsia="宋体"/>
                <w:sz w:val="16"/>
              </w:rPr>
              <w:t>—</w:t>
            </w:r>
          </w:p>
        </w:tc>
      </w:tr>
      <w:tr w14:paraId="1B09EE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0BEF9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08624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0A5127">
            <w:pPr>
              <w:jc w:val="center"/>
            </w:pPr>
            <w:r>
              <w:rPr>
                <w:rFonts w:ascii="宋体" w:hAnsi="宋体" w:eastAsia="宋体"/>
                <w:sz w:val="16"/>
              </w:rPr>
              <w:t>实际完成情况</w:t>
            </w:r>
          </w:p>
        </w:tc>
      </w:tr>
      <w:tr w14:paraId="0986E5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4815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907E21">
            <w:pPr>
              <w:jc w:val="both"/>
            </w:pPr>
            <w:r>
              <w:rPr>
                <w:rFonts w:ascii="宋体" w:hAnsi="宋体" w:eastAsia="宋体"/>
                <w:sz w:val="16"/>
              </w:rPr>
              <w:t>根据《关于结算2023年度民族贸易和民族特需商品生产贷款贴息引导支持资金的通知》，通过为8家民贸民品企业进行核定补齐2023年贷款贴息共计192.72万元，为民贸民品企业注入经济活力，促进企业健康发展。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1B3D87">
            <w:pPr>
              <w:jc w:val="both"/>
            </w:pPr>
            <w:r>
              <w:rPr>
                <w:rFonts w:ascii="宋体" w:hAnsi="宋体" w:eastAsia="宋体"/>
                <w:sz w:val="16"/>
              </w:rPr>
              <w:t>为8家民贸民品企业进行核定补齐2023年贷款贴息共计192.72万元，为民贸民品企业注入经济活力，促进企业健康发展。</w:t>
            </w:r>
          </w:p>
        </w:tc>
      </w:tr>
      <w:tr w14:paraId="77853E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C9A2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6CD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FA19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037E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B815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DBC7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27A6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1F82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C397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235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9A3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19D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2435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5E9CF">
            <w:pPr>
              <w:jc w:val="center"/>
            </w:pPr>
            <w:r>
              <w:rPr>
                <w:rFonts w:ascii="宋体" w:hAnsi="宋体" w:eastAsia="宋体"/>
                <w:sz w:val="16"/>
              </w:rPr>
              <w:t>偏差原因分析及改进措施</w:t>
            </w:r>
          </w:p>
        </w:tc>
      </w:tr>
      <w:tr w14:paraId="6AEAF4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F8B2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321D5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59F6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9F6D">
            <w:pPr>
              <w:jc w:val="center"/>
            </w:pPr>
            <w:r>
              <w:rPr>
                <w:rFonts w:ascii="宋体" w:hAnsi="宋体" w:eastAsia="宋体"/>
                <w:sz w:val="16"/>
              </w:rPr>
              <w:t>支持民贸民品企业数量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545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2EC67">
            <w:pPr>
              <w:jc w:val="center"/>
            </w:pPr>
            <w:r>
              <w:rPr>
                <w:rFonts w:ascii="宋体" w:hAnsi="宋体" w:eastAsia="宋体"/>
                <w:sz w:val="16"/>
              </w:rPr>
              <w:t>=8家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21D19">
            <w:pPr>
              <w:jc w:val="center"/>
            </w:pPr>
            <w:r>
              <w:rPr>
                <w:rFonts w:ascii="宋体" w:hAnsi="宋体" w:eastAsia="宋体"/>
                <w:sz w:val="16"/>
              </w:rPr>
              <w:t>8家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A7A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2A7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608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BB284">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853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CB8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701E1">
            <w:pPr>
              <w:jc w:val="center"/>
            </w:pPr>
          </w:p>
        </w:tc>
      </w:tr>
      <w:tr w14:paraId="5D89F4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9DA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26E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304BC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E143B">
            <w:pPr>
              <w:jc w:val="center"/>
            </w:pPr>
            <w:r>
              <w:rPr>
                <w:rFonts w:ascii="宋体" w:hAnsi="宋体" w:eastAsia="宋体"/>
                <w:sz w:val="16"/>
              </w:rPr>
              <w:t>贴息足额支付率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08C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BB2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9BF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FAD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5D6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7B6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8E5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128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E12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3DA67">
            <w:pPr>
              <w:jc w:val="center"/>
            </w:pPr>
          </w:p>
        </w:tc>
      </w:tr>
      <w:tr w14:paraId="4000FD3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D69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37A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6D2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98722">
            <w:pPr>
              <w:jc w:val="center"/>
            </w:pPr>
            <w:r>
              <w:rPr>
                <w:rFonts w:ascii="宋体" w:hAnsi="宋体" w:eastAsia="宋体"/>
                <w:sz w:val="16"/>
              </w:rPr>
              <w:t>贴息资金管理规范率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923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1A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1DD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95F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283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A9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B7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D4A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9C4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EFC81">
            <w:pPr>
              <w:jc w:val="center"/>
            </w:pPr>
          </w:p>
        </w:tc>
      </w:tr>
      <w:tr w14:paraId="049A4DAD">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5AD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1D9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4B48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4CC6">
            <w:pPr>
              <w:jc w:val="center"/>
            </w:pPr>
            <w:r>
              <w:rPr>
                <w:rFonts w:ascii="宋体" w:hAnsi="宋体" w:eastAsia="宋体"/>
                <w:sz w:val="16"/>
              </w:rPr>
              <w:t>上级资金支付及时率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255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4DD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8A2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CBC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CA7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C5B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8E7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B51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1C2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39AEB">
            <w:pPr>
              <w:jc w:val="center"/>
            </w:pPr>
          </w:p>
        </w:tc>
      </w:tr>
      <w:tr w14:paraId="57E6DC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5D5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644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0A8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96DE9">
            <w:pPr>
              <w:jc w:val="center"/>
            </w:pPr>
            <w:r>
              <w:rPr>
                <w:rFonts w:ascii="宋体" w:hAnsi="宋体" w:eastAsia="宋体"/>
                <w:sz w:val="16"/>
              </w:rPr>
              <w:t>补齐2023年贷款贴息补贴标准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DD3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B417F">
            <w:pPr>
              <w:jc w:val="center"/>
            </w:pPr>
            <w:r>
              <w:rPr>
                <w:rFonts w:ascii="宋体" w:hAnsi="宋体" w:eastAsia="宋体"/>
                <w:sz w:val="16"/>
              </w:rPr>
              <w:t>=24.09万元/家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5DE2C">
            <w:pPr>
              <w:jc w:val="center"/>
            </w:pPr>
            <w:r>
              <w:rPr>
                <w:rFonts w:ascii="宋体" w:hAnsi="宋体" w:eastAsia="宋体"/>
                <w:sz w:val="16"/>
              </w:rPr>
              <w:t>24.09万元/家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E55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121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FA0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B4FC8">
            <w:pPr>
              <w:jc w:val="center"/>
            </w:pPr>
            <w:r>
              <w:rPr>
                <w:rFonts w:ascii="宋体" w:hAnsi="宋体" w:eastAsia="宋体"/>
                <w:sz w:val="16"/>
              </w:rPr>
              <w:t>68.81万元/家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05D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DA0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92A02">
            <w:pPr>
              <w:jc w:val="center"/>
            </w:pPr>
          </w:p>
        </w:tc>
      </w:tr>
      <w:tr w14:paraId="2D6FFC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5CE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DE1F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B511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3CA4A">
            <w:pPr>
              <w:jc w:val="center"/>
            </w:pPr>
            <w:r>
              <w:rPr>
                <w:rFonts w:ascii="宋体" w:hAnsi="宋体" w:eastAsia="宋体"/>
                <w:sz w:val="16"/>
              </w:rPr>
              <w:t>促进相关企业健康发展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647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5089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B6C52">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BE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BE4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DAB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4DFE">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BDF4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025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B6489">
            <w:pPr>
              <w:jc w:val="center"/>
            </w:pPr>
          </w:p>
        </w:tc>
      </w:tr>
      <w:tr w14:paraId="3BE3FEC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4CD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8C3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3FB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D8C8D">
            <w:pPr>
              <w:jc w:val="center"/>
            </w:pPr>
            <w:r>
              <w:rPr>
                <w:rFonts w:ascii="宋体" w:hAnsi="宋体" w:eastAsia="宋体"/>
                <w:sz w:val="16"/>
              </w:rPr>
              <w:t>申报贴息资金企业满意度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405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0339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4B07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CB1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26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D38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A98B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FCB4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207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A5E2C">
            <w:pPr>
              <w:jc w:val="center"/>
            </w:pPr>
          </w:p>
        </w:tc>
      </w:tr>
      <w:tr w14:paraId="219E062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1091B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C31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A418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E7A0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EB58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EE49">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53BD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D45B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D501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4180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53DB38"/>
        </w:tc>
      </w:tr>
    </w:tbl>
    <w:p w14:paraId="55A84D7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3ADAFB9F">
        <w:tblPrEx>
          <w:tblCellMar>
            <w:top w:w="0" w:type="dxa"/>
            <w:left w:w="108" w:type="dxa"/>
            <w:bottom w:w="0" w:type="dxa"/>
            <w:right w:w="108" w:type="dxa"/>
          </w:tblCellMar>
        </w:tblPrEx>
        <w:tc>
          <w:tcPr>
            <w:tcW w:w="8848" w:type="dxa"/>
            <w:gridSpan w:val="14"/>
            <w:vAlign w:val="center"/>
          </w:tcPr>
          <w:p w14:paraId="36BA1C88">
            <w:pPr>
              <w:jc w:val="center"/>
            </w:pPr>
            <w:r>
              <w:rPr>
                <w:rFonts w:ascii="宋体" w:hAnsi="宋体" w:eastAsia="宋体"/>
                <w:sz w:val="24"/>
              </w:rPr>
              <w:t>项目支出绩效自评表</w:t>
            </w:r>
          </w:p>
        </w:tc>
      </w:tr>
      <w:tr w14:paraId="5B940517">
        <w:tblPrEx>
          <w:tblCellMar>
            <w:top w:w="0" w:type="dxa"/>
            <w:left w:w="108" w:type="dxa"/>
            <w:bottom w:w="0" w:type="dxa"/>
            <w:right w:w="108" w:type="dxa"/>
          </w:tblCellMar>
        </w:tblPrEx>
        <w:tc>
          <w:tcPr>
            <w:tcW w:w="8848" w:type="dxa"/>
            <w:gridSpan w:val="14"/>
            <w:vAlign w:val="center"/>
          </w:tcPr>
          <w:p w14:paraId="3F1C14B8">
            <w:pPr>
              <w:jc w:val="center"/>
            </w:pPr>
            <w:r>
              <w:rPr>
                <w:rFonts w:ascii="宋体" w:hAnsi="宋体" w:eastAsia="宋体"/>
                <w:sz w:val="24"/>
              </w:rPr>
              <w:t>(2024年度)</w:t>
            </w:r>
          </w:p>
        </w:tc>
      </w:tr>
      <w:tr w14:paraId="2F7650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5E30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FCF351">
            <w:pPr>
              <w:jc w:val="center"/>
            </w:pPr>
            <w:r>
              <w:rPr>
                <w:rFonts w:ascii="宋体" w:hAnsi="宋体" w:eastAsia="宋体"/>
                <w:sz w:val="16"/>
              </w:rPr>
              <w:t>2024年霍尔果斯市铸牢中华民族共同体意识项目</w:t>
            </w:r>
          </w:p>
        </w:tc>
      </w:tr>
      <w:tr w14:paraId="4A787E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E481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5B58D0">
            <w:pPr>
              <w:jc w:val="center"/>
            </w:pPr>
            <w:r>
              <w:rPr>
                <w:rFonts w:ascii="宋体" w:hAnsi="宋体" w:eastAsia="宋体"/>
                <w:sz w:val="16"/>
              </w:rPr>
              <w:t>中国共产党霍尔果斯市委员会统一战线工作部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AD5B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A4F2EE">
            <w:pPr>
              <w:jc w:val="center"/>
            </w:pPr>
            <w:r>
              <w:rPr>
                <w:rFonts w:ascii="宋体" w:hAnsi="宋体" w:eastAsia="宋体"/>
                <w:sz w:val="16"/>
              </w:rPr>
              <w:t>中国共产党霍尔果斯市委员会统一战线工作部</w:t>
            </w:r>
          </w:p>
        </w:tc>
      </w:tr>
      <w:tr w14:paraId="69E87F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1638C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123F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AE70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B11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D6F2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D1D3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CF8D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4854A">
            <w:pPr>
              <w:jc w:val="center"/>
            </w:pPr>
            <w:r>
              <w:rPr>
                <w:rFonts w:ascii="宋体" w:hAnsi="宋体" w:eastAsia="宋体"/>
                <w:sz w:val="16"/>
              </w:rPr>
              <w:t>得分</w:t>
            </w:r>
          </w:p>
        </w:tc>
      </w:tr>
      <w:tr w14:paraId="6481A2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FBD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C077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2D2C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63DF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6DF0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0D0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C94F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7778F">
            <w:pPr>
              <w:jc w:val="center"/>
            </w:pPr>
            <w:r>
              <w:rPr>
                <w:rFonts w:ascii="宋体" w:hAnsi="宋体" w:eastAsia="宋体"/>
                <w:sz w:val="16"/>
              </w:rPr>
              <w:t>10.00</w:t>
            </w:r>
          </w:p>
        </w:tc>
      </w:tr>
      <w:tr w14:paraId="4B418D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218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F0B1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47D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AB9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163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4FF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76D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BDFB0">
            <w:pPr>
              <w:jc w:val="center"/>
            </w:pPr>
            <w:r>
              <w:rPr>
                <w:rFonts w:ascii="宋体" w:hAnsi="宋体" w:eastAsia="宋体"/>
                <w:sz w:val="16"/>
              </w:rPr>
              <w:t>—</w:t>
            </w:r>
          </w:p>
        </w:tc>
      </w:tr>
      <w:tr w14:paraId="66AE24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E5F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B2C4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0622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72C9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69A4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E46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E48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C1FC0">
            <w:pPr>
              <w:jc w:val="center"/>
            </w:pPr>
            <w:r>
              <w:rPr>
                <w:rFonts w:ascii="宋体" w:hAnsi="宋体" w:eastAsia="宋体"/>
                <w:sz w:val="16"/>
              </w:rPr>
              <w:t>—</w:t>
            </w:r>
          </w:p>
        </w:tc>
      </w:tr>
      <w:tr w14:paraId="731D4D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805FE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39EC9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D59802">
            <w:pPr>
              <w:jc w:val="center"/>
            </w:pPr>
            <w:r>
              <w:rPr>
                <w:rFonts w:ascii="宋体" w:hAnsi="宋体" w:eastAsia="宋体"/>
                <w:sz w:val="16"/>
              </w:rPr>
              <w:t>实际完成情况</w:t>
            </w:r>
          </w:p>
        </w:tc>
      </w:tr>
      <w:tr w14:paraId="4A7B62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1DE2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CFF87B">
            <w:pPr>
              <w:jc w:val="both"/>
            </w:pPr>
            <w:r>
              <w:rPr>
                <w:rFonts w:ascii="宋体" w:hAnsi="宋体" w:eastAsia="宋体"/>
                <w:sz w:val="16"/>
              </w:rPr>
              <w:t>根据《全国民族团结进步示范市测评指标（西部地区）》相关要求，在高架桥、沿边境线、工业园区、合作区围栏等4处公共场所树立和突出各民族共享的中华文化符号和中华民族形象，在全市营造民族团结浓厚宣传氛围；在伊车嘎善锡伯族乡打造“凝中国心·铸中华梦”主题“侨胞之家”，总共支付10万元，提档升级兴城街道格干社区“侨胞之家”，提高侨胞侨眷和全市各民族群众获得感、幸福感，全方位做好全市铸牢中华民族共同体意识宣传教育。</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CFDFD7">
            <w:pPr>
              <w:jc w:val="both"/>
            </w:pPr>
            <w:r>
              <w:rPr>
                <w:rFonts w:ascii="宋体" w:hAnsi="宋体" w:eastAsia="宋体"/>
                <w:sz w:val="16"/>
              </w:rPr>
              <w:t>在全市营造民族团结浓厚宣传氛围；在伊车嘎善锡伯族乡打造“凝中国心·铸中华梦”主题“侨胞之家”，总共支付10万元，提档升级兴城街道格干社区“侨胞之家”，提高侨胞侨眷和全市各民族群众获得感、幸福感，全方位做好全市铸牢中华民族共同体意识宣传教育。</w:t>
            </w:r>
          </w:p>
        </w:tc>
      </w:tr>
      <w:tr w14:paraId="2BA0AB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F752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1565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690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659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990E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DA90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F8A7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C277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A0F5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8D34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596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6089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7C18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64111">
            <w:pPr>
              <w:jc w:val="center"/>
            </w:pPr>
            <w:r>
              <w:rPr>
                <w:rFonts w:ascii="宋体" w:hAnsi="宋体" w:eastAsia="宋体"/>
                <w:sz w:val="16"/>
              </w:rPr>
              <w:t>偏差原因分析及改进措施</w:t>
            </w:r>
          </w:p>
        </w:tc>
      </w:tr>
      <w:tr w14:paraId="2B4838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7F4E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CA34B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E3DF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73C90">
            <w:pPr>
              <w:jc w:val="center"/>
            </w:pPr>
            <w:r>
              <w:rPr>
                <w:rFonts w:ascii="宋体" w:hAnsi="宋体" w:eastAsia="宋体"/>
                <w:sz w:val="16"/>
              </w:rPr>
              <w:t>在市级主要街区打造宣传处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5FC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34A9D">
            <w:pPr>
              <w:jc w:val="center"/>
            </w:pPr>
            <w:r>
              <w:rPr>
                <w:rFonts w:ascii="宋体" w:hAnsi="宋体" w:eastAsia="宋体"/>
                <w:sz w:val="16"/>
              </w:rPr>
              <w:t>=4处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E7BC0">
            <w:pPr>
              <w:jc w:val="center"/>
            </w:pPr>
            <w:r>
              <w:rPr>
                <w:rFonts w:ascii="宋体" w:hAnsi="宋体" w:eastAsia="宋体"/>
                <w:sz w:val="16"/>
              </w:rPr>
              <w:t>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16D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C2D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889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8F6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B12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6CF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2092E">
            <w:pPr>
              <w:jc w:val="center"/>
            </w:pPr>
          </w:p>
        </w:tc>
      </w:tr>
      <w:tr w14:paraId="040489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C75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6F6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811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3B8DB">
            <w:pPr>
              <w:jc w:val="center"/>
            </w:pPr>
            <w:r>
              <w:rPr>
                <w:rFonts w:ascii="宋体" w:hAnsi="宋体" w:eastAsia="宋体"/>
                <w:sz w:val="16"/>
              </w:rPr>
              <w:t>打造、提升侨胞之家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03C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1413">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69C6D">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D16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AC9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C5A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426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A8F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1B5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E5416">
            <w:pPr>
              <w:jc w:val="center"/>
            </w:pPr>
          </w:p>
        </w:tc>
      </w:tr>
      <w:tr w14:paraId="67619E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033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382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AD5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D234">
            <w:pPr>
              <w:jc w:val="center"/>
            </w:pPr>
            <w:r>
              <w:rPr>
                <w:rFonts w:ascii="宋体" w:hAnsi="宋体" w:eastAsia="宋体"/>
                <w:sz w:val="16"/>
              </w:rPr>
              <w:t>制作民族团结进步宣传资料数量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128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8FFBB">
            <w:pPr>
              <w:jc w:val="center"/>
            </w:pPr>
            <w:r>
              <w:rPr>
                <w:rFonts w:ascii="宋体" w:hAnsi="宋体" w:eastAsia="宋体"/>
                <w:sz w:val="16"/>
              </w:rPr>
              <w:t>=20000份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F4E4B">
            <w:pPr>
              <w:jc w:val="center"/>
            </w:pPr>
            <w:r>
              <w:rPr>
                <w:rFonts w:ascii="宋体" w:hAnsi="宋体" w:eastAsia="宋体"/>
                <w:sz w:val="16"/>
              </w:rPr>
              <w:t>20000份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EDF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B5A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2C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F21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38E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F6B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90122">
            <w:pPr>
              <w:jc w:val="center"/>
            </w:pPr>
          </w:p>
        </w:tc>
      </w:tr>
      <w:tr w14:paraId="68D540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958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3F8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007A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57667">
            <w:pPr>
              <w:jc w:val="center"/>
            </w:pPr>
            <w:r>
              <w:rPr>
                <w:rFonts w:ascii="宋体" w:hAnsi="宋体" w:eastAsia="宋体"/>
                <w:sz w:val="16"/>
              </w:rPr>
              <w:t>铸牢中华民族共同体意识项目验收合格率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89CD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9BA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EB7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86F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3531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738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C4E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FB5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547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1AE82">
            <w:pPr>
              <w:jc w:val="center"/>
            </w:pPr>
          </w:p>
        </w:tc>
      </w:tr>
      <w:tr w14:paraId="08738D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C72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CA5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08B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93881">
            <w:pPr>
              <w:jc w:val="center"/>
            </w:pPr>
            <w:r>
              <w:rPr>
                <w:rFonts w:ascii="宋体" w:hAnsi="宋体" w:eastAsia="宋体"/>
                <w:sz w:val="16"/>
              </w:rPr>
              <w:t>宣传</w:t>
            </w:r>
            <w:r>
              <w:rPr>
                <w:rFonts w:hint="eastAsia" w:ascii="宋体" w:hAnsi="宋体"/>
                <w:sz w:val="16"/>
                <w:lang w:eastAsia="zh-CN"/>
              </w:rPr>
              <w:t>资料</w:t>
            </w:r>
            <w:r>
              <w:rPr>
                <w:rFonts w:ascii="宋体" w:hAnsi="宋体" w:eastAsia="宋体"/>
                <w:sz w:val="16"/>
              </w:rPr>
              <w:t>制作完成率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7D6D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4DA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B15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4DB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7C66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ECD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452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8F6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68D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42513">
            <w:pPr>
              <w:jc w:val="center"/>
            </w:pPr>
          </w:p>
        </w:tc>
      </w:tr>
      <w:tr w14:paraId="163639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D79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E06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652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BE3A7">
            <w:pPr>
              <w:jc w:val="center"/>
            </w:pPr>
            <w:r>
              <w:rPr>
                <w:rFonts w:ascii="宋体" w:hAnsi="宋体" w:eastAsia="宋体"/>
                <w:sz w:val="16"/>
              </w:rPr>
              <w:t>铸牢中华民族共同体意识项目计划完工时间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E5F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B7CB7">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35187">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A1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D0B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48F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C77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125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8E8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525E">
            <w:pPr>
              <w:jc w:val="center"/>
            </w:pPr>
          </w:p>
        </w:tc>
      </w:tr>
      <w:tr w14:paraId="78F060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E15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7339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B4030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3CCD1">
            <w:pPr>
              <w:jc w:val="center"/>
            </w:pPr>
            <w:r>
              <w:rPr>
                <w:rFonts w:ascii="宋体" w:hAnsi="宋体" w:eastAsia="宋体"/>
                <w:sz w:val="16"/>
              </w:rPr>
              <w:t>在市级主要街区宣传费用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64FF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68023">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CCE6E">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2C6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BC5D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DAC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71B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F7B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82E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AB9FE">
            <w:pPr>
              <w:jc w:val="center"/>
            </w:pPr>
          </w:p>
        </w:tc>
      </w:tr>
      <w:tr w14:paraId="557003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756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1A8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9B4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C6503">
            <w:pPr>
              <w:jc w:val="center"/>
            </w:pPr>
            <w:r>
              <w:rPr>
                <w:rFonts w:ascii="宋体" w:hAnsi="宋体" w:eastAsia="宋体"/>
                <w:sz w:val="16"/>
              </w:rPr>
              <w:t>打造、升级侨胞之家经费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7EC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BEBCD">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DBCBF">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0F6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39B4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58D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3DA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0BD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A6D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A498F">
            <w:pPr>
              <w:jc w:val="center"/>
            </w:pPr>
          </w:p>
        </w:tc>
      </w:tr>
      <w:tr w14:paraId="4C4BF2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6E1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57F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0C8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3AA1A">
            <w:pPr>
              <w:jc w:val="center"/>
            </w:pPr>
            <w:r>
              <w:rPr>
                <w:rFonts w:ascii="宋体" w:hAnsi="宋体" w:eastAsia="宋体"/>
                <w:sz w:val="16"/>
              </w:rPr>
              <w:t>制作民族团结进步宣传资料经费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C5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5377E">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40D9">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4F6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B5B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DE2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E7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6BF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725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5FF9E">
            <w:pPr>
              <w:jc w:val="center"/>
            </w:pPr>
          </w:p>
        </w:tc>
      </w:tr>
      <w:tr w14:paraId="16AEE2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AC3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87B2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7732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EE751">
            <w:pPr>
              <w:jc w:val="center"/>
            </w:pPr>
            <w:r>
              <w:rPr>
                <w:rFonts w:ascii="宋体" w:hAnsi="宋体" w:eastAsia="宋体"/>
                <w:sz w:val="16"/>
              </w:rPr>
              <w:t>提升霍尔果斯市侨胞侨眷和全市各族群众获得感、幸福感，铸牢中华民族共同体意识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899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A4D5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CFB08">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614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F3E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F86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AA3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0E04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F67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1B23F">
            <w:pPr>
              <w:jc w:val="center"/>
            </w:pPr>
          </w:p>
        </w:tc>
      </w:tr>
      <w:tr w14:paraId="41571F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3E1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1B8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CEA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42110">
            <w:pPr>
              <w:jc w:val="center"/>
            </w:pPr>
            <w:r>
              <w:rPr>
                <w:rFonts w:ascii="宋体" w:hAnsi="宋体" w:eastAsia="宋体"/>
                <w:sz w:val="16"/>
              </w:rPr>
              <w:t>全市各族群众满意度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4BF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149B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702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3C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887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CED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46A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1BB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6A6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A66B7">
            <w:pPr>
              <w:jc w:val="center"/>
            </w:pPr>
          </w:p>
        </w:tc>
      </w:tr>
      <w:tr w14:paraId="65419DC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B8D6A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3FE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A2C9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2B70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A4EA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7A8F7">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A87B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E1FF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B6C3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A664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2B496E"/>
        </w:tc>
      </w:tr>
    </w:tbl>
    <w:p w14:paraId="01D2186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117295F">
        <w:tblPrEx>
          <w:tblCellMar>
            <w:top w:w="0" w:type="dxa"/>
            <w:left w:w="108" w:type="dxa"/>
            <w:bottom w:w="0" w:type="dxa"/>
            <w:right w:w="108" w:type="dxa"/>
          </w:tblCellMar>
        </w:tblPrEx>
        <w:tc>
          <w:tcPr>
            <w:tcW w:w="8848" w:type="dxa"/>
            <w:gridSpan w:val="14"/>
            <w:vAlign w:val="center"/>
          </w:tcPr>
          <w:p w14:paraId="5FF4C32B">
            <w:pPr>
              <w:jc w:val="center"/>
            </w:pPr>
            <w:r>
              <w:rPr>
                <w:rFonts w:ascii="宋体" w:hAnsi="宋体" w:eastAsia="宋体"/>
                <w:sz w:val="24"/>
              </w:rPr>
              <w:t>项目支出绩效自评表</w:t>
            </w:r>
          </w:p>
        </w:tc>
      </w:tr>
      <w:tr w14:paraId="63B2929C">
        <w:tblPrEx>
          <w:tblCellMar>
            <w:top w:w="0" w:type="dxa"/>
            <w:left w:w="108" w:type="dxa"/>
            <w:bottom w:w="0" w:type="dxa"/>
            <w:right w:w="108" w:type="dxa"/>
          </w:tblCellMar>
        </w:tblPrEx>
        <w:tc>
          <w:tcPr>
            <w:tcW w:w="8848" w:type="dxa"/>
            <w:gridSpan w:val="14"/>
            <w:vAlign w:val="center"/>
          </w:tcPr>
          <w:p w14:paraId="18AA723F">
            <w:pPr>
              <w:jc w:val="center"/>
            </w:pPr>
            <w:r>
              <w:rPr>
                <w:rFonts w:ascii="宋体" w:hAnsi="宋体" w:eastAsia="宋体"/>
                <w:sz w:val="24"/>
              </w:rPr>
              <w:t>(2024年度)</w:t>
            </w:r>
          </w:p>
        </w:tc>
      </w:tr>
      <w:tr w14:paraId="09DAEBD7">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3649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3202D3">
            <w:pPr>
              <w:jc w:val="center"/>
            </w:pPr>
            <w:r>
              <w:rPr>
                <w:rFonts w:ascii="宋体" w:hAnsi="宋体" w:eastAsia="宋体"/>
                <w:sz w:val="16"/>
              </w:rPr>
              <w:t>苏霍民族团结一家亲活动</w:t>
            </w:r>
          </w:p>
        </w:tc>
      </w:tr>
      <w:tr w14:paraId="06D03C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590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22CEEB">
            <w:pPr>
              <w:jc w:val="center"/>
            </w:pPr>
            <w:r>
              <w:rPr>
                <w:rFonts w:ascii="宋体" w:hAnsi="宋体" w:eastAsia="宋体"/>
                <w:sz w:val="16"/>
              </w:rPr>
              <w:t>中国共产党霍尔果斯市委员会统一战线工作部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9DD4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2BACDA">
            <w:pPr>
              <w:jc w:val="center"/>
            </w:pPr>
            <w:r>
              <w:rPr>
                <w:rFonts w:ascii="宋体" w:hAnsi="宋体" w:eastAsia="宋体"/>
                <w:sz w:val="16"/>
              </w:rPr>
              <w:t>中国共产党霍尔果斯市委员会统一战线工作部</w:t>
            </w:r>
          </w:p>
        </w:tc>
      </w:tr>
      <w:tr w14:paraId="35C255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1FB38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1B33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4EF3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3A45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9ECB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0570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FF68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EBFD1">
            <w:pPr>
              <w:jc w:val="center"/>
            </w:pPr>
            <w:r>
              <w:rPr>
                <w:rFonts w:ascii="宋体" w:hAnsi="宋体" w:eastAsia="宋体"/>
                <w:sz w:val="16"/>
              </w:rPr>
              <w:t>得分</w:t>
            </w:r>
          </w:p>
        </w:tc>
      </w:tr>
      <w:tr w14:paraId="4AFB97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61D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86A2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2D9C6">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BB785">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83DDC">
            <w:pPr>
              <w:jc w:val="center"/>
            </w:pPr>
            <w:r>
              <w:rPr>
                <w:rFonts w:ascii="宋体" w:hAnsi="宋体" w:eastAsia="宋体"/>
                <w:sz w:val="16"/>
              </w:rPr>
              <w:t>24.55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6A8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797C8">
            <w:pPr>
              <w:jc w:val="center"/>
            </w:pPr>
            <w:r>
              <w:rPr>
                <w:rFonts w:ascii="宋体" w:hAnsi="宋体" w:eastAsia="宋体"/>
                <w:sz w:val="16"/>
              </w:rPr>
              <w:t>98.20%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556EF">
            <w:pPr>
              <w:jc w:val="center"/>
            </w:pPr>
            <w:r>
              <w:rPr>
                <w:rFonts w:ascii="宋体" w:hAnsi="宋体" w:eastAsia="宋体"/>
                <w:sz w:val="16"/>
              </w:rPr>
              <w:t>9.55</w:t>
            </w:r>
          </w:p>
        </w:tc>
      </w:tr>
      <w:tr w14:paraId="6412EB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30E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DEB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49A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A1B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142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F48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229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3D5EB">
            <w:pPr>
              <w:jc w:val="center"/>
            </w:pPr>
            <w:r>
              <w:rPr>
                <w:rFonts w:ascii="宋体" w:hAnsi="宋体" w:eastAsia="宋体"/>
                <w:sz w:val="16"/>
              </w:rPr>
              <w:t>—</w:t>
            </w:r>
          </w:p>
        </w:tc>
      </w:tr>
      <w:tr w14:paraId="15EEF9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778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D512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F778F">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1BC00">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A9C35">
            <w:pPr>
              <w:jc w:val="center"/>
            </w:pPr>
            <w:r>
              <w:rPr>
                <w:rFonts w:ascii="宋体" w:hAnsi="宋体" w:eastAsia="宋体"/>
                <w:sz w:val="16"/>
              </w:rPr>
              <w:t>24.55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05D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0B0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28220">
            <w:pPr>
              <w:jc w:val="center"/>
            </w:pPr>
            <w:r>
              <w:rPr>
                <w:rFonts w:ascii="宋体" w:hAnsi="宋体" w:eastAsia="宋体"/>
                <w:sz w:val="16"/>
              </w:rPr>
              <w:t>—</w:t>
            </w:r>
          </w:p>
        </w:tc>
      </w:tr>
      <w:tr w14:paraId="7104C2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67E9F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05258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DB5EDD">
            <w:pPr>
              <w:jc w:val="center"/>
            </w:pPr>
            <w:r>
              <w:rPr>
                <w:rFonts w:ascii="宋体" w:hAnsi="宋体" w:eastAsia="宋体"/>
                <w:sz w:val="16"/>
              </w:rPr>
              <w:t>实际完成情况</w:t>
            </w:r>
          </w:p>
        </w:tc>
      </w:tr>
      <w:tr w14:paraId="50EC8D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767E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8B4CA1">
            <w:pPr>
              <w:jc w:val="both"/>
            </w:pPr>
            <w:r>
              <w:rPr>
                <w:rFonts w:ascii="宋体" w:hAnsi="宋体" w:eastAsia="宋体"/>
                <w:sz w:val="16"/>
              </w:rPr>
              <w:t>通过举办苏霍民族团结一家亲活动有效推动苏霍两地文化交往交流交融，加强两地间文化交流、民族团结进步、产品推介、民间互动，更好推介霍尔果斯文旅资源，展示苏州援疆建设成果，进一步铸牢中华民族共同体意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AA7F7F">
            <w:pPr>
              <w:jc w:val="both"/>
            </w:pPr>
            <w:r>
              <w:rPr>
                <w:rFonts w:ascii="宋体" w:hAnsi="宋体" w:eastAsia="宋体"/>
                <w:sz w:val="16"/>
              </w:rPr>
              <w:t>已举办苏霍民族团结一家亲活动，该活动有效推动苏霍两地文化交往交流交融。</w:t>
            </w:r>
          </w:p>
        </w:tc>
      </w:tr>
      <w:tr w14:paraId="6F2CF8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FBCD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9437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73CF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7CE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E1A5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C2D3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609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2E9F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764E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3041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A443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1778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2CD3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A9FAA">
            <w:pPr>
              <w:jc w:val="center"/>
            </w:pPr>
            <w:r>
              <w:rPr>
                <w:rFonts w:ascii="宋体" w:hAnsi="宋体" w:eastAsia="宋体"/>
                <w:sz w:val="16"/>
              </w:rPr>
              <w:t>偏差原因分析及改进措施</w:t>
            </w:r>
          </w:p>
        </w:tc>
      </w:tr>
      <w:tr w14:paraId="2A71C5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3A7B4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D596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3AC83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82CE4">
            <w:pPr>
              <w:jc w:val="center"/>
            </w:pPr>
            <w:r>
              <w:rPr>
                <w:rFonts w:ascii="宋体" w:hAnsi="宋体" w:eastAsia="宋体"/>
                <w:sz w:val="16"/>
              </w:rPr>
              <w:t>举办“民族团结一家亲”系列文艺演出活动场次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DB2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2DDB0">
            <w:pPr>
              <w:jc w:val="center"/>
            </w:pPr>
            <w:r>
              <w:rPr>
                <w:rFonts w:ascii="宋体" w:hAnsi="宋体" w:eastAsia="宋体"/>
                <w:sz w:val="16"/>
              </w:rPr>
              <w:t>=10场次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6CBFF">
            <w:pPr>
              <w:jc w:val="center"/>
            </w:pPr>
            <w:r>
              <w:rPr>
                <w:rFonts w:ascii="宋体" w:hAnsi="宋体" w:eastAsia="宋体"/>
                <w:sz w:val="16"/>
              </w:rPr>
              <w:t>10场次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B4E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4AB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C47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8CF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10C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F1D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933E4">
            <w:pPr>
              <w:jc w:val="center"/>
            </w:pPr>
          </w:p>
        </w:tc>
      </w:tr>
      <w:tr w14:paraId="759B3C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44F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9A7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5A7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ABFE">
            <w:pPr>
              <w:jc w:val="center"/>
            </w:pPr>
            <w:r>
              <w:rPr>
                <w:rFonts w:ascii="宋体" w:hAnsi="宋体" w:eastAsia="宋体"/>
                <w:sz w:val="16"/>
              </w:rPr>
              <w:t>举办活动天数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C0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8BAC3">
            <w:pPr>
              <w:jc w:val="center"/>
            </w:pPr>
            <w:r>
              <w:rPr>
                <w:rFonts w:ascii="宋体" w:hAnsi="宋体" w:eastAsia="宋体"/>
                <w:sz w:val="16"/>
              </w:rPr>
              <w:t>=9天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03761">
            <w:pPr>
              <w:jc w:val="center"/>
            </w:pPr>
            <w:r>
              <w:rPr>
                <w:rFonts w:ascii="宋体" w:hAnsi="宋体" w:eastAsia="宋体"/>
                <w:sz w:val="16"/>
              </w:rPr>
              <w:t>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208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768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05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95B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4F4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393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4B3D1">
            <w:pPr>
              <w:jc w:val="center"/>
            </w:pPr>
          </w:p>
        </w:tc>
      </w:tr>
      <w:tr w14:paraId="2437DA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10F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AB7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757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1BD14">
            <w:pPr>
              <w:jc w:val="center"/>
            </w:pPr>
            <w:r>
              <w:rPr>
                <w:rFonts w:ascii="宋体" w:hAnsi="宋体" w:eastAsia="宋体"/>
                <w:sz w:val="16"/>
              </w:rPr>
              <w:t>参加活动人次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4C8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EA63F">
            <w:pPr>
              <w:jc w:val="center"/>
            </w:pPr>
            <w:r>
              <w:rPr>
                <w:rFonts w:ascii="宋体" w:hAnsi="宋体" w:eastAsia="宋体"/>
                <w:sz w:val="16"/>
              </w:rPr>
              <w:t>&gt;=800人次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91FA0">
            <w:pPr>
              <w:jc w:val="center"/>
            </w:pPr>
            <w:r>
              <w:rPr>
                <w:rFonts w:ascii="宋体" w:hAnsi="宋体" w:eastAsia="宋体"/>
                <w:sz w:val="16"/>
              </w:rPr>
              <w:t>900人次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BEC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59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10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08B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C5D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08D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31BB">
            <w:pPr>
              <w:jc w:val="center"/>
            </w:pPr>
          </w:p>
        </w:tc>
      </w:tr>
      <w:tr w14:paraId="4C5CEF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EB6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5E9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8FC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D108F">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5C4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C5A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C3E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B3A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2B2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CA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958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9E1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EF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F103D">
            <w:pPr>
              <w:jc w:val="center"/>
            </w:pPr>
          </w:p>
        </w:tc>
      </w:tr>
      <w:tr w14:paraId="20CAFC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4A4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B92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4C54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B794E">
            <w:pPr>
              <w:jc w:val="center"/>
            </w:pPr>
            <w:r>
              <w:rPr>
                <w:rFonts w:ascii="宋体" w:hAnsi="宋体" w:eastAsia="宋体"/>
                <w:sz w:val="16"/>
              </w:rPr>
              <w:t>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013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245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4A4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CD0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BBE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F15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B09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4CE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62C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3B73F">
            <w:pPr>
              <w:jc w:val="center"/>
            </w:pPr>
          </w:p>
        </w:tc>
      </w:tr>
      <w:tr w14:paraId="2C7ABB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886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9D0F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ED4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92065">
            <w:pPr>
              <w:jc w:val="center"/>
            </w:pPr>
            <w:r>
              <w:rPr>
                <w:rFonts w:ascii="宋体" w:hAnsi="宋体" w:eastAsia="宋体"/>
                <w:sz w:val="16"/>
              </w:rPr>
              <w:t>平均每次“苏霍民族团结一家亲”活动文艺演出经费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5DA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B29BB">
            <w:pPr>
              <w:jc w:val="center"/>
            </w:pPr>
            <w:r>
              <w:rPr>
                <w:rFonts w:ascii="宋体" w:hAnsi="宋体" w:eastAsia="宋体"/>
                <w:sz w:val="16"/>
              </w:rPr>
              <w:t>&lt;=2.5万元/次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AEFB8">
            <w:pPr>
              <w:jc w:val="center"/>
            </w:pPr>
            <w:r>
              <w:rPr>
                <w:rFonts w:ascii="宋体" w:hAnsi="宋体" w:eastAsia="宋体"/>
                <w:sz w:val="16"/>
              </w:rPr>
              <w:t>2.45万元/次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7BF48">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6CD87">
            <w:pPr>
              <w:jc w:val="center"/>
            </w:pPr>
            <w:r>
              <w:rPr>
                <w:rFonts w:ascii="宋体" w:hAnsi="宋体" w:eastAsia="宋体"/>
                <w:sz w:val="16"/>
              </w:rPr>
              <w:t>19.6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E00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0B5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03D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C9F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05A1B">
            <w:pPr>
              <w:jc w:val="center"/>
            </w:pPr>
            <w:r>
              <w:rPr>
                <w:rFonts w:ascii="宋体" w:hAnsi="宋体" w:eastAsia="宋体"/>
                <w:sz w:val="16"/>
              </w:rPr>
              <w:t>根据实际支出情况填写</w:t>
            </w:r>
          </w:p>
        </w:tc>
      </w:tr>
      <w:tr w14:paraId="56F050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D5E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3C13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285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F572C">
            <w:pPr>
              <w:jc w:val="center"/>
            </w:pPr>
            <w:r>
              <w:rPr>
                <w:rFonts w:ascii="宋体" w:hAnsi="宋体" w:eastAsia="宋体"/>
                <w:sz w:val="16"/>
              </w:rPr>
              <w:t>铸牢中华民族共同体意识效果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10C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C1A8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BF5C3">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208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B59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7B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69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0DE5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22A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943D8">
            <w:pPr>
              <w:jc w:val="center"/>
            </w:pPr>
          </w:p>
        </w:tc>
      </w:tr>
      <w:tr w14:paraId="7D7DCD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3DD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86B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1AB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319B9">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D60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907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F69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C0B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D7E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370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192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AAC8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C94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CF1A3">
            <w:pPr>
              <w:jc w:val="center"/>
            </w:pPr>
          </w:p>
        </w:tc>
      </w:tr>
      <w:tr w14:paraId="284E52A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200E9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4B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16D5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FCD0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9845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4F24D">
            <w:pPr>
              <w:jc w:val="center"/>
            </w:pPr>
            <w:r>
              <w:rPr>
                <w:rFonts w:ascii="宋体" w:hAnsi="宋体" w:eastAsia="宋体"/>
                <w:sz w:val="16"/>
              </w:rPr>
              <w:t>99.15分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F9B2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9199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C79B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3746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60D4A9"/>
        </w:tc>
      </w:tr>
    </w:tbl>
    <w:p w14:paraId="06CEE48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83F7068">
        <w:tblPrEx>
          <w:tblCellMar>
            <w:top w:w="0" w:type="dxa"/>
            <w:left w:w="108" w:type="dxa"/>
            <w:bottom w:w="0" w:type="dxa"/>
            <w:right w:w="108" w:type="dxa"/>
          </w:tblCellMar>
        </w:tblPrEx>
        <w:tc>
          <w:tcPr>
            <w:tcW w:w="8848" w:type="dxa"/>
            <w:gridSpan w:val="14"/>
            <w:vAlign w:val="center"/>
          </w:tcPr>
          <w:p w14:paraId="2F12DA2D">
            <w:pPr>
              <w:jc w:val="center"/>
            </w:pPr>
            <w:r>
              <w:rPr>
                <w:rFonts w:ascii="宋体" w:hAnsi="宋体" w:eastAsia="宋体"/>
                <w:sz w:val="24"/>
              </w:rPr>
              <w:t>项目支出绩效自评表</w:t>
            </w:r>
          </w:p>
        </w:tc>
      </w:tr>
      <w:tr w14:paraId="6D35918E">
        <w:tblPrEx>
          <w:tblCellMar>
            <w:top w:w="0" w:type="dxa"/>
            <w:left w:w="108" w:type="dxa"/>
            <w:bottom w:w="0" w:type="dxa"/>
            <w:right w:w="108" w:type="dxa"/>
          </w:tblCellMar>
        </w:tblPrEx>
        <w:tc>
          <w:tcPr>
            <w:tcW w:w="8848" w:type="dxa"/>
            <w:gridSpan w:val="14"/>
            <w:vAlign w:val="center"/>
          </w:tcPr>
          <w:p w14:paraId="52FE310A">
            <w:pPr>
              <w:jc w:val="center"/>
            </w:pPr>
            <w:r>
              <w:rPr>
                <w:rFonts w:ascii="宋体" w:hAnsi="宋体" w:eastAsia="宋体"/>
                <w:sz w:val="24"/>
              </w:rPr>
              <w:t>(2024年度)</w:t>
            </w:r>
          </w:p>
        </w:tc>
      </w:tr>
      <w:tr w14:paraId="338A31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515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06699D">
            <w:pPr>
              <w:jc w:val="center"/>
            </w:pPr>
            <w:r>
              <w:rPr>
                <w:rFonts w:ascii="宋体" w:hAnsi="宋体" w:eastAsia="宋体"/>
                <w:sz w:val="16"/>
              </w:rPr>
              <w:t>霍尔果斯市新联会活动资金项目</w:t>
            </w:r>
          </w:p>
        </w:tc>
      </w:tr>
      <w:tr w14:paraId="013E26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FD4D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8F1031">
            <w:pPr>
              <w:jc w:val="center"/>
            </w:pPr>
            <w:r>
              <w:rPr>
                <w:rFonts w:ascii="宋体" w:hAnsi="宋体" w:eastAsia="宋体"/>
                <w:sz w:val="16"/>
              </w:rPr>
              <w:t>中国共产党霍尔果斯市委员会统一战线工作部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D6C0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29D189">
            <w:pPr>
              <w:jc w:val="center"/>
            </w:pPr>
            <w:r>
              <w:rPr>
                <w:rFonts w:ascii="宋体" w:hAnsi="宋体" w:eastAsia="宋体"/>
                <w:sz w:val="16"/>
              </w:rPr>
              <w:t>中国共产党霍尔果斯市委员会统一战线工作部</w:t>
            </w:r>
          </w:p>
        </w:tc>
      </w:tr>
      <w:tr w14:paraId="0077B0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301FF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6C3B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47F0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3D90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480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6A41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171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E1A80">
            <w:pPr>
              <w:jc w:val="center"/>
            </w:pPr>
            <w:r>
              <w:rPr>
                <w:rFonts w:ascii="宋体" w:hAnsi="宋体" w:eastAsia="宋体"/>
                <w:sz w:val="16"/>
              </w:rPr>
              <w:t>得分</w:t>
            </w:r>
          </w:p>
        </w:tc>
      </w:tr>
      <w:tr w14:paraId="05ECBA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022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B3E4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77FA5">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9F8E4">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E6289">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EFE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A6F5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CE312">
            <w:pPr>
              <w:jc w:val="center"/>
            </w:pPr>
            <w:r>
              <w:rPr>
                <w:rFonts w:ascii="宋体" w:hAnsi="宋体" w:eastAsia="宋体"/>
                <w:sz w:val="16"/>
              </w:rPr>
              <w:t>10.00</w:t>
            </w:r>
          </w:p>
        </w:tc>
      </w:tr>
      <w:tr w14:paraId="1FA873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12F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9574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596F3">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BCB61">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75B0F">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B6B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C43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5717D">
            <w:pPr>
              <w:jc w:val="center"/>
            </w:pPr>
            <w:r>
              <w:rPr>
                <w:rFonts w:ascii="宋体" w:hAnsi="宋体" w:eastAsia="宋体"/>
                <w:sz w:val="16"/>
              </w:rPr>
              <w:t>—</w:t>
            </w:r>
          </w:p>
        </w:tc>
      </w:tr>
      <w:tr w14:paraId="1D04EA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54E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3ADF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16F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6F0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ADC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E61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152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70C95">
            <w:pPr>
              <w:jc w:val="center"/>
            </w:pPr>
            <w:r>
              <w:rPr>
                <w:rFonts w:ascii="宋体" w:hAnsi="宋体" w:eastAsia="宋体"/>
                <w:sz w:val="16"/>
              </w:rPr>
              <w:t>—</w:t>
            </w:r>
          </w:p>
        </w:tc>
      </w:tr>
      <w:tr w14:paraId="6B7EF7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C750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FA9EE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51F56B">
            <w:pPr>
              <w:jc w:val="center"/>
            </w:pPr>
            <w:r>
              <w:rPr>
                <w:rFonts w:ascii="宋体" w:hAnsi="宋体" w:eastAsia="宋体"/>
                <w:sz w:val="16"/>
              </w:rPr>
              <w:t>实际完成情况</w:t>
            </w:r>
          </w:p>
        </w:tc>
      </w:tr>
      <w:tr w14:paraId="152AE5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374A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357133">
            <w:pPr>
              <w:jc w:val="both"/>
            </w:pPr>
            <w:r>
              <w:rPr>
                <w:rFonts w:ascii="宋体" w:hAnsi="宋体" w:eastAsia="宋体"/>
                <w:sz w:val="16"/>
              </w:rPr>
              <w:t>根据中央统战部《关于加强新的社会阶层人士统战工作的意见》和州党委统战部关于成立新的社会阶层联谊会相关工作安排，经市委常委会同意，通过成立霍尔果斯市新的社会阶层人士联谊会1个，达到广泛团结、凝聚新的社会阶层人士的效果，进一步增强新联会的凝聚力和向心力，保障新联会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527D14">
            <w:pPr>
              <w:jc w:val="both"/>
            </w:pPr>
            <w:r>
              <w:rPr>
                <w:rFonts w:ascii="宋体" w:hAnsi="宋体" w:eastAsia="宋体"/>
                <w:sz w:val="16"/>
              </w:rPr>
              <w:t>成立霍尔果斯市新的社会阶层人士联谊会1个，达到广泛团结、凝聚新的社会阶层人士的效果，进一步增强新联会的凝聚力和向心力，保障新联会正常运行。</w:t>
            </w:r>
          </w:p>
        </w:tc>
      </w:tr>
      <w:tr w14:paraId="3EA9CB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93C4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11BC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E51C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5440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C995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4FE6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F151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7253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E47D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6732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D41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A202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6C3D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0A95A">
            <w:pPr>
              <w:jc w:val="center"/>
            </w:pPr>
            <w:r>
              <w:rPr>
                <w:rFonts w:ascii="宋体" w:hAnsi="宋体" w:eastAsia="宋体"/>
                <w:sz w:val="16"/>
              </w:rPr>
              <w:t>偏差原因分析及改进措施</w:t>
            </w:r>
          </w:p>
        </w:tc>
      </w:tr>
      <w:tr w14:paraId="0F5DC7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D9E1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CFE02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4CDC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CCF31">
            <w:pPr>
              <w:jc w:val="center"/>
            </w:pPr>
            <w:r>
              <w:rPr>
                <w:rFonts w:ascii="宋体" w:hAnsi="宋体" w:eastAsia="宋体"/>
                <w:sz w:val="16"/>
              </w:rPr>
              <w:t>成立新联会组织数量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5CE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B6E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8AD1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360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B07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8DB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7F1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587A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05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19FB">
            <w:pPr>
              <w:jc w:val="center"/>
            </w:pPr>
          </w:p>
        </w:tc>
      </w:tr>
      <w:tr w14:paraId="4F1109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086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CF6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60DEC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7856E">
            <w:pPr>
              <w:jc w:val="center"/>
            </w:pPr>
            <w:r>
              <w:rPr>
                <w:rFonts w:ascii="宋体" w:hAnsi="宋体" w:eastAsia="宋体"/>
                <w:sz w:val="16"/>
              </w:rPr>
              <w:t>成立新联会完成率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B22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281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9C6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C8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4BE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83F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E67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091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1F4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9EE21">
            <w:pPr>
              <w:jc w:val="center"/>
            </w:pPr>
          </w:p>
        </w:tc>
      </w:tr>
      <w:tr w14:paraId="1C1C15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1A2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634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9FA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B1949">
            <w:pPr>
              <w:jc w:val="center"/>
            </w:pPr>
            <w:r>
              <w:rPr>
                <w:rFonts w:ascii="宋体" w:hAnsi="宋体" w:eastAsia="宋体"/>
                <w:sz w:val="16"/>
              </w:rPr>
              <w:t>新联会工作开展经费支付完成率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A6D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8DF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93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C2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33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62C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02A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CF2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AFE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369EC">
            <w:pPr>
              <w:jc w:val="center"/>
            </w:pPr>
          </w:p>
        </w:tc>
      </w:tr>
      <w:tr w14:paraId="764A2D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272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758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029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766CD">
            <w:pPr>
              <w:jc w:val="center"/>
            </w:pPr>
            <w:r>
              <w:rPr>
                <w:rFonts w:ascii="宋体" w:hAnsi="宋体" w:eastAsia="宋体"/>
                <w:sz w:val="16"/>
              </w:rPr>
              <w:t>新联会计划成立时间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954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4176F">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8008">
            <w:pPr>
              <w:jc w:val="center"/>
            </w:pPr>
            <w:r>
              <w:rPr>
                <w:rFonts w:ascii="宋体" w:hAnsi="宋体" w:eastAsia="宋体"/>
                <w:sz w:val="16"/>
              </w:rPr>
              <w:t>2024年11月28日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0EA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E87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1C9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948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6779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D11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103D4">
            <w:pPr>
              <w:jc w:val="center"/>
            </w:pPr>
          </w:p>
        </w:tc>
      </w:tr>
      <w:tr w14:paraId="53741E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DEF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18E8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E53D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FE9E6">
            <w:pPr>
              <w:jc w:val="center"/>
            </w:pPr>
            <w:r>
              <w:rPr>
                <w:rFonts w:ascii="宋体" w:hAnsi="宋体" w:eastAsia="宋体"/>
                <w:sz w:val="16"/>
              </w:rPr>
              <w:t>新联会工作开展经费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5BCE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C34A3">
            <w:pPr>
              <w:jc w:val="center"/>
            </w:pPr>
            <w:r>
              <w:rPr>
                <w:rFonts w:ascii="宋体" w:hAnsi="宋体" w:eastAsia="宋体"/>
                <w:sz w:val="16"/>
              </w:rPr>
              <w:t>=3万元/个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8E555">
            <w:pPr>
              <w:jc w:val="center"/>
            </w:pPr>
            <w:r>
              <w:rPr>
                <w:rFonts w:ascii="宋体" w:hAnsi="宋体" w:eastAsia="宋体"/>
                <w:sz w:val="16"/>
              </w:rPr>
              <w:t>3万元/个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B43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FDB2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70D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188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462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9B2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43A55">
            <w:pPr>
              <w:jc w:val="center"/>
            </w:pPr>
          </w:p>
        </w:tc>
      </w:tr>
      <w:tr w14:paraId="2D9D79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0EF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62D3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41FC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507A">
            <w:pPr>
              <w:jc w:val="center"/>
            </w:pPr>
            <w:r>
              <w:rPr>
                <w:rFonts w:ascii="宋体" w:hAnsi="宋体" w:eastAsia="宋体"/>
                <w:sz w:val="16"/>
              </w:rPr>
              <w:t>保障新联会正常运行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CF1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1E74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9A9AC">
            <w:pPr>
              <w:jc w:val="center"/>
            </w:pPr>
            <w:r>
              <w:rPr>
                <w:rFonts w:ascii="宋体" w:hAnsi="宋体" w:eastAsia="宋体"/>
                <w:sz w:val="16"/>
              </w:rPr>
              <w:t>有所保障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23C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834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4C6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EC3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F60F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A7C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9EB15">
            <w:pPr>
              <w:jc w:val="center"/>
            </w:pPr>
          </w:p>
        </w:tc>
      </w:tr>
      <w:tr w14:paraId="7F4130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F64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574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A4A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12761">
            <w:pPr>
              <w:jc w:val="center"/>
            </w:pPr>
            <w:r>
              <w:rPr>
                <w:rFonts w:ascii="宋体" w:hAnsi="宋体" w:eastAsia="宋体"/>
                <w:sz w:val="16"/>
              </w:rPr>
              <w:t>新的社会阶层人士满意度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9BD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D53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E3D2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C8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521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8B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07C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8B1B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A89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AEBB3">
            <w:pPr>
              <w:jc w:val="center"/>
            </w:pPr>
          </w:p>
        </w:tc>
      </w:tr>
      <w:tr w14:paraId="47C3B34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17109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A45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A602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4639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54F4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A4E78">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0326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1613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01CE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6737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2D1B04"/>
        </w:tc>
      </w:tr>
    </w:tbl>
    <w:p w14:paraId="3E521EB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96"/>
        <w:gridCol w:w="632"/>
        <w:gridCol w:w="632"/>
        <w:gridCol w:w="632"/>
        <w:gridCol w:w="632"/>
        <w:gridCol w:w="632"/>
        <w:gridCol w:w="632"/>
      </w:tblGrid>
      <w:tr w14:paraId="339C6D43">
        <w:tblPrEx>
          <w:tblCellMar>
            <w:top w:w="0" w:type="dxa"/>
            <w:left w:w="108" w:type="dxa"/>
            <w:bottom w:w="0" w:type="dxa"/>
            <w:right w:w="108" w:type="dxa"/>
          </w:tblCellMar>
        </w:tblPrEx>
        <w:tc>
          <w:tcPr>
            <w:tcW w:w="8848" w:type="dxa"/>
            <w:gridSpan w:val="14"/>
            <w:vAlign w:val="center"/>
          </w:tcPr>
          <w:p w14:paraId="43CF8AD1">
            <w:pPr>
              <w:jc w:val="center"/>
            </w:pPr>
            <w:r>
              <w:rPr>
                <w:rFonts w:ascii="宋体" w:hAnsi="宋体" w:eastAsia="宋体"/>
                <w:sz w:val="24"/>
              </w:rPr>
              <w:t>项目支出绩效自评表</w:t>
            </w:r>
          </w:p>
        </w:tc>
      </w:tr>
      <w:tr w14:paraId="731113D1">
        <w:tblPrEx>
          <w:tblCellMar>
            <w:top w:w="0" w:type="dxa"/>
            <w:left w:w="108" w:type="dxa"/>
            <w:bottom w:w="0" w:type="dxa"/>
            <w:right w:w="108" w:type="dxa"/>
          </w:tblCellMar>
        </w:tblPrEx>
        <w:tc>
          <w:tcPr>
            <w:tcW w:w="8848" w:type="dxa"/>
            <w:gridSpan w:val="14"/>
            <w:vAlign w:val="center"/>
          </w:tcPr>
          <w:p w14:paraId="5E6E7468">
            <w:pPr>
              <w:jc w:val="center"/>
            </w:pPr>
            <w:r>
              <w:rPr>
                <w:rFonts w:ascii="宋体" w:hAnsi="宋体" w:eastAsia="宋体"/>
                <w:sz w:val="24"/>
              </w:rPr>
              <w:t>(2024年度)</w:t>
            </w:r>
          </w:p>
        </w:tc>
      </w:tr>
      <w:tr w14:paraId="02F20F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396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94F31E">
            <w:pPr>
              <w:jc w:val="center"/>
            </w:pPr>
            <w:r>
              <w:rPr>
                <w:rFonts w:ascii="宋体" w:hAnsi="宋体" w:eastAsia="宋体"/>
                <w:sz w:val="16"/>
              </w:rPr>
              <w:t>霍尔果斯市铸牢中华民族共同体意识连云港项目</w:t>
            </w:r>
          </w:p>
        </w:tc>
      </w:tr>
      <w:tr w14:paraId="4EC3BD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BF29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F720D3">
            <w:pPr>
              <w:jc w:val="center"/>
            </w:pPr>
            <w:r>
              <w:rPr>
                <w:rFonts w:ascii="宋体" w:hAnsi="宋体" w:eastAsia="宋体"/>
                <w:sz w:val="16"/>
              </w:rPr>
              <w:t>中国共产党霍尔果斯市委员会统一战线工作部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27DC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3F3BC7">
            <w:pPr>
              <w:jc w:val="center"/>
            </w:pPr>
            <w:r>
              <w:rPr>
                <w:rFonts w:ascii="宋体" w:hAnsi="宋体" w:eastAsia="宋体"/>
                <w:sz w:val="16"/>
              </w:rPr>
              <w:t>中国共产党霍尔果斯市委员会统一战线工作部</w:t>
            </w:r>
          </w:p>
        </w:tc>
      </w:tr>
      <w:tr w14:paraId="3DFB31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14430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71EA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A56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C9E5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3CF4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2FED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B1B0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CEE4F">
            <w:pPr>
              <w:jc w:val="center"/>
            </w:pPr>
            <w:r>
              <w:rPr>
                <w:rFonts w:ascii="宋体" w:hAnsi="宋体" w:eastAsia="宋体"/>
                <w:sz w:val="16"/>
              </w:rPr>
              <w:t>得分</w:t>
            </w:r>
          </w:p>
        </w:tc>
      </w:tr>
      <w:tr w14:paraId="46A374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434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27B8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5DA11">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B4214">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E763C">
            <w:pPr>
              <w:jc w:val="center"/>
            </w:pPr>
            <w:r>
              <w:rPr>
                <w:rFonts w:ascii="宋体" w:hAnsi="宋体" w:eastAsia="宋体"/>
                <w:sz w:val="16"/>
              </w:rPr>
              <w:t>3.36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E3F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A2F0D">
            <w:pPr>
              <w:jc w:val="center"/>
            </w:pPr>
            <w:r>
              <w:rPr>
                <w:rFonts w:ascii="宋体" w:hAnsi="宋体" w:eastAsia="宋体"/>
                <w:sz w:val="16"/>
              </w:rPr>
              <w:t>96.00%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F330D">
            <w:pPr>
              <w:jc w:val="center"/>
            </w:pPr>
            <w:r>
              <w:rPr>
                <w:rFonts w:ascii="宋体" w:hAnsi="宋体" w:eastAsia="宋体"/>
                <w:sz w:val="16"/>
              </w:rPr>
              <w:t>9.00</w:t>
            </w:r>
          </w:p>
        </w:tc>
      </w:tr>
      <w:tr w14:paraId="2A4DDA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4EC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83B1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34D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38D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FAE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CB3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311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4214">
            <w:pPr>
              <w:jc w:val="center"/>
            </w:pPr>
            <w:r>
              <w:rPr>
                <w:rFonts w:ascii="宋体" w:hAnsi="宋体" w:eastAsia="宋体"/>
                <w:sz w:val="16"/>
              </w:rPr>
              <w:t>—</w:t>
            </w:r>
          </w:p>
        </w:tc>
      </w:tr>
      <w:tr w14:paraId="077EE9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C9F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62F1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BCFB8">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B6F4A">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D8F81">
            <w:pPr>
              <w:jc w:val="center"/>
            </w:pPr>
            <w:r>
              <w:rPr>
                <w:rFonts w:ascii="宋体" w:hAnsi="宋体" w:eastAsia="宋体"/>
                <w:sz w:val="16"/>
              </w:rPr>
              <w:t>3.36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A67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B9D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F22A8">
            <w:pPr>
              <w:jc w:val="center"/>
            </w:pPr>
            <w:r>
              <w:rPr>
                <w:rFonts w:ascii="宋体" w:hAnsi="宋体" w:eastAsia="宋体"/>
                <w:sz w:val="16"/>
              </w:rPr>
              <w:t>—</w:t>
            </w:r>
          </w:p>
        </w:tc>
      </w:tr>
      <w:tr w14:paraId="16FA1C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D7160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7246A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029A31">
            <w:pPr>
              <w:jc w:val="center"/>
            </w:pPr>
            <w:r>
              <w:rPr>
                <w:rFonts w:ascii="宋体" w:hAnsi="宋体" w:eastAsia="宋体"/>
                <w:sz w:val="16"/>
              </w:rPr>
              <w:t>实际完成情况</w:t>
            </w:r>
          </w:p>
        </w:tc>
      </w:tr>
      <w:tr w14:paraId="61035E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31A5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C5F23E">
            <w:pPr>
              <w:jc w:val="both"/>
            </w:pPr>
            <w:r>
              <w:rPr>
                <w:rFonts w:ascii="宋体" w:hAnsi="宋体" w:eastAsia="宋体"/>
                <w:sz w:val="16"/>
              </w:rPr>
              <w:t>根据《全国民族团结进步示范市（地、州、盟）、县（市、区、旗）测评指标（西部地区）》相关要求，通过2024年为霍尔果斯创建全国民族团结进步示范市创建年，为进一步铸牢中华民族共同体意识，在全市上下营造浓厚的宣传氛围，促进民族团结进步和经济社会融合发展，霍尔果斯市委统战部计划制作霍尔果斯市创建全国民族团结进步示范市宣传视频1部、打造提升农科集团、卡拉苏社区、红桥社区宣传氛围、举办霍尔果斯市兵地讲故事大赛1场次，总计费用3.5万元，提高全市各族群众获得感、幸福感，做好全市铸牢中华民族共同体意识宣传教育。</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B26584">
            <w:pPr>
              <w:jc w:val="both"/>
            </w:pPr>
            <w:r>
              <w:rPr>
                <w:rFonts w:ascii="宋体" w:hAnsi="宋体" w:eastAsia="宋体"/>
                <w:sz w:val="16"/>
              </w:rPr>
              <w:t>霍尔果斯市委统战部制作霍尔果斯市创建全国民族团结进步示范市宣传视频1部、打造提升农科集团、卡拉苏社区、红桥社区宣传氛围、举办霍尔果斯市兵地讲故事大赛1场次，总计费用3.363万元，提高全市各族群众获得感、幸福感，做好全市铸牢中华民族共同体意识宣传教育。</w:t>
            </w:r>
          </w:p>
        </w:tc>
      </w:tr>
      <w:tr w14:paraId="5F349C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C816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BD1A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D966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9BB4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C523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3339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A039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0018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FA0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B200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CB5E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967C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293E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E973">
            <w:pPr>
              <w:jc w:val="center"/>
            </w:pPr>
            <w:r>
              <w:rPr>
                <w:rFonts w:ascii="宋体" w:hAnsi="宋体" w:eastAsia="宋体"/>
                <w:sz w:val="16"/>
              </w:rPr>
              <w:t>偏差原因分析及改进措施</w:t>
            </w:r>
          </w:p>
        </w:tc>
      </w:tr>
      <w:tr w14:paraId="374344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C6C3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323A5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D73F4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D1543">
            <w:pPr>
              <w:jc w:val="center"/>
            </w:pPr>
            <w:r>
              <w:rPr>
                <w:rFonts w:ascii="宋体" w:hAnsi="宋体" w:eastAsia="宋体"/>
                <w:sz w:val="16"/>
              </w:rPr>
              <w:t>制作宣传视频数量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1F7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055EB">
            <w:pPr>
              <w:jc w:val="center"/>
            </w:pPr>
            <w:r>
              <w:rPr>
                <w:rFonts w:ascii="宋体" w:hAnsi="宋体" w:eastAsia="宋体"/>
                <w:sz w:val="16"/>
              </w:rPr>
              <w: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6D5FA">
            <w:pPr>
              <w:jc w:val="center"/>
            </w:pPr>
            <w:r>
              <w:rPr>
                <w:rFonts w:ascii="宋体" w:hAnsi="宋体" w:eastAsia="宋体"/>
                <w:sz w:val="16"/>
              </w:rPr>
              <w: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359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D13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9EB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BA2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3655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759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47090">
            <w:pPr>
              <w:jc w:val="center"/>
            </w:pPr>
          </w:p>
        </w:tc>
      </w:tr>
      <w:tr w14:paraId="41620E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1E3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E78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901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A417E">
            <w:pPr>
              <w:jc w:val="center"/>
            </w:pPr>
            <w:r>
              <w:rPr>
                <w:rFonts w:ascii="宋体" w:hAnsi="宋体" w:eastAsia="宋体"/>
                <w:sz w:val="16"/>
              </w:rPr>
              <w:t>打造提升民族团结宣传氛围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666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EDB4">
            <w:pPr>
              <w:jc w:val="center"/>
            </w:pPr>
            <w:r>
              <w:rPr>
                <w:rFonts w:ascii="宋体" w:hAnsi="宋体" w:eastAsia="宋体"/>
                <w:sz w:val="16"/>
              </w:rPr>
              <w:t>=3处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4C0E">
            <w:pPr>
              <w:jc w:val="center"/>
            </w:pPr>
            <w:r>
              <w:rPr>
                <w:rFonts w:ascii="宋体" w:hAnsi="宋体" w:eastAsia="宋体"/>
                <w:sz w:val="16"/>
              </w:rPr>
              <w:t>3处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1A0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734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09B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F61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620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DEC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4650F">
            <w:pPr>
              <w:jc w:val="center"/>
            </w:pPr>
          </w:p>
        </w:tc>
      </w:tr>
      <w:tr w14:paraId="0DAFC5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FCD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B89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A81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EA7B5">
            <w:pPr>
              <w:jc w:val="center"/>
            </w:pPr>
            <w:r>
              <w:rPr>
                <w:rFonts w:ascii="宋体" w:hAnsi="宋体" w:eastAsia="宋体"/>
                <w:sz w:val="16"/>
              </w:rPr>
              <w:t>举办兵地讲故事大赛场次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7E6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FF93">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F86E5">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FB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6D7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AF7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18D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D3EB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009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1A5C9">
            <w:pPr>
              <w:jc w:val="center"/>
            </w:pPr>
          </w:p>
        </w:tc>
      </w:tr>
      <w:tr w14:paraId="640008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543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291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6204D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28B86">
            <w:pPr>
              <w:jc w:val="center"/>
            </w:pPr>
            <w:r>
              <w:rPr>
                <w:rFonts w:ascii="宋体" w:hAnsi="宋体" w:eastAsia="宋体"/>
                <w:sz w:val="16"/>
              </w:rPr>
              <w:t>宣传视频制作完成率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BA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79C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B13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B68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0D1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BFB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0F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C0E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4EC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24D9C">
            <w:pPr>
              <w:jc w:val="center"/>
            </w:pPr>
          </w:p>
        </w:tc>
      </w:tr>
      <w:tr w14:paraId="59B36F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89A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68C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109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B1DB0">
            <w:pPr>
              <w:jc w:val="center"/>
            </w:pPr>
            <w:r>
              <w:rPr>
                <w:rFonts w:ascii="宋体" w:hAnsi="宋体" w:eastAsia="宋体"/>
                <w:sz w:val="16"/>
              </w:rPr>
              <w:t>打造提升民族团结氛围宣传验收合格率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6C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5D0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A70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6DD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610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56D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84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29F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5CC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B2BDC">
            <w:pPr>
              <w:jc w:val="center"/>
            </w:pPr>
          </w:p>
        </w:tc>
      </w:tr>
      <w:tr w14:paraId="08D0F9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441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18A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DBD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961BC">
            <w:pPr>
              <w:jc w:val="center"/>
            </w:pPr>
            <w:r>
              <w:rPr>
                <w:rFonts w:ascii="宋体" w:hAnsi="宋体" w:eastAsia="宋体"/>
                <w:sz w:val="16"/>
              </w:rPr>
              <w:t>举办兵地讲故事大赛完成率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E47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4F2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8AF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633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6B8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E85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FE3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FDF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431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A2AF2">
            <w:pPr>
              <w:jc w:val="center"/>
            </w:pPr>
          </w:p>
        </w:tc>
      </w:tr>
      <w:tr w14:paraId="1C358B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D97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C9B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50C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ED418">
            <w:pPr>
              <w:jc w:val="center"/>
            </w:pPr>
            <w:r>
              <w:rPr>
                <w:rFonts w:ascii="宋体" w:hAnsi="宋体" w:eastAsia="宋体"/>
                <w:sz w:val="16"/>
              </w:rPr>
              <w:t>霍尔果斯市铸牢中华民族共同体意识连云港项目完成时间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8A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0E559">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FFD18">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5B2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84E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F63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87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98E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0F6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57129">
            <w:pPr>
              <w:jc w:val="center"/>
            </w:pPr>
          </w:p>
        </w:tc>
      </w:tr>
      <w:tr w14:paraId="066C6A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A65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E98B2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3B6A9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FDD2">
            <w:pPr>
              <w:jc w:val="center"/>
            </w:pPr>
            <w:r>
              <w:rPr>
                <w:rFonts w:ascii="宋体" w:hAnsi="宋体" w:eastAsia="宋体"/>
                <w:sz w:val="16"/>
              </w:rPr>
              <w:t>制作宣传视频费用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A6E2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EA390">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72AD5">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6C3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545C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122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7CD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D6E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B75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F1597">
            <w:pPr>
              <w:jc w:val="center"/>
            </w:pPr>
          </w:p>
        </w:tc>
      </w:tr>
      <w:tr w14:paraId="3E205B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C5D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315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83D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80511">
            <w:pPr>
              <w:jc w:val="center"/>
            </w:pPr>
            <w:r>
              <w:rPr>
                <w:rFonts w:ascii="宋体" w:hAnsi="宋体" w:eastAsia="宋体"/>
                <w:sz w:val="16"/>
              </w:rPr>
              <w:t>打造提升民族团结宣传氛围费用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611C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15F39">
            <w:pPr>
              <w:jc w:val="center"/>
            </w:pPr>
            <w:r>
              <w:rPr>
                <w:rFonts w:ascii="宋体" w:hAnsi="宋体" w:eastAsia="宋体"/>
                <w:sz w:val="16"/>
              </w:rPr>
              <w:t>&lt;=1.75万元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D97EE">
            <w:pPr>
              <w:jc w:val="center"/>
            </w:pPr>
            <w:r>
              <w:rPr>
                <w:rFonts w:ascii="宋体" w:hAnsi="宋体" w:eastAsia="宋体"/>
                <w:sz w:val="16"/>
              </w:rPr>
              <w:t>1.633万元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3EA4C">
            <w:pPr>
              <w:jc w:val="center"/>
            </w:pPr>
            <w:r>
              <w:rPr>
                <w:rFonts w:ascii="宋体" w:hAnsi="宋体" w:eastAsia="宋体"/>
                <w:sz w:val="16"/>
              </w:rPr>
              <w:t>93.31%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73810">
            <w:pPr>
              <w:jc w:val="center"/>
            </w:pPr>
            <w:r>
              <w:rPr>
                <w:rFonts w:ascii="宋体" w:hAnsi="宋体" w:eastAsia="宋体"/>
                <w:sz w:val="16"/>
              </w:rPr>
              <w:t>7.46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FB6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CDE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967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A0B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223A1">
            <w:pPr>
              <w:jc w:val="center"/>
            </w:pPr>
            <w:r>
              <w:rPr>
                <w:rFonts w:ascii="宋体" w:hAnsi="宋体" w:eastAsia="宋体"/>
                <w:sz w:val="16"/>
              </w:rPr>
              <w:t>优化流程、节约资本，与商家协商一致降低成本价</w:t>
            </w:r>
          </w:p>
        </w:tc>
      </w:tr>
      <w:tr w14:paraId="2D5FB4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FE7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854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0BB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F1F74">
            <w:pPr>
              <w:jc w:val="center"/>
            </w:pPr>
            <w:r>
              <w:rPr>
                <w:rFonts w:ascii="宋体" w:hAnsi="宋体" w:eastAsia="宋体"/>
                <w:sz w:val="16"/>
              </w:rPr>
              <w:t>举办兵地讲故事大赛费用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0A5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17431">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85F3C">
            <w:pPr>
              <w:jc w:val="center"/>
            </w:pPr>
            <w:r>
              <w:rPr>
                <w:rFonts w:ascii="宋体" w:hAnsi="宋体" w:eastAsia="宋体"/>
                <w:sz w:val="16"/>
              </w:rPr>
              <w:t>0.48万元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0F28D">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82703">
            <w:pPr>
              <w:jc w:val="center"/>
            </w:pPr>
            <w:r>
              <w:rPr>
                <w:rFonts w:ascii="宋体" w:hAnsi="宋体" w:eastAsia="宋体"/>
                <w:sz w:val="16"/>
              </w:rPr>
              <w:t>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052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F26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7C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DC3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9B54">
            <w:pPr>
              <w:jc w:val="center"/>
            </w:pPr>
            <w:r>
              <w:rPr>
                <w:rFonts w:ascii="宋体" w:hAnsi="宋体" w:eastAsia="宋体"/>
                <w:sz w:val="16"/>
              </w:rPr>
              <w:t>节约活动成本，有弃赛人员导致预算有偏差</w:t>
            </w:r>
          </w:p>
        </w:tc>
      </w:tr>
      <w:tr w14:paraId="1C523D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282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0EA6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84B0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D2CF6">
            <w:pPr>
              <w:jc w:val="center"/>
            </w:pPr>
            <w:r>
              <w:rPr>
                <w:rFonts w:ascii="宋体" w:hAnsi="宋体" w:eastAsia="宋体"/>
                <w:sz w:val="16"/>
              </w:rPr>
              <w:t>提升各族群众铸牢中华民族共同体意识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2F1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261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33FB">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C0A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90A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BCF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13D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947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614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B9295">
            <w:pPr>
              <w:jc w:val="center"/>
            </w:pPr>
          </w:p>
        </w:tc>
      </w:tr>
      <w:tr w14:paraId="3D8C08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13A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7C8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F1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C732B">
            <w:pPr>
              <w:jc w:val="center"/>
            </w:pPr>
            <w:r>
              <w:rPr>
                <w:rFonts w:ascii="宋体" w:hAnsi="宋体" w:eastAsia="宋体"/>
                <w:sz w:val="16"/>
              </w:rPr>
              <w:t>各族群众满意度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11F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1F0F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3383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F5C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5B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3BB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994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D2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792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F938B">
            <w:pPr>
              <w:jc w:val="center"/>
            </w:pPr>
          </w:p>
        </w:tc>
      </w:tr>
      <w:tr w14:paraId="4C2F30E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A0421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603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4646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3952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29E1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5F3F7">
            <w:pPr>
              <w:jc w:val="center"/>
            </w:pPr>
            <w:r>
              <w:rPr>
                <w:rFonts w:ascii="宋体" w:hAnsi="宋体" w:eastAsia="宋体"/>
                <w:sz w:val="16"/>
              </w:rPr>
              <w:t>98.26分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52B4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1C3A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2699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CA7E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DF70FB"/>
        </w:tc>
      </w:tr>
    </w:tbl>
    <w:p w14:paraId="7F226EF9">
      <w:r>
        <w:br w:type="page"/>
      </w:r>
    </w:p>
    <w:p w14:paraId="682864CB">
      <w:pPr>
        <w:spacing w:line="640" w:lineRule="exact"/>
        <w:ind w:firstLine="640"/>
        <w:jc w:val="both"/>
        <w:outlineLvl w:val="2"/>
      </w:pPr>
      <w:r>
        <w:rPr>
          <w:rFonts w:ascii="黑体" w:hAnsi="黑体" w:eastAsia="黑体"/>
          <w:sz w:val="32"/>
        </w:rPr>
        <w:t>十二、其他需说明的事项</w:t>
      </w:r>
    </w:p>
    <w:p w14:paraId="4D54CF66">
      <w:pPr>
        <w:spacing w:line="580" w:lineRule="exact"/>
        <w:ind w:firstLine="640"/>
        <w:jc w:val="both"/>
      </w:pPr>
      <w:r>
        <w:rPr>
          <w:rFonts w:ascii="仿宋_GB2312" w:hAnsi="仿宋_GB2312" w:eastAsia="仿宋_GB2312"/>
          <w:b w:val="0"/>
          <w:sz w:val="32"/>
        </w:rPr>
        <w:t>本单位无其他需说明的事项。</w:t>
      </w:r>
    </w:p>
    <w:p w14:paraId="14B484BA">
      <w:r>
        <w:br w:type="page"/>
      </w:r>
    </w:p>
    <w:p w14:paraId="0F0BD4ED">
      <w:pPr>
        <w:spacing w:line="240" w:lineRule="auto"/>
        <w:jc w:val="center"/>
        <w:outlineLvl w:val="1"/>
      </w:pPr>
      <w:r>
        <w:rPr>
          <w:rFonts w:ascii="黑体" w:hAnsi="黑体" w:eastAsia="黑体"/>
          <w:sz w:val="32"/>
        </w:rPr>
        <w:t>第三部分 专业名词解释</w:t>
      </w:r>
    </w:p>
    <w:p w14:paraId="45FA722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CE898D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04E907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255265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DCCDD9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E17857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B1EBC8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4E035F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C4FC3C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0038A9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48867F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4388ED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77BC96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D564BF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EAEFB8F">
      <w:r>
        <w:br w:type="page"/>
      </w:r>
    </w:p>
    <w:p w14:paraId="608EE0F7">
      <w:pPr>
        <w:spacing w:line="240" w:lineRule="auto"/>
        <w:jc w:val="center"/>
        <w:outlineLvl w:val="1"/>
      </w:pPr>
      <w:r>
        <w:rPr>
          <w:rFonts w:ascii="黑体" w:hAnsi="黑体" w:eastAsia="黑体"/>
          <w:sz w:val="32"/>
        </w:rPr>
        <w:t>第四部分 部门决算报表（见附表）</w:t>
      </w:r>
    </w:p>
    <w:p w14:paraId="3DD10354">
      <w:pPr>
        <w:spacing w:line="240" w:lineRule="auto"/>
        <w:ind w:firstLine="640"/>
        <w:jc w:val="both"/>
      </w:pPr>
      <w:r>
        <w:rPr>
          <w:rFonts w:ascii="仿宋_GB2312" w:hAnsi="仿宋_GB2312" w:eastAsia="仿宋_GB2312"/>
          <w:b w:val="0"/>
          <w:sz w:val="32"/>
        </w:rPr>
        <w:t>一、《收入支出决算总表》</w:t>
      </w:r>
    </w:p>
    <w:p w14:paraId="5377651D">
      <w:pPr>
        <w:spacing w:line="240" w:lineRule="auto"/>
        <w:ind w:firstLine="640"/>
        <w:jc w:val="both"/>
      </w:pPr>
      <w:r>
        <w:rPr>
          <w:rFonts w:ascii="仿宋_GB2312" w:hAnsi="仿宋_GB2312" w:eastAsia="仿宋_GB2312"/>
          <w:b w:val="0"/>
          <w:sz w:val="32"/>
        </w:rPr>
        <w:t>二、《收入决算表》</w:t>
      </w:r>
    </w:p>
    <w:p w14:paraId="4645F83D">
      <w:pPr>
        <w:spacing w:line="240" w:lineRule="auto"/>
        <w:ind w:firstLine="640"/>
        <w:jc w:val="both"/>
      </w:pPr>
      <w:r>
        <w:rPr>
          <w:rFonts w:ascii="仿宋_GB2312" w:hAnsi="仿宋_GB2312" w:eastAsia="仿宋_GB2312"/>
          <w:b w:val="0"/>
          <w:sz w:val="32"/>
        </w:rPr>
        <w:t>三、《支出决算表》</w:t>
      </w:r>
    </w:p>
    <w:p w14:paraId="0677969E">
      <w:pPr>
        <w:spacing w:line="240" w:lineRule="auto"/>
        <w:ind w:firstLine="640"/>
        <w:jc w:val="both"/>
      </w:pPr>
      <w:r>
        <w:rPr>
          <w:rFonts w:ascii="仿宋_GB2312" w:hAnsi="仿宋_GB2312" w:eastAsia="仿宋_GB2312"/>
          <w:b w:val="0"/>
          <w:sz w:val="32"/>
        </w:rPr>
        <w:t>四、《财政拨款收入支出决算总表》</w:t>
      </w:r>
    </w:p>
    <w:p w14:paraId="0699118D">
      <w:pPr>
        <w:spacing w:line="240" w:lineRule="auto"/>
        <w:ind w:firstLine="640"/>
        <w:jc w:val="both"/>
      </w:pPr>
      <w:r>
        <w:rPr>
          <w:rFonts w:ascii="仿宋_GB2312" w:hAnsi="仿宋_GB2312" w:eastAsia="仿宋_GB2312"/>
          <w:b w:val="0"/>
          <w:sz w:val="32"/>
        </w:rPr>
        <w:t>五、《一般公共预算财政拨款支出决算表》</w:t>
      </w:r>
    </w:p>
    <w:p w14:paraId="17CA0FDF">
      <w:pPr>
        <w:spacing w:line="240" w:lineRule="auto"/>
        <w:ind w:firstLine="640"/>
        <w:jc w:val="both"/>
      </w:pPr>
      <w:r>
        <w:rPr>
          <w:rFonts w:ascii="仿宋_GB2312" w:hAnsi="仿宋_GB2312" w:eastAsia="仿宋_GB2312"/>
          <w:b w:val="0"/>
          <w:sz w:val="32"/>
        </w:rPr>
        <w:t>六、《一般公共预算财政拨款基本支出决算表》</w:t>
      </w:r>
    </w:p>
    <w:p w14:paraId="438D47A5">
      <w:pPr>
        <w:spacing w:line="240" w:lineRule="auto"/>
        <w:ind w:firstLine="640"/>
        <w:jc w:val="both"/>
      </w:pPr>
      <w:r>
        <w:rPr>
          <w:rFonts w:ascii="仿宋_GB2312" w:hAnsi="仿宋_GB2312" w:eastAsia="仿宋_GB2312"/>
          <w:b w:val="0"/>
          <w:sz w:val="32"/>
        </w:rPr>
        <w:t>七、《政府性基金预算财政拨款收入支出决算表》</w:t>
      </w:r>
    </w:p>
    <w:p w14:paraId="6A158EAD">
      <w:pPr>
        <w:spacing w:line="240" w:lineRule="auto"/>
        <w:ind w:firstLine="640"/>
        <w:jc w:val="both"/>
      </w:pPr>
      <w:r>
        <w:rPr>
          <w:rFonts w:ascii="仿宋_GB2312" w:hAnsi="仿宋_GB2312" w:eastAsia="仿宋_GB2312"/>
          <w:b w:val="0"/>
          <w:sz w:val="32"/>
        </w:rPr>
        <w:t>八、《国有资本经营预算财政拨款收入支出决算表》</w:t>
      </w:r>
    </w:p>
    <w:p w14:paraId="255F3B8A">
      <w:pPr>
        <w:spacing w:line="240" w:lineRule="auto"/>
        <w:ind w:firstLine="640"/>
        <w:jc w:val="both"/>
      </w:pPr>
      <w:r>
        <w:rPr>
          <w:rFonts w:ascii="仿宋_GB2312" w:hAnsi="仿宋_GB2312" w:eastAsia="仿宋_GB2312"/>
          <w:b w:val="0"/>
          <w:sz w:val="32"/>
        </w:rPr>
        <w:t>九、《财政拨款“三公”经费支出决算表》</w:t>
      </w:r>
    </w:p>
    <w:p w14:paraId="34CEB2EE">
      <w:pPr>
        <w:spacing w:line="240" w:lineRule="auto"/>
        <w:ind w:firstLine="640"/>
        <w:jc w:val="both"/>
      </w:pPr>
    </w:p>
    <w:p w14:paraId="072E406D">
      <w:pPr>
        <w:spacing w:line="240" w:lineRule="auto"/>
        <w:ind w:firstLine="640"/>
        <w:jc w:val="both"/>
      </w:pPr>
    </w:p>
    <w:p w14:paraId="5C014948">
      <w:pPr>
        <w:spacing w:line="240" w:lineRule="auto"/>
        <w:ind w:firstLine="640"/>
        <w:jc w:val="both"/>
      </w:pPr>
    </w:p>
    <w:p w14:paraId="71CA0292">
      <w:pPr>
        <w:spacing w:line="240" w:lineRule="auto"/>
        <w:ind w:firstLine="640"/>
        <w:jc w:val="both"/>
      </w:pPr>
    </w:p>
    <w:p w14:paraId="388F753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3A561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8490B79"/>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432146"/>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5264</Words>
  <Characters>5981</Characters>
  <Lines>0</Lines>
  <Paragraphs>0</Paragraphs>
  <TotalTime>0</TotalTime>
  <ScaleCrop>false</ScaleCrop>
  <LinksUpToDate>false</LinksUpToDate>
  <CharactersWithSpaces>5989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2025-12-05T02:57:37Z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eyJoZGlkIjoiN2E1ZDY0MDI5MTE3YjM0ZGMyMzg4N2EwMDI4ZjJiM2YiLCJ1c2VySWQiOiI0MzE2NzY3NzkifQ==</vt:lpwstr>
  </property>
</Properties>
</file>