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中哈霍尔果斯国际边境合作中心管理办公室2024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9A2FE03">
      <w:r>
        <w:br w:type="page"/>
      </w:r>
    </w:p>
    <w:p w14:paraId="2FC109FD">
      <w:pPr>
        <w:spacing w:line="640" w:lineRule="exact"/>
        <w:jc w:val="center"/>
        <w:outlineLvl w:val="1"/>
      </w:pPr>
      <w:r>
        <w:rPr>
          <w:rFonts w:ascii="黑体" w:hAnsi="黑体" w:eastAsia="黑体"/>
          <w:sz w:val="32"/>
        </w:rPr>
        <w:t>第一部分 单位概况</w:t>
      </w:r>
    </w:p>
    <w:p w14:paraId="2CA359FC">
      <w:pPr>
        <w:spacing w:line="640" w:lineRule="exact"/>
        <w:ind w:firstLine="640"/>
        <w:jc w:val="both"/>
        <w:outlineLvl w:val="2"/>
      </w:pPr>
      <w:r>
        <w:rPr>
          <w:rFonts w:ascii="黑体" w:hAnsi="黑体" w:eastAsia="黑体"/>
          <w:sz w:val="32"/>
        </w:rPr>
        <w:t>一、主要职能</w:t>
      </w:r>
    </w:p>
    <w:p w14:paraId="46AF08D3">
      <w:pPr>
        <w:spacing w:line="580" w:lineRule="exact"/>
        <w:ind w:firstLine="640"/>
        <w:jc w:val="both"/>
      </w:pPr>
      <w:r>
        <w:rPr>
          <w:rFonts w:ascii="仿宋_GB2312" w:hAnsi="仿宋_GB2312" w:eastAsia="仿宋_GB2312"/>
          <w:sz w:val="32"/>
        </w:rPr>
        <w:t>负责拟定合作中心管理、运行的相关实施办法和细则，加强与哈萨克斯坦合作中心管理机构的会晤联络；负责合作中心内各种车辆的鉴定办证手续；负责合作中心查验通道设备、设施维护、升级改造；负责合作中心内的围网、监控设施的规划、建设、管理、维护；负责合作中心内公共基础设施的规划、管理、维护和改造；协助司法机构处理合作中心内发生的民事纠纷、治安案件；协助司法机构处理合作中心内企业贸易纠纷；协助协调合作中心内中方执法单位开展工作；负责合作中心内各项数据检测和统计；负责合作中心配套区的管理。</w:t>
      </w:r>
    </w:p>
    <w:p w14:paraId="3F79F290">
      <w:pPr>
        <w:spacing w:line="640" w:lineRule="exact"/>
        <w:ind w:firstLine="640"/>
        <w:jc w:val="both"/>
        <w:outlineLvl w:val="2"/>
      </w:pPr>
      <w:r>
        <w:rPr>
          <w:rFonts w:ascii="黑体" w:hAnsi="黑体" w:eastAsia="黑体"/>
          <w:sz w:val="32"/>
        </w:rPr>
        <w:t>二、机构设置及人员情况</w:t>
      </w:r>
    </w:p>
    <w:p w14:paraId="261F910B">
      <w:pPr>
        <w:spacing w:line="580" w:lineRule="exact"/>
        <w:ind w:firstLine="640"/>
        <w:jc w:val="both"/>
      </w:pPr>
      <w:r>
        <w:rPr>
          <w:rFonts w:ascii="仿宋_GB2312" w:hAnsi="仿宋_GB2312" w:eastAsia="仿宋_GB2312"/>
          <w:sz w:val="32"/>
        </w:rPr>
        <w:t>中哈霍尔果斯国际边境合作中心管理办公室2024年度，实有人数8人，其中：在职人员7人，增加3人；离休人员0人，增加0人；退休人员1人,增加0人。</w:t>
      </w:r>
    </w:p>
    <w:p w14:paraId="45FE6447">
      <w:pPr>
        <w:spacing w:line="580" w:lineRule="exact"/>
        <w:ind w:firstLine="640"/>
        <w:jc w:val="both"/>
      </w:pPr>
      <w:r>
        <w:rPr>
          <w:rFonts w:ascii="仿宋_GB2312" w:hAnsi="仿宋_GB2312" w:eastAsia="仿宋_GB2312"/>
          <w:sz w:val="32"/>
        </w:rPr>
        <w:t>中哈霍尔果斯国际边境合作中心管理办公室无下属预算单位，下设4个科室，分别是：办公室、经济发展科、市场运营科、规划建设科。</w:t>
      </w:r>
    </w:p>
    <w:p w14:paraId="6B6AC2DA">
      <w:r>
        <w:br w:type="page"/>
      </w:r>
    </w:p>
    <w:p w14:paraId="50BE2A52">
      <w:pPr>
        <w:spacing w:line="240" w:lineRule="auto"/>
        <w:jc w:val="center"/>
        <w:outlineLvl w:val="1"/>
      </w:pPr>
      <w:r>
        <w:rPr>
          <w:rFonts w:ascii="黑体" w:hAnsi="黑体" w:eastAsia="黑体"/>
          <w:sz w:val="32"/>
        </w:rPr>
        <w:t>第二部分 部门决算情况说明</w:t>
      </w:r>
    </w:p>
    <w:p w14:paraId="1940DB1B">
      <w:pPr>
        <w:spacing w:line="640" w:lineRule="exact"/>
        <w:ind w:firstLine="640"/>
        <w:jc w:val="both"/>
        <w:outlineLvl w:val="2"/>
      </w:pPr>
      <w:r>
        <w:rPr>
          <w:rFonts w:ascii="黑体" w:hAnsi="黑体" w:eastAsia="黑体"/>
          <w:sz w:val="32"/>
        </w:rPr>
        <w:t>一、收入支出决算总体情况说明</w:t>
      </w:r>
    </w:p>
    <w:p w14:paraId="696D8D81">
      <w:pPr>
        <w:spacing w:line="580" w:lineRule="exact"/>
        <w:ind w:firstLine="640"/>
        <w:jc w:val="both"/>
      </w:pPr>
      <w:r>
        <w:rPr>
          <w:rFonts w:ascii="仿宋_GB2312" w:hAnsi="仿宋_GB2312" w:eastAsia="仿宋_GB2312"/>
          <w:b/>
          <w:sz w:val="32"/>
        </w:rPr>
        <w:t>2024年度收入总计12,663.14万元，</w:t>
      </w:r>
      <w:r>
        <w:rPr>
          <w:rFonts w:ascii="仿宋_GB2312" w:hAnsi="仿宋_GB2312" w:eastAsia="仿宋_GB2312"/>
          <w:b w:val="0"/>
          <w:sz w:val="32"/>
        </w:rPr>
        <w:t>其中：本年收入合计12,606.97万元，使用非财政拨款结余（含专用结余）0.00万元，年初结转和结余56.17万元。</w:t>
      </w:r>
    </w:p>
    <w:p w14:paraId="204B5D73">
      <w:pPr>
        <w:spacing w:line="580" w:lineRule="exact"/>
        <w:ind w:firstLine="640"/>
        <w:jc w:val="both"/>
      </w:pPr>
      <w:r>
        <w:rPr>
          <w:rFonts w:ascii="仿宋_GB2312" w:hAnsi="仿宋_GB2312" w:eastAsia="仿宋_GB2312"/>
          <w:b/>
          <w:sz w:val="32"/>
        </w:rPr>
        <w:t>2024年度支出总计12,663.14万元，</w:t>
      </w:r>
      <w:r>
        <w:rPr>
          <w:rFonts w:ascii="仿宋_GB2312" w:hAnsi="仿宋_GB2312" w:eastAsia="仿宋_GB2312"/>
          <w:b w:val="0"/>
          <w:sz w:val="32"/>
        </w:rPr>
        <w:t>其中：本年支出合计12,573.72万元，结余分配0.00万元，年末结转和结余89.42万元。</w:t>
      </w:r>
    </w:p>
    <w:p w14:paraId="78810865">
      <w:pPr>
        <w:spacing w:line="580" w:lineRule="exact"/>
        <w:ind w:firstLine="640"/>
        <w:jc w:val="both"/>
      </w:pPr>
      <w:r>
        <w:rPr>
          <w:rFonts w:ascii="仿宋_GB2312" w:hAnsi="仿宋_GB2312" w:eastAsia="仿宋_GB2312"/>
          <w:b w:val="0"/>
          <w:sz w:val="32"/>
        </w:rPr>
        <w:t>收入支出总体与上年相比，增加7,265.06万元，增长134.59%，主要原因是：本年霍尔果斯经济开发区铁路枢纽多式联运场站建设项目（一期）等项目资金较上年增加。</w:t>
      </w:r>
    </w:p>
    <w:p w14:paraId="7F6B6814">
      <w:pPr>
        <w:spacing w:line="640" w:lineRule="exact"/>
        <w:ind w:firstLine="640"/>
        <w:jc w:val="both"/>
        <w:outlineLvl w:val="2"/>
      </w:pPr>
      <w:r>
        <w:rPr>
          <w:rFonts w:ascii="黑体" w:hAnsi="黑体" w:eastAsia="黑体"/>
          <w:sz w:val="32"/>
        </w:rPr>
        <w:t>二、收入决算情况说明</w:t>
      </w:r>
    </w:p>
    <w:p w14:paraId="2FA09387">
      <w:pPr>
        <w:spacing w:line="580" w:lineRule="exact"/>
        <w:ind w:firstLine="640"/>
        <w:jc w:val="both"/>
      </w:pPr>
      <w:r>
        <w:rPr>
          <w:rFonts w:ascii="仿宋_GB2312" w:hAnsi="仿宋_GB2312" w:eastAsia="仿宋_GB2312"/>
          <w:b/>
          <w:sz w:val="32"/>
        </w:rPr>
        <w:t>本年收入12,606.97万元，</w:t>
      </w:r>
      <w:r>
        <w:rPr>
          <w:rFonts w:ascii="仿宋_GB2312" w:hAnsi="仿宋_GB2312" w:eastAsia="仿宋_GB2312"/>
          <w:b w:val="0"/>
          <w:sz w:val="32"/>
        </w:rPr>
        <w:t>其中：财政拨款收入9,549.93万元，占75.75%；上级补助收入0.00万元，占0.00%；事业收入0.00万元，占0.00%；经营收入0.00万元，占0.00%；附属单位上缴收入0.00万元，占0.00%；其他收入3,057.05万元，占24.25%。</w:t>
      </w:r>
    </w:p>
    <w:p w14:paraId="6DA6C10E">
      <w:pPr>
        <w:spacing w:line="640" w:lineRule="exact"/>
        <w:ind w:firstLine="640"/>
        <w:jc w:val="both"/>
        <w:outlineLvl w:val="2"/>
      </w:pPr>
      <w:r>
        <w:rPr>
          <w:rFonts w:ascii="黑体" w:hAnsi="黑体" w:eastAsia="黑体"/>
          <w:sz w:val="32"/>
        </w:rPr>
        <w:t>三、支出决算情况说明</w:t>
      </w:r>
    </w:p>
    <w:p w14:paraId="53C966BB">
      <w:pPr>
        <w:spacing w:line="580" w:lineRule="exact"/>
        <w:ind w:firstLine="640"/>
        <w:jc w:val="both"/>
      </w:pPr>
      <w:r>
        <w:rPr>
          <w:rFonts w:ascii="仿宋_GB2312" w:hAnsi="仿宋_GB2312" w:eastAsia="仿宋_GB2312"/>
          <w:b/>
          <w:sz w:val="32"/>
        </w:rPr>
        <w:t>本年支出12,573.72万元，</w:t>
      </w:r>
      <w:r>
        <w:rPr>
          <w:rFonts w:ascii="仿宋_GB2312" w:hAnsi="仿宋_GB2312" w:eastAsia="仿宋_GB2312"/>
          <w:b w:val="0"/>
          <w:sz w:val="32"/>
        </w:rPr>
        <w:t>其中：基本支出267.76万元，占2.13%；项目支出12,305.95万元，占97.87%；上缴上级支出0.00万元，占0.00%；经营支出0.00万元，占0.00%；对附属单位补助支出0.00万元，占0.00%。</w:t>
      </w:r>
    </w:p>
    <w:p w14:paraId="437BEE53">
      <w:pPr>
        <w:spacing w:line="640" w:lineRule="exact"/>
        <w:ind w:firstLine="640"/>
        <w:jc w:val="both"/>
        <w:outlineLvl w:val="2"/>
      </w:pPr>
      <w:r>
        <w:rPr>
          <w:rFonts w:ascii="黑体" w:hAnsi="黑体" w:eastAsia="黑体"/>
          <w:sz w:val="32"/>
        </w:rPr>
        <w:t>四、财政拨款收入支出决算总体情况说明</w:t>
      </w:r>
    </w:p>
    <w:p w14:paraId="2C326B2D">
      <w:pPr>
        <w:spacing w:line="580" w:lineRule="exact"/>
        <w:ind w:firstLine="640"/>
        <w:jc w:val="both"/>
      </w:pPr>
      <w:r>
        <w:rPr>
          <w:rFonts w:ascii="仿宋_GB2312" w:hAnsi="仿宋_GB2312" w:eastAsia="仿宋_GB2312"/>
          <w:b/>
          <w:sz w:val="32"/>
        </w:rPr>
        <w:t>2024年度财政拨款收入总计9,549.93万元，</w:t>
      </w:r>
      <w:r>
        <w:rPr>
          <w:rFonts w:ascii="仿宋_GB2312" w:hAnsi="仿宋_GB2312" w:eastAsia="仿宋_GB2312"/>
          <w:b w:val="0"/>
          <w:sz w:val="32"/>
        </w:rPr>
        <w:t>其中：年初财政拨款结转和结余0.00万元，本年财政拨款收入9,549.93万元。</w:t>
      </w:r>
      <w:r>
        <w:rPr>
          <w:rFonts w:ascii="仿宋_GB2312" w:hAnsi="仿宋_GB2312" w:eastAsia="仿宋_GB2312"/>
          <w:b/>
          <w:sz w:val="32"/>
        </w:rPr>
        <w:t>财政拨款支出总计9,549.93万元，</w:t>
      </w:r>
      <w:r>
        <w:rPr>
          <w:rFonts w:ascii="仿宋_GB2312" w:hAnsi="仿宋_GB2312" w:eastAsia="仿宋_GB2312"/>
          <w:b w:val="0"/>
          <w:sz w:val="32"/>
        </w:rPr>
        <w:t>其中：年末财政拨款结转和结余0.00万元，本年财政拨款支出9,549.93万元。</w:t>
      </w:r>
    </w:p>
    <w:p w14:paraId="1C53588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增加6,050.62万元，增长172.91%，主要原因是：本年霍尔果斯经济开发区铁路枢纽多式联运场站建设项目（一期）等项目资金较上年增加。</w:t>
      </w:r>
      <w:r>
        <w:rPr>
          <w:rFonts w:ascii="仿宋_GB2312" w:hAnsi="仿宋_GB2312" w:eastAsia="仿宋_GB2312"/>
          <w:b/>
          <w:sz w:val="32"/>
        </w:rPr>
        <w:t>与年初预算相比，</w:t>
      </w:r>
      <w:r>
        <w:rPr>
          <w:rFonts w:ascii="仿宋_GB2312" w:hAnsi="仿宋_GB2312" w:eastAsia="仿宋_GB2312"/>
          <w:b w:val="0"/>
          <w:sz w:val="32"/>
        </w:rPr>
        <w:t>年初预算数384.24万元，决算数9,549.93万元，预决算差异率2385.41%，主要原因是：年中追加霍尔果斯经济开发区铁路枢纽多式联运场站建设项目（一期）等项目，导致预决算存在差异。</w:t>
      </w:r>
    </w:p>
    <w:p w14:paraId="61CF3694">
      <w:pPr>
        <w:spacing w:line="640" w:lineRule="exact"/>
        <w:ind w:firstLine="640"/>
        <w:jc w:val="both"/>
        <w:outlineLvl w:val="2"/>
      </w:pPr>
      <w:r>
        <w:rPr>
          <w:rFonts w:ascii="黑体" w:hAnsi="黑体" w:eastAsia="黑体"/>
          <w:sz w:val="32"/>
        </w:rPr>
        <w:t>五、一般公共预算财政拨款支出决算情况说明</w:t>
      </w:r>
    </w:p>
    <w:p w14:paraId="0B283505">
      <w:pPr>
        <w:spacing w:line="640" w:lineRule="exact"/>
        <w:ind w:firstLine="640"/>
        <w:jc w:val="both"/>
        <w:outlineLvl w:val="3"/>
      </w:pPr>
      <w:r>
        <w:rPr>
          <w:rFonts w:ascii="楷体_GB2312" w:hAnsi="楷体_GB2312" w:eastAsia="楷体_GB2312"/>
          <w:b/>
          <w:sz w:val="32"/>
        </w:rPr>
        <w:t>（一）一般公共预算财政拨款支出决算总体情况</w:t>
      </w:r>
    </w:p>
    <w:p w14:paraId="5ADD951F">
      <w:pPr>
        <w:spacing w:line="580" w:lineRule="exact"/>
        <w:ind w:firstLine="640"/>
        <w:jc w:val="both"/>
      </w:pPr>
      <w:r>
        <w:rPr>
          <w:rFonts w:ascii="仿宋_GB2312" w:hAnsi="仿宋_GB2312" w:eastAsia="仿宋_GB2312"/>
          <w:b/>
          <w:sz w:val="32"/>
        </w:rPr>
        <w:t>2024年度一般公共预算财政拨款支出9,549.93万元，</w:t>
      </w:r>
      <w:r>
        <w:rPr>
          <w:rFonts w:ascii="仿宋_GB2312" w:hAnsi="仿宋_GB2312" w:eastAsia="仿宋_GB2312"/>
          <w:b w:val="0"/>
          <w:sz w:val="32"/>
        </w:rPr>
        <w:t>占本年支出合计的75.95%。</w:t>
      </w:r>
      <w:r>
        <w:rPr>
          <w:rFonts w:ascii="仿宋_GB2312" w:hAnsi="仿宋_GB2312" w:eastAsia="仿宋_GB2312"/>
          <w:b/>
          <w:sz w:val="32"/>
        </w:rPr>
        <w:t>与上年相比，</w:t>
      </w:r>
      <w:r>
        <w:rPr>
          <w:rFonts w:ascii="仿宋_GB2312" w:hAnsi="仿宋_GB2312" w:eastAsia="仿宋_GB2312"/>
          <w:b w:val="0"/>
          <w:sz w:val="32"/>
        </w:rPr>
        <w:t>增加6,223.56万元，增长187.10%，主要原因是：本年霍尔果斯经济开发区铁路枢纽多式联运场站建设项目（一期）等项目资金较上年增加。</w:t>
      </w:r>
      <w:r>
        <w:rPr>
          <w:rFonts w:ascii="仿宋_GB2312" w:hAnsi="仿宋_GB2312" w:eastAsia="仿宋_GB2312"/>
          <w:b/>
          <w:sz w:val="32"/>
        </w:rPr>
        <w:t>与年初预算相比,</w:t>
      </w:r>
      <w:r>
        <w:rPr>
          <w:rFonts w:ascii="仿宋_GB2312" w:hAnsi="仿宋_GB2312" w:eastAsia="仿宋_GB2312"/>
          <w:b w:val="0"/>
          <w:sz w:val="32"/>
        </w:rPr>
        <w:t>年初预算数384.24万元，决算数9,549.93万元，预决算差异率2385.41%，主要原因是：年中追加霍尔果斯经济开发区铁路枢纽多式联运场站建设项目（一期）等项目，导致预决算存在差异。</w:t>
      </w:r>
    </w:p>
    <w:p w14:paraId="4DB63DAD">
      <w:pPr>
        <w:spacing w:line="640" w:lineRule="exact"/>
        <w:ind w:firstLine="640"/>
        <w:jc w:val="both"/>
        <w:outlineLvl w:val="3"/>
      </w:pPr>
      <w:r>
        <w:rPr>
          <w:rFonts w:ascii="楷体_GB2312" w:hAnsi="楷体_GB2312" w:eastAsia="楷体_GB2312"/>
          <w:b/>
          <w:sz w:val="32"/>
        </w:rPr>
        <w:t>（二）一般公共预算财政拨款支出决算结构情况</w:t>
      </w:r>
    </w:p>
    <w:p w14:paraId="02F98016">
      <w:pPr>
        <w:spacing w:line="580" w:lineRule="exact"/>
        <w:ind w:firstLine="640"/>
        <w:jc w:val="both"/>
      </w:pPr>
      <w:r>
        <w:rPr>
          <w:rFonts w:ascii="仿宋_GB2312" w:hAnsi="仿宋_GB2312" w:eastAsia="仿宋_GB2312"/>
          <w:b w:val="0"/>
          <w:sz w:val="32"/>
        </w:rPr>
        <w:t>1.一般公共服务支出(类)7,275.27万元,占76.18%。</w:t>
      </w:r>
    </w:p>
    <w:p w14:paraId="5FC54CAE">
      <w:pPr>
        <w:spacing w:line="580" w:lineRule="exact"/>
        <w:ind w:firstLine="640"/>
        <w:jc w:val="both"/>
      </w:pPr>
      <w:r>
        <w:rPr>
          <w:rFonts w:ascii="仿宋_GB2312" w:hAnsi="仿宋_GB2312" w:eastAsia="仿宋_GB2312"/>
          <w:b w:val="0"/>
          <w:sz w:val="32"/>
        </w:rPr>
        <w:t>2.社会保障和就业支出(类)33.43万元,占0.35%。</w:t>
      </w:r>
    </w:p>
    <w:p w14:paraId="7111778B">
      <w:pPr>
        <w:spacing w:line="580" w:lineRule="exact"/>
        <w:ind w:firstLine="640"/>
        <w:jc w:val="both"/>
      </w:pPr>
      <w:r>
        <w:rPr>
          <w:rFonts w:ascii="仿宋_GB2312" w:hAnsi="仿宋_GB2312" w:eastAsia="仿宋_GB2312"/>
          <w:b w:val="0"/>
          <w:sz w:val="32"/>
        </w:rPr>
        <w:t>3.城乡社区支出(类)2,220.00万元,占23.25%。</w:t>
      </w:r>
    </w:p>
    <w:p w14:paraId="4516236A">
      <w:pPr>
        <w:spacing w:line="580" w:lineRule="exact"/>
        <w:ind w:firstLine="640"/>
        <w:jc w:val="both"/>
      </w:pPr>
      <w:r>
        <w:rPr>
          <w:rFonts w:ascii="仿宋_GB2312" w:hAnsi="仿宋_GB2312" w:eastAsia="仿宋_GB2312"/>
          <w:b w:val="0"/>
          <w:sz w:val="32"/>
        </w:rPr>
        <w:t>4.住房保障支出(类)21.22万元,占0.22%。</w:t>
      </w:r>
    </w:p>
    <w:p w14:paraId="4DCF00F4">
      <w:pPr>
        <w:spacing w:line="640" w:lineRule="exact"/>
        <w:ind w:firstLine="640"/>
        <w:jc w:val="both"/>
        <w:outlineLvl w:val="3"/>
      </w:pPr>
      <w:r>
        <w:rPr>
          <w:rFonts w:ascii="楷体_GB2312" w:hAnsi="楷体_GB2312" w:eastAsia="楷体_GB2312"/>
          <w:b/>
          <w:sz w:val="32"/>
        </w:rPr>
        <w:t>（三）一般公共预算财政拨款支出决算具体情况</w:t>
      </w:r>
    </w:p>
    <w:p w14:paraId="0107E210">
      <w:pPr>
        <w:spacing w:line="580" w:lineRule="exact"/>
        <w:ind w:firstLine="640"/>
        <w:jc w:val="both"/>
      </w:pPr>
      <w:r>
        <w:rPr>
          <w:rFonts w:ascii="仿宋_GB2312" w:hAnsi="仿宋_GB2312" w:eastAsia="仿宋_GB2312"/>
          <w:b w:val="0"/>
          <w:sz w:val="32"/>
        </w:rPr>
        <w:t>1.一般公共服务支出(类)商贸事务(款)行政运行(项):支出决算数为213.11万元，比上年决算增加20.40万元，增长10.59%,主要原因是：本年新增在职人员，人员经费增加，导致经费较上年有所增加。</w:t>
      </w:r>
    </w:p>
    <w:p w14:paraId="2FDC455D">
      <w:pPr>
        <w:spacing w:line="580" w:lineRule="exact"/>
        <w:ind w:firstLine="640"/>
        <w:jc w:val="both"/>
      </w:pPr>
      <w:r>
        <w:rPr>
          <w:rFonts w:ascii="仿宋_GB2312" w:hAnsi="仿宋_GB2312" w:eastAsia="仿宋_GB2312"/>
          <w:b w:val="0"/>
          <w:sz w:val="32"/>
        </w:rPr>
        <w:t>2.一般公共服务支出(类)商贸事务(款)一般行政管理事务(项):支出决算数为7,062.16万元，比上年决算增加4,068.21万元，增长135.88%,主要原因是：本年霍尔果斯经济开发区铁路枢纽多式联运场站建设项目（一期）等项目资金较上年增加。</w:t>
      </w:r>
    </w:p>
    <w:p w14:paraId="24B9A1A7">
      <w:pPr>
        <w:spacing w:line="580" w:lineRule="exact"/>
        <w:ind w:firstLine="640"/>
        <w:jc w:val="both"/>
      </w:pPr>
      <w:r>
        <w:rPr>
          <w:rFonts w:ascii="仿宋_GB2312" w:hAnsi="仿宋_GB2312" w:eastAsia="仿宋_GB2312"/>
          <w:b w:val="0"/>
          <w:sz w:val="32"/>
        </w:rPr>
        <w:t>3.社会保障和就业支出(类)行政事业单位养老支出(款)行政单位离退休(项):支出决算数为0.00万元，比上年决算减少0.66万元，下降100.00%,主要原因是：本年度科目调整，退休费由社会保障和就业支出(类)行政事业单位养老支出(款)行政单位离退休(项)调整至社会保障和就业支出(类)行政事业单位养老支出(款)事业单位离退休(项)，经费较上年减少。</w:t>
      </w:r>
    </w:p>
    <w:p w14:paraId="0717E296">
      <w:pPr>
        <w:spacing w:line="580" w:lineRule="exact"/>
        <w:ind w:firstLine="640"/>
        <w:jc w:val="both"/>
      </w:pPr>
      <w:r>
        <w:rPr>
          <w:rFonts w:ascii="仿宋_GB2312" w:hAnsi="仿宋_GB2312" w:eastAsia="仿宋_GB2312"/>
          <w:b w:val="0"/>
          <w:sz w:val="32"/>
        </w:rPr>
        <w:t>4.社会保障和就业支出(类)行政事业单位养老支出(款)事业单位离退休(项):支出决算数为0.12万元，比上年决算减少0.09万元，下降42.86%,主要原因是：上年度补发退休人员绩效考核奖，本年度正常发放退休人员相关经费，经费较上年减少。</w:t>
      </w:r>
    </w:p>
    <w:p w14:paraId="2723A682">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26.93万元，比上年决算增加5.91万元，增长28.12%,主要原因是：本年在职人员增加，养老保险缴费较上年增加。</w:t>
      </w:r>
    </w:p>
    <w:p w14:paraId="5FE265D3">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6.38万元，比上年决算增加6.38万元，增长100.00%,主要原因是：本年功能科目调整，机关事业单位职业年金缴费上年度在主科目列支，本年单独列支，导致经费较上年增加。</w:t>
      </w:r>
    </w:p>
    <w:p w14:paraId="164951A1">
      <w:pPr>
        <w:spacing w:line="580" w:lineRule="exact"/>
        <w:ind w:firstLine="640"/>
        <w:jc w:val="both"/>
      </w:pPr>
      <w:r>
        <w:rPr>
          <w:rFonts w:ascii="仿宋_GB2312" w:hAnsi="仿宋_GB2312" w:eastAsia="仿宋_GB2312"/>
          <w:b w:val="0"/>
          <w:sz w:val="32"/>
        </w:rPr>
        <w:t>7.城乡社区支出(类)城乡社区公共设施(款)其他城乡社区公共设施支出(项):支出决算数为2,100.00万元，比上年决算增加2,000.00万元，增长2,000.00%,主要原因是：本年度增加霍尔果斯经济开发区铁路枢纽多式联运场站建设项目</w:t>
      </w:r>
      <w:r>
        <w:rPr>
          <w:rFonts w:hint="eastAsia" w:ascii="仿宋_GB2312" w:hAnsi="仿宋_GB2312" w:eastAsia="仿宋_GB2312"/>
          <w:b w:val="0"/>
          <w:sz w:val="32"/>
          <w:lang w:eastAsia="zh-CN"/>
        </w:rPr>
        <w:t>、</w:t>
      </w:r>
      <w:r>
        <w:rPr>
          <w:rFonts w:ascii="仿宋_GB2312" w:hAnsi="仿宋_GB2312" w:eastAsia="仿宋_GB2312"/>
          <w:b w:val="0"/>
          <w:sz w:val="32"/>
        </w:rPr>
        <w:t>霍尔果斯合作中心国际技术标准合作交流建设项目经费。</w:t>
      </w:r>
    </w:p>
    <w:p w14:paraId="21150C4B">
      <w:pPr>
        <w:spacing w:line="580" w:lineRule="exact"/>
        <w:ind w:firstLine="640"/>
        <w:jc w:val="both"/>
      </w:pPr>
      <w:r>
        <w:rPr>
          <w:rFonts w:ascii="仿宋_GB2312" w:hAnsi="仿宋_GB2312" w:eastAsia="仿宋_GB2312"/>
          <w:b w:val="0"/>
          <w:sz w:val="32"/>
        </w:rPr>
        <w:t>8.城乡社区支出(类)城乡社区环境卫生(款)城乡社区环境卫生(项):支出决算数为120.00万元，比上年决算增加120.00万元，增长100.00%,主要原因是：本年度增加合作中心办证大厅改造项目。</w:t>
      </w:r>
    </w:p>
    <w:p w14:paraId="019D56A1">
      <w:pPr>
        <w:spacing w:line="580" w:lineRule="exact"/>
        <w:ind w:firstLine="640"/>
        <w:jc w:val="both"/>
      </w:pPr>
      <w:r>
        <w:rPr>
          <w:rFonts w:ascii="仿宋_GB2312" w:hAnsi="仿宋_GB2312" w:eastAsia="仿宋_GB2312"/>
          <w:b w:val="0"/>
          <w:sz w:val="32"/>
        </w:rPr>
        <w:t>9.住房保障支出(类)住房改革支出(款)住房公积金(项):支出决算数为21.22万元，比上年决算增加3.40万元，增长19.08%,主要原因是：本年在职人员增加，住房公积金支出较上年增加。</w:t>
      </w:r>
    </w:p>
    <w:p w14:paraId="1D86A731">
      <w:pPr>
        <w:spacing w:line="640" w:lineRule="exact"/>
        <w:ind w:firstLine="640"/>
        <w:jc w:val="both"/>
        <w:outlineLvl w:val="2"/>
      </w:pPr>
      <w:r>
        <w:rPr>
          <w:rFonts w:ascii="黑体" w:hAnsi="黑体" w:eastAsia="黑体"/>
          <w:sz w:val="32"/>
        </w:rPr>
        <w:t>六、一般公共预算财政拨款基本支出决算情况说明</w:t>
      </w:r>
    </w:p>
    <w:p w14:paraId="436F7851">
      <w:pPr>
        <w:spacing w:line="580" w:lineRule="exact"/>
        <w:ind w:firstLine="640"/>
        <w:jc w:val="both"/>
      </w:pPr>
      <w:r>
        <w:rPr>
          <w:rFonts w:ascii="仿宋_GB2312" w:hAnsi="仿宋_GB2312" w:eastAsia="仿宋_GB2312"/>
          <w:b w:val="0"/>
          <w:sz w:val="32"/>
        </w:rPr>
        <w:t>2024年度一般公共预算财政拨款基本支出267.76万元，其中：</w:t>
      </w:r>
      <w:r>
        <w:rPr>
          <w:rFonts w:ascii="仿宋_GB2312" w:hAnsi="仿宋_GB2312" w:eastAsia="仿宋_GB2312"/>
          <w:b/>
          <w:sz w:val="32"/>
        </w:rPr>
        <w:t>人员经费253.70万元，</w:t>
      </w:r>
      <w:r>
        <w:rPr>
          <w:rFonts w:ascii="仿宋_GB2312" w:hAnsi="仿宋_GB2312" w:eastAsia="仿宋_GB2312"/>
          <w:b w:val="0"/>
          <w:sz w:val="32"/>
        </w:rPr>
        <w:t>包括：基本工资、津贴补贴、绩效工资、机关事业单位基本养老保险缴费、职业年金缴费、职工基本医疗保险缴费、其他社会保障缴费、住房公积金、其他工资福利支出、退休费。</w:t>
      </w:r>
    </w:p>
    <w:p w14:paraId="237D6B25">
      <w:pPr>
        <w:spacing w:line="580" w:lineRule="exact"/>
        <w:ind w:firstLine="640"/>
        <w:jc w:val="both"/>
      </w:pPr>
      <w:r>
        <w:rPr>
          <w:rFonts w:ascii="仿宋_GB2312" w:hAnsi="仿宋_GB2312" w:eastAsia="仿宋_GB2312"/>
          <w:b/>
          <w:sz w:val="32"/>
        </w:rPr>
        <w:t>公用经费14.07万元，</w:t>
      </w:r>
      <w:r>
        <w:rPr>
          <w:rFonts w:ascii="仿宋_GB2312" w:hAnsi="仿宋_GB2312" w:eastAsia="仿宋_GB2312"/>
          <w:b w:val="0"/>
          <w:sz w:val="32"/>
        </w:rPr>
        <w:t>包括：办公费、差旅费、维修（护）费、工会经费、税金及附加费用。</w:t>
      </w:r>
    </w:p>
    <w:p w14:paraId="05250E23">
      <w:pPr>
        <w:spacing w:line="640" w:lineRule="exact"/>
        <w:ind w:firstLine="640"/>
        <w:jc w:val="both"/>
        <w:outlineLvl w:val="2"/>
      </w:pPr>
      <w:r>
        <w:rPr>
          <w:rFonts w:ascii="黑体" w:hAnsi="黑体" w:eastAsia="黑体"/>
          <w:sz w:val="32"/>
        </w:rPr>
        <w:t>七、政府性基金预算财政拨款收入支出决算情况说明</w:t>
      </w:r>
    </w:p>
    <w:p w14:paraId="78DE10D6">
      <w:pPr>
        <w:spacing w:line="580" w:lineRule="exact"/>
        <w:ind w:firstLine="640"/>
        <w:jc w:val="both"/>
      </w:pPr>
      <w:r>
        <w:rPr>
          <w:rFonts w:ascii="仿宋_GB2312" w:hAnsi="仿宋_GB2312" w:eastAsia="仿宋_GB2312"/>
          <w:b/>
          <w:sz w:val="32"/>
        </w:rPr>
        <w:t>2024年度政府性基金预算财政拨款收入总计0.00万元，</w:t>
      </w:r>
      <w:r>
        <w:rPr>
          <w:rFonts w:ascii="仿宋_GB2312" w:hAnsi="仿宋_GB2312" w:eastAsia="仿宋_GB2312"/>
          <w:b w:val="0"/>
          <w:sz w:val="32"/>
        </w:rPr>
        <w:t>其中：年初结转和结余0.00万元，本年收入0.00万元。</w:t>
      </w:r>
      <w:r>
        <w:rPr>
          <w:rFonts w:ascii="仿宋_GB2312" w:hAnsi="仿宋_GB2312" w:eastAsia="仿宋_GB2312"/>
          <w:b/>
          <w:sz w:val="32"/>
        </w:rPr>
        <w:t>政府性基金预算财政拨款支出总计0.00万元，</w:t>
      </w:r>
      <w:r>
        <w:rPr>
          <w:rFonts w:ascii="仿宋_GB2312" w:hAnsi="仿宋_GB2312" w:eastAsia="仿宋_GB2312"/>
          <w:b w:val="0"/>
          <w:sz w:val="32"/>
        </w:rPr>
        <w:t>其中：年末结转和结余0.00万元，本年支出0.00万元。</w:t>
      </w:r>
    </w:p>
    <w:p w14:paraId="0E4FB4E0">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减少172.94万元，下降100.00%，主要原因是：本年减少霍尔果斯经济开发区口岸园区国际多式联运集疏中心项目（一期）城市配套费、霍尔果斯合作中心国际技术标准合作交流建设项目城市配套费项目。</w:t>
      </w:r>
      <w:r>
        <w:rPr>
          <w:rFonts w:ascii="仿宋_GB2312" w:hAnsi="仿宋_GB2312" w:eastAsia="仿宋_GB2312"/>
          <w:b/>
          <w:sz w:val="32"/>
        </w:rPr>
        <w:t>与年初预算相比，</w:t>
      </w:r>
      <w:r>
        <w:rPr>
          <w:rFonts w:ascii="仿宋_GB2312" w:hAnsi="仿宋_GB2312" w:eastAsia="仿宋_GB2312"/>
          <w:b w:val="0"/>
          <w:sz w:val="32"/>
        </w:rPr>
        <w:t>年初预算数0.00万元，决算数0.00万元，预决算差异率0.00%，主要原因是：</w:t>
      </w:r>
      <w:r>
        <w:rPr>
          <w:rFonts w:hint="eastAsia" w:ascii="仿宋_GB2312" w:hAnsi="仿宋_GB2312" w:eastAsia="仿宋_GB2312"/>
          <w:b w:val="0"/>
          <w:sz w:val="32"/>
          <w:lang w:val="en-US" w:eastAsia="zh-CN"/>
        </w:rPr>
        <w:t>本年未安排</w:t>
      </w:r>
      <w:r>
        <w:rPr>
          <w:rFonts w:ascii="仿宋_GB2312" w:hAnsi="仿宋_GB2312" w:eastAsia="仿宋_GB2312"/>
          <w:b w:val="0"/>
          <w:sz w:val="32"/>
        </w:rPr>
        <w:t>政府性基金预算财政拨款支出。</w:t>
      </w:r>
    </w:p>
    <w:p w14:paraId="2BC87A04">
      <w:pPr>
        <w:spacing w:line="580" w:lineRule="exact"/>
        <w:ind w:firstLine="640"/>
        <w:jc w:val="both"/>
      </w:pPr>
      <w:r>
        <w:rPr>
          <w:rFonts w:ascii="仿宋_GB2312" w:hAnsi="仿宋_GB2312" w:eastAsia="仿宋_GB2312"/>
          <w:b w:val="0"/>
          <w:sz w:val="32"/>
        </w:rPr>
        <w:t>政府性基金预算财政拨款支出0.00万元。</w:t>
      </w:r>
    </w:p>
    <w:p w14:paraId="6DFE13E4">
      <w:pPr>
        <w:spacing w:line="580" w:lineRule="exact"/>
        <w:ind w:firstLine="640"/>
        <w:jc w:val="both"/>
      </w:pPr>
      <w:r>
        <w:rPr>
          <w:rFonts w:ascii="仿宋_GB2312" w:hAnsi="仿宋_GB2312" w:eastAsia="仿宋_GB2312"/>
          <w:b w:val="0"/>
          <w:sz w:val="32"/>
        </w:rPr>
        <w:t>1.城乡社区支出(类)城市基础设施配套费安排的支出(款)城市公共设施(项):支出决算数为0.00万元，比上年决算减少51.72万元，下降100.00%,主要原因是：本年减少霍尔果斯合作中心国际技术标准合作交流建设项目城市配套费项目。</w:t>
      </w:r>
    </w:p>
    <w:p w14:paraId="5004965C">
      <w:pPr>
        <w:spacing w:line="580" w:lineRule="exact"/>
        <w:ind w:firstLine="640"/>
        <w:jc w:val="both"/>
      </w:pPr>
      <w:r>
        <w:rPr>
          <w:rFonts w:ascii="仿宋_GB2312" w:hAnsi="仿宋_GB2312" w:eastAsia="仿宋_GB2312"/>
          <w:b w:val="0"/>
          <w:sz w:val="32"/>
        </w:rPr>
        <w:t>2.城乡社区支出(类)城市基础设施配套费安排的支出(款)其他城市基础设施配套费安排的支出(项):支出决算数为0.00万元，比上年决算减少121.23万元，下降100.00%,主要原因是：本年减少霍尔果斯经济开发区口岸园区国际多式联运集疏中心项目（一期）城市配套费项目。</w:t>
      </w:r>
    </w:p>
    <w:p w14:paraId="19F91128">
      <w:pPr>
        <w:spacing w:line="640" w:lineRule="exact"/>
        <w:ind w:firstLine="640"/>
        <w:jc w:val="both"/>
        <w:outlineLvl w:val="2"/>
      </w:pPr>
      <w:r>
        <w:rPr>
          <w:rFonts w:ascii="黑体" w:hAnsi="黑体" w:eastAsia="黑体"/>
          <w:sz w:val="32"/>
        </w:rPr>
        <w:t>八、国有资本经营预算财政拨款收入支出决算情况说明</w:t>
      </w:r>
    </w:p>
    <w:p w14:paraId="19F9C93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AF69F53">
      <w:pPr>
        <w:spacing w:line="640" w:lineRule="exact"/>
        <w:ind w:firstLine="640"/>
        <w:jc w:val="both"/>
        <w:outlineLvl w:val="2"/>
      </w:pPr>
      <w:r>
        <w:rPr>
          <w:rFonts w:ascii="黑体" w:hAnsi="黑体" w:eastAsia="黑体"/>
          <w:sz w:val="32"/>
        </w:rPr>
        <w:t>九、财政拨款“三公”经费支出决算情况说明</w:t>
      </w:r>
    </w:p>
    <w:p w14:paraId="12C8BD91">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3B03240D">
      <w:pPr>
        <w:spacing w:line="580" w:lineRule="exact"/>
        <w:ind w:firstLine="640"/>
        <w:jc w:val="both"/>
      </w:pPr>
      <w:r>
        <w:rPr>
          <w:rFonts w:ascii="仿宋_GB2312" w:hAnsi="仿宋_GB2312" w:eastAsia="仿宋_GB2312"/>
          <w:b/>
          <w:sz w:val="32"/>
        </w:rPr>
        <w:t>具体情况如下：</w:t>
      </w:r>
    </w:p>
    <w:p w14:paraId="479D7D5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F2AABE4">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73BAED31">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D91DCD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3CA33D2F">
      <w:pPr>
        <w:spacing w:line="640" w:lineRule="exact"/>
        <w:ind w:firstLine="640"/>
        <w:jc w:val="both"/>
        <w:outlineLvl w:val="2"/>
      </w:pPr>
      <w:r>
        <w:rPr>
          <w:rFonts w:ascii="黑体" w:hAnsi="黑体" w:eastAsia="黑体"/>
          <w:sz w:val="32"/>
        </w:rPr>
        <w:t>十、其他重要事项的情况说明</w:t>
      </w:r>
    </w:p>
    <w:p w14:paraId="4F3FCD7A">
      <w:pPr>
        <w:spacing w:line="640" w:lineRule="exact"/>
        <w:ind w:firstLine="640"/>
        <w:jc w:val="both"/>
        <w:outlineLvl w:val="3"/>
      </w:pPr>
      <w:r>
        <w:rPr>
          <w:rFonts w:ascii="楷体_GB2312" w:hAnsi="楷体_GB2312" w:eastAsia="楷体_GB2312"/>
          <w:b/>
          <w:sz w:val="32"/>
        </w:rPr>
        <w:t>（一）机关运行经费及公用经费支出情况</w:t>
      </w:r>
    </w:p>
    <w:p w14:paraId="1F5C949C">
      <w:pPr>
        <w:spacing w:line="580" w:lineRule="exact"/>
        <w:ind w:firstLine="640"/>
        <w:jc w:val="both"/>
      </w:pPr>
      <w:r>
        <w:rPr>
          <w:rFonts w:ascii="仿宋_GB2312" w:hAnsi="仿宋_GB2312" w:eastAsia="仿宋_GB2312"/>
          <w:b w:val="0"/>
          <w:sz w:val="32"/>
        </w:rPr>
        <w:t>2024年度中哈霍尔果斯国际边境合作中心管理办公室（事业单位）公用经费支出14.07万元，比上年增加3.19万元，增长29.32%，主要原因是：本年业务量增加，公用经费增加。</w:t>
      </w:r>
    </w:p>
    <w:p w14:paraId="101D9968">
      <w:pPr>
        <w:spacing w:line="640" w:lineRule="exact"/>
        <w:ind w:firstLine="640"/>
        <w:jc w:val="both"/>
        <w:outlineLvl w:val="3"/>
      </w:pPr>
      <w:r>
        <w:rPr>
          <w:rFonts w:ascii="楷体_GB2312" w:hAnsi="楷体_GB2312" w:eastAsia="楷体_GB2312"/>
          <w:b/>
          <w:sz w:val="32"/>
        </w:rPr>
        <w:t>（二）政府采购情况</w:t>
      </w:r>
    </w:p>
    <w:p w14:paraId="5B6DDB12">
      <w:pPr>
        <w:spacing w:line="580" w:lineRule="exact"/>
        <w:ind w:firstLine="640"/>
        <w:jc w:val="both"/>
      </w:pPr>
      <w:r>
        <w:rPr>
          <w:rFonts w:ascii="仿宋_GB2312" w:hAnsi="仿宋_GB2312" w:eastAsia="仿宋_GB2312"/>
          <w:b w:val="0"/>
          <w:sz w:val="32"/>
        </w:rPr>
        <w:t>2024年度政府采购支出总额1,574.87万元，其中：政府采购货物支出97.39万元、政府采购工程支出300.06万元、政府采购服务支出1,177.42万元。</w:t>
      </w:r>
    </w:p>
    <w:p w14:paraId="669FF840">
      <w:pPr>
        <w:spacing w:line="580" w:lineRule="exact"/>
        <w:ind w:firstLine="640"/>
        <w:jc w:val="both"/>
      </w:pPr>
      <w:r>
        <w:rPr>
          <w:rFonts w:ascii="仿宋_GB2312" w:hAnsi="仿宋_GB2312" w:eastAsia="仿宋_GB2312"/>
          <w:b w:val="0"/>
          <w:sz w:val="32"/>
        </w:rPr>
        <w:t>授予中小企业合同金额1,462.51万元，占政府采购支出总额的92.87%，其中：授予小微企业合同金额1,001.91万元，占政府采购支出总额的63.62%。</w:t>
      </w:r>
    </w:p>
    <w:p w14:paraId="71F85F71">
      <w:pPr>
        <w:spacing w:line="640" w:lineRule="exact"/>
        <w:ind w:firstLine="640"/>
        <w:jc w:val="both"/>
        <w:outlineLvl w:val="3"/>
      </w:pPr>
      <w:r>
        <w:rPr>
          <w:rFonts w:ascii="楷体_GB2312" w:hAnsi="楷体_GB2312" w:eastAsia="楷体_GB2312"/>
          <w:b/>
          <w:sz w:val="32"/>
        </w:rPr>
        <w:t>（三）国有资产占用情况说明</w:t>
      </w:r>
    </w:p>
    <w:p w14:paraId="4B0955B3">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1台（套）。</w:t>
      </w:r>
    </w:p>
    <w:p w14:paraId="0257D93C">
      <w:pPr>
        <w:spacing w:line="640" w:lineRule="exact"/>
        <w:ind w:firstLine="640"/>
        <w:jc w:val="both"/>
        <w:outlineLvl w:val="2"/>
      </w:pPr>
      <w:bookmarkStart w:id="0" w:name="_GoBack"/>
      <w:bookmarkEnd w:id="0"/>
      <w:r>
        <w:rPr>
          <w:rFonts w:ascii="黑体" w:hAnsi="黑体" w:eastAsia="黑体"/>
          <w:sz w:val="32"/>
        </w:rPr>
        <w:t>十一、预算绩效的情况说明</w:t>
      </w:r>
    </w:p>
    <w:p w14:paraId="0A1A4EEA">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5,513.41万元，实际执行总额5,257.32万元；预算绩效评价项目1个，全年预算数7,200.00万元，全年执行数7,200.00万元。预算绩效管理取得的成效：推进合作中心试行7*24小时通关模式，完成合作中心出入人员人次同比增长30%；发展合作中心功能定位，聚焦会展经济，成功举办高质量会展、论坛及赛事活动不少于20场次；打造中亚汽车展示交易中心，实现商品车展示和销售业务常态化规范化运营，展销200辆商品车；统筹中哈双边优势资源、推动中哈区域联动发展，将双边会晤模式优化为常态化联合办公模式，中哈联建工作会晤次数15次。发现的问题及原因：一是部门整体支出绩效目标内容过于笼统，设置指标值与完成值差距较大，需要提高目标设定的科学性，才能在进行整体绩效评价工作时做到准确和全面。二是绩效目标与预算支出的对应关系不够清晰，目标实现的经济性较难评价。下一步改进措施：建立并落实好相关财务工作流程，对相关资金的使用做到全方位的规范。在进行相关绩效评价工作时，应注意评价内容需要分清主次，在保证评价质量的基础上保证评价效率。明确评价思路后确定评价内容从而进一步保证评价效率。与各方面沟通确定相关指标体系，提高评价的全面性与科学性。细化预算编制工作，认真做好预算的编制；开展进度的跟踪，确保项目绩效目标的完成，健全制度，加强督促。具体附整体支出绩效自评表，项目支出绩效自评表和评价报告。</w:t>
      </w:r>
    </w:p>
    <w:p w14:paraId="4BE7CCA0">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204"/>
        <w:gridCol w:w="1006"/>
        <w:gridCol w:w="1105"/>
        <w:gridCol w:w="1105"/>
      </w:tblGrid>
      <w:tr w14:paraId="3CD433CF">
        <w:tblPrEx>
          <w:tblCellMar>
            <w:top w:w="0" w:type="dxa"/>
            <w:left w:w="108" w:type="dxa"/>
            <w:bottom w:w="0" w:type="dxa"/>
            <w:right w:w="108" w:type="dxa"/>
          </w:tblCellMar>
        </w:tblPrEx>
        <w:tc>
          <w:tcPr>
            <w:tcW w:w="8840" w:type="dxa"/>
            <w:gridSpan w:val="8"/>
            <w:vAlign w:val="center"/>
          </w:tcPr>
          <w:p w14:paraId="2497BCC8">
            <w:pPr>
              <w:jc w:val="center"/>
            </w:pPr>
            <w:r>
              <w:rPr>
                <w:rFonts w:ascii="宋体" w:hAnsi="宋体" w:eastAsia="宋体"/>
                <w:sz w:val="24"/>
              </w:rPr>
              <w:t>单位整体支出绩效自评表</w:t>
            </w:r>
          </w:p>
        </w:tc>
      </w:tr>
      <w:tr w14:paraId="676811A6">
        <w:tblPrEx>
          <w:tblCellMar>
            <w:top w:w="0" w:type="dxa"/>
            <w:left w:w="108" w:type="dxa"/>
            <w:bottom w:w="0" w:type="dxa"/>
            <w:right w:w="108" w:type="dxa"/>
          </w:tblCellMar>
        </w:tblPrEx>
        <w:tc>
          <w:tcPr>
            <w:tcW w:w="8840" w:type="dxa"/>
            <w:gridSpan w:val="8"/>
            <w:vAlign w:val="center"/>
          </w:tcPr>
          <w:p w14:paraId="74675EF6">
            <w:pPr>
              <w:jc w:val="center"/>
            </w:pPr>
            <w:r>
              <w:rPr>
                <w:rFonts w:ascii="宋体" w:hAnsi="宋体" w:eastAsia="宋体"/>
                <w:sz w:val="24"/>
              </w:rPr>
              <w:t>（2024年度）</w:t>
            </w:r>
          </w:p>
        </w:tc>
      </w:tr>
      <w:tr w14:paraId="7A448C17">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C4690D">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37AD36">
            <w:pPr>
              <w:jc w:val="center"/>
            </w:pPr>
            <w:r>
              <w:rPr>
                <w:rFonts w:ascii="宋体" w:hAnsi="宋体" w:eastAsia="宋体"/>
                <w:sz w:val="16"/>
              </w:rPr>
              <w:t>中哈霍尔果斯国际边境合作中心管理办公室</w:t>
            </w:r>
          </w:p>
        </w:tc>
      </w:tr>
      <w:tr w14:paraId="5ACA9FC5">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32A8E5">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41AFA0">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F7E4A3">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CADFF7">
            <w:pPr>
              <w:jc w:val="center"/>
            </w:pPr>
            <w:r>
              <w:rPr>
                <w:rFonts w:ascii="宋体" w:hAnsi="宋体" w:eastAsia="宋体"/>
                <w:sz w:val="16"/>
              </w:rPr>
              <w:t>全年预算数</w:t>
            </w:r>
          </w:p>
        </w:tc>
        <w:tc>
          <w:tcPr>
            <w:tcW w:w="1204" w:type="dxa"/>
            <w:tcBorders>
              <w:top w:val="single" w:color="auto" w:sz="10" w:space="0"/>
              <w:left w:val="single" w:color="auto" w:sz="10" w:space="0"/>
              <w:bottom w:val="single" w:color="auto" w:sz="10" w:space="0"/>
              <w:right w:val="single" w:color="auto" w:sz="10" w:space="0"/>
              <w:insideV w:val="single" w:sz="10" w:space="0"/>
            </w:tcBorders>
            <w:vAlign w:val="center"/>
          </w:tcPr>
          <w:p w14:paraId="2A5E18CF">
            <w:pPr>
              <w:jc w:val="center"/>
            </w:pPr>
            <w:r>
              <w:rPr>
                <w:rFonts w:ascii="宋体" w:hAnsi="宋体" w:eastAsia="宋体"/>
                <w:sz w:val="16"/>
              </w:rPr>
              <w:t>全年执行数</w:t>
            </w:r>
          </w:p>
        </w:tc>
        <w:tc>
          <w:tcPr>
            <w:tcW w:w="1006" w:type="dxa"/>
            <w:tcBorders>
              <w:top w:val="single" w:color="auto" w:sz="10" w:space="0"/>
              <w:left w:val="single" w:color="auto" w:sz="10" w:space="0"/>
              <w:bottom w:val="single" w:color="auto" w:sz="10" w:space="0"/>
              <w:right w:val="single" w:color="auto" w:sz="10" w:space="0"/>
              <w:insideV w:val="single" w:sz="10" w:space="0"/>
            </w:tcBorders>
            <w:vAlign w:val="center"/>
          </w:tcPr>
          <w:p w14:paraId="1D6F0673">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AD1E75">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0DAFAE">
            <w:pPr>
              <w:jc w:val="center"/>
            </w:pPr>
            <w:r>
              <w:rPr>
                <w:rFonts w:ascii="宋体" w:hAnsi="宋体" w:eastAsia="宋体"/>
                <w:sz w:val="16"/>
              </w:rPr>
              <w:t>得分</w:t>
            </w:r>
          </w:p>
        </w:tc>
      </w:tr>
      <w:tr w14:paraId="3108465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EEB67B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69B6AD">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EA5440">
            <w:pPr>
              <w:jc w:val="center"/>
            </w:pPr>
            <w:r>
              <w:rPr>
                <w:rFonts w:ascii="宋体" w:hAnsi="宋体" w:eastAsia="宋体"/>
                <w:sz w:val="16"/>
              </w:rPr>
              <w:t>384.23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6876E2">
            <w:pPr>
              <w:jc w:val="center"/>
            </w:pPr>
            <w:r>
              <w:rPr>
                <w:rFonts w:ascii="宋体" w:hAnsi="宋体" w:eastAsia="宋体"/>
                <w:sz w:val="16"/>
              </w:rPr>
              <w:t>5,513.41</w:t>
            </w:r>
          </w:p>
        </w:tc>
        <w:tc>
          <w:tcPr>
            <w:tcW w:w="1204" w:type="dxa"/>
            <w:tcBorders>
              <w:top w:val="single" w:color="auto" w:sz="10" w:space="0"/>
              <w:left w:val="single" w:color="auto" w:sz="10" w:space="0"/>
              <w:bottom w:val="single" w:color="auto" w:sz="10" w:space="0"/>
              <w:right w:val="single" w:color="auto" w:sz="10" w:space="0"/>
              <w:insideV w:val="single" w:sz="10" w:space="0"/>
            </w:tcBorders>
            <w:vAlign w:val="center"/>
          </w:tcPr>
          <w:p w14:paraId="6C9A0A45">
            <w:pPr>
              <w:jc w:val="center"/>
            </w:pPr>
            <w:r>
              <w:rPr>
                <w:rFonts w:ascii="宋体" w:hAnsi="宋体" w:eastAsia="宋体"/>
                <w:sz w:val="16"/>
              </w:rPr>
              <w:t>5,257.32</w:t>
            </w:r>
          </w:p>
        </w:tc>
        <w:tc>
          <w:tcPr>
            <w:tcW w:w="1006" w:type="dxa"/>
            <w:tcBorders>
              <w:top w:val="single" w:color="auto" w:sz="10" w:space="0"/>
              <w:left w:val="single" w:color="auto" w:sz="10" w:space="0"/>
              <w:bottom w:val="single" w:color="auto" w:sz="10" w:space="0"/>
              <w:right w:val="single" w:color="auto" w:sz="10" w:space="0"/>
              <w:insideV w:val="single" w:sz="10" w:space="0"/>
            </w:tcBorders>
            <w:vAlign w:val="center"/>
          </w:tcPr>
          <w:p w14:paraId="7CF5B237">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B28492">
            <w:pPr>
              <w:jc w:val="center"/>
              <w:rPr>
                <w:rFonts w:hint="eastAsia" w:eastAsia="宋体"/>
                <w:lang w:val="en-US" w:eastAsia="zh-CN"/>
              </w:rPr>
            </w:pPr>
            <w:r>
              <w:rPr>
                <w:rFonts w:ascii="宋体" w:hAnsi="宋体" w:eastAsia="宋体"/>
                <w:sz w:val="16"/>
              </w:rPr>
              <w:t>95.36</w:t>
            </w:r>
            <w:r>
              <w:rPr>
                <w:rFonts w:hint="eastAsia" w:ascii="宋体" w:hAnsi="宋体"/>
                <w:sz w:val="16"/>
                <w:lang w:val="en-US" w:eastAsia="zh-CN"/>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FB2398">
            <w:pPr>
              <w:jc w:val="center"/>
            </w:pPr>
            <w:r>
              <w:rPr>
                <w:rFonts w:ascii="宋体" w:hAnsi="宋体" w:eastAsia="宋体"/>
                <w:sz w:val="16"/>
              </w:rPr>
              <w:t>10</w:t>
            </w:r>
          </w:p>
        </w:tc>
      </w:tr>
      <w:tr w14:paraId="4202F8C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A02014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2B625C">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0341CD">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286592">
            <w:pPr>
              <w:jc w:val="center"/>
            </w:pPr>
            <w:r>
              <w:rPr>
                <w:rFonts w:ascii="宋体" w:hAnsi="宋体" w:eastAsia="宋体"/>
                <w:sz w:val="16"/>
              </w:rPr>
              <w:t>4,850.00</w:t>
            </w:r>
          </w:p>
        </w:tc>
        <w:tc>
          <w:tcPr>
            <w:tcW w:w="1204" w:type="dxa"/>
            <w:tcBorders>
              <w:top w:val="single" w:color="auto" w:sz="10" w:space="0"/>
              <w:left w:val="single" w:color="auto" w:sz="10" w:space="0"/>
              <w:bottom w:val="single" w:color="auto" w:sz="10" w:space="0"/>
              <w:right w:val="single" w:color="auto" w:sz="10" w:space="0"/>
              <w:insideV w:val="single" w:sz="10" w:space="0"/>
            </w:tcBorders>
            <w:vAlign w:val="center"/>
          </w:tcPr>
          <w:p w14:paraId="597F36BD">
            <w:pPr>
              <w:jc w:val="center"/>
            </w:pPr>
            <w:r>
              <w:rPr>
                <w:rFonts w:ascii="宋体" w:hAnsi="宋体" w:eastAsia="宋体"/>
                <w:sz w:val="16"/>
              </w:rPr>
              <w:t>4,850.00</w:t>
            </w:r>
          </w:p>
        </w:tc>
        <w:tc>
          <w:tcPr>
            <w:tcW w:w="1006" w:type="dxa"/>
            <w:tcBorders>
              <w:top w:val="single" w:color="auto" w:sz="10" w:space="0"/>
              <w:left w:val="single" w:color="auto" w:sz="10" w:space="0"/>
              <w:bottom w:val="single" w:color="auto" w:sz="10" w:space="0"/>
              <w:right w:val="single" w:color="auto" w:sz="10" w:space="0"/>
              <w:insideV w:val="single" w:sz="10" w:space="0"/>
            </w:tcBorders>
            <w:vAlign w:val="center"/>
          </w:tcPr>
          <w:p w14:paraId="50CB870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2299E6">
            <w:pPr>
              <w:jc w:val="center"/>
              <w:rPr>
                <w:rFonts w:hint="eastAsia" w:eastAsia="宋体"/>
                <w:lang w:val="en-US" w:eastAsia="zh-CN"/>
              </w:rP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9A357D">
            <w:pPr>
              <w:jc w:val="center"/>
            </w:pPr>
            <w:r>
              <w:rPr>
                <w:rFonts w:ascii="宋体" w:hAnsi="宋体" w:eastAsia="宋体"/>
                <w:sz w:val="16"/>
              </w:rPr>
              <w:t>-</w:t>
            </w:r>
          </w:p>
        </w:tc>
      </w:tr>
      <w:tr w14:paraId="5F0A964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421FFD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EAF077">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16BDB9">
            <w:pPr>
              <w:jc w:val="center"/>
            </w:pPr>
            <w:r>
              <w:rPr>
                <w:rFonts w:ascii="宋体" w:hAnsi="宋体" w:eastAsia="宋体"/>
                <w:sz w:val="16"/>
              </w:rPr>
              <w:t>384.23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EAFF60">
            <w:pPr>
              <w:jc w:val="center"/>
            </w:pPr>
            <w:r>
              <w:rPr>
                <w:rFonts w:ascii="宋体" w:hAnsi="宋体" w:eastAsia="宋体"/>
                <w:sz w:val="16"/>
              </w:rPr>
              <w:t>663.41</w:t>
            </w:r>
          </w:p>
        </w:tc>
        <w:tc>
          <w:tcPr>
            <w:tcW w:w="1204" w:type="dxa"/>
            <w:tcBorders>
              <w:top w:val="single" w:color="auto" w:sz="10" w:space="0"/>
              <w:left w:val="single" w:color="auto" w:sz="10" w:space="0"/>
              <w:bottom w:val="single" w:color="auto" w:sz="10" w:space="0"/>
              <w:right w:val="single" w:color="auto" w:sz="10" w:space="0"/>
              <w:insideV w:val="single" w:sz="10" w:space="0"/>
            </w:tcBorders>
            <w:vAlign w:val="center"/>
          </w:tcPr>
          <w:p w14:paraId="4D7D2F71">
            <w:pPr>
              <w:jc w:val="center"/>
            </w:pPr>
            <w:r>
              <w:rPr>
                <w:rFonts w:ascii="宋体" w:hAnsi="宋体" w:eastAsia="宋体"/>
                <w:sz w:val="16"/>
              </w:rPr>
              <w:t>407.32</w:t>
            </w:r>
          </w:p>
        </w:tc>
        <w:tc>
          <w:tcPr>
            <w:tcW w:w="1006" w:type="dxa"/>
            <w:tcBorders>
              <w:top w:val="single" w:color="auto" w:sz="10" w:space="0"/>
              <w:left w:val="single" w:color="auto" w:sz="10" w:space="0"/>
              <w:bottom w:val="single" w:color="auto" w:sz="10" w:space="0"/>
              <w:right w:val="single" w:color="auto" w:sz="10" w:space="0"/>
              <w:insideV w:val="single" w:sz="10" w:space="0"/>
            </w:tcBorders>
            <w:vAlign w:val="center"/>
          </w:tcPr>
          <w:p w14:paraId="2157BC8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FD225C">
            <w:pPr>
              <w:jc w:val="center"/>
              <w:rPr>
                <w:rFonts w:hint="eastAsia" w:eastAsia="宋体"/>
                <w:lang w:val="en-US" w:eastAsia="zh-CN"/>
              </w:rP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E53266">
            <w:pPr>
              <w:jc w:val="center"/>
            </w:pPr>
            <w:r>
              <w:rPr>
                <w:rFonts w:ascii="宋体" w:hAnsi="宋体" w:eastAsia="宋体"/>
                <w:sz w:val="16"/>
              </w:rPr>
              <w:t>-</w:t>
            </w:r>
          </w:p>
        </w:tc>
      </w:tr>
      <w:tr w14:paraId="4750825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EE6B36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B690D1">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A94992">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152364">
            <w:pPr>
              <w:jc w:val="center"/>
            </w:pPr>
            <w:r>
              <w:rPr>
                <w:rFonts w:ascii="宋体" w:hAnsi="宋体" w:eastAsia="宋体"/>
                <w:sz w:val="16"/>
              </w:rPr>
              <w:t>0.00</w:t>
            </w:r>
          </w:p>
        </w:tc>
        <w:tc>
          <w:tcPr>
            <w:tcW w:w="1204" w:type="dxa"/>
            <w:tcBorders>
              <w:top w:val="single" w:color="auto" w:sz="10" w:space="0"/>
              <w:left w:val="single" w:color="auto" w:sz="10" w:space="0"/>
              <w:bottom w:val="single" w:color="auto" w:sz="10" w:space="0"/>
              <w:right w:val="single" w:color="auto" w:sz="10" w:space="0"/>
              <w:insideV w:val="single" w:sz="10" w:space="0"/>
            </w:tcBorders>
            <w:vAlign w:val="center"/>
          </w:tcPr>
          <w:p w14:paraId="1F4C57A6">
            <w:pPr>
              <w:jc w:val="center"/>
            </w:pPr>
            <w:r>
              <w:rPr>
                <w:rFonts w:ascii="宋体" w:hAnsi="宋体" w:eastAsia="宋体"/>
                <w:sz w:val="16"/>
              </w:rPr>
              <w:t>0.00</w:t>
            </w:r>
          </w:p>
        </w:tc>
        <w:tc>
          <w:tcPr>
            <w:tcW w:w="1006" w:type="dxa"/>
            <w:tcBorders>
              <w:top w:val="single" w:color="auto" w:sz="10" w:space="0"/>
              <w:left w:val="single" w:color="auto" w:sz="10" w:space="0"/>
              <w:bottom w:val="single" w:color="auto" w:sz="10" w:space="0"/>
              <w:right w:val="single" w:color="auto" w:sz="10" w:space="0"/>
              <w:insideV w:val="single" w:sz="10" w:space="0"/>
            </w:tcBorders>
            <w:vAlign w:val="center"/>
          </w:tcPr>
          <w:p w14:paraId="32B0812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4769A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5FFE2B">
            <w:pPr>
              <w:jc w:val="center"/>
            </w:pPr>
            <w:r>
              <w:rPr>
                <w:rFonts w:ascii="宋体" w:hAnsi="宋体" w:eastAsia="宋体"/>
                <w:sz w:val="16"/>
              </w:rPr>
              <w:t>-</w:t>
            </w:r>
          </w:p>
        </w:tc>
      </w:tr>
      <w:tr w14:paraId="194EC7E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29556E">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9DAF306">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9AF0E8C">
            <w:pPr>
              <w:jc w:val="center"/>
            </w:pPr>
            <w:r>
              <w:rPr>
                <w:rFonts w:ascii="宋体" w:hAnsi="宋体" w:eastAsia="宋体"/>
                <w:sz w:val="16"/>
              </w:rPr>
              <w:t>实际完成情况</w:t>
            </w:r>
          </w:p>
        </w:tc>
      </w:tr>
      <w:tr w14:paraId="65B606B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0388FBD"/>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0228FAC">
            <w:pPr>
              <w:jc w:val="both"/>
            </w:pPr>
            <w:r>
              <w:rPr>
                <w:rFonts w:ascii="宋体" w:hAnsi="宋体" w:eastAsia="宋体"/>
                <w:sz w:val="16"/>
              </w:rPr>
              <w:t>制定合作中心运营管理办法和措施，创新监管模式，加强服务、管理和监督；推进合作中心试行7*24小时通关模式，完成合作中心出入人员人次同比增长30%；发展合作中心功能定位，聚焦会展经济，成功举办高质量会展、论坛及赛事活动不少于20场次；打造中亚汽车展示交易中心，实现商品车展示和销售业务常态化规范化运营，展销1000辆商品车；统筹中哈双边优势资源、推动中哈区域联动发展，将双边会晤模式优化为常态化联合办公模式，中哈联建工作会晤次数不少于50次。</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69C39C3">
            <w:pPr>
              <w:jc w:val="both"/>
            </w:pPr>
            <w:r>
              <w:rPr>
                <w:rFonts w:ascii="宋体" w:hAnsi="宋体" w:eastAsia="宋体"/>
                <w:sz w:val="16"/>
              </w:rPr>
              <w:t>推进合作中心试行7*24小时通关模式，完成合作中心出入人员人次同比增长30%；发展合作中心功能定位，聚焦会展经济，成功举办高质量会展、论坛及赛事活动不少于20场次；打造中亚汽车展示交易中心，实现商品车展示和销售业务常态化规范化运营，展销200辆商品车；统筹中哈双边优势资源、推动中哈区域联动发展，将双边会晤模式优化为常态化联合办公模式，中哈联建工作会晤次数15次。</w:t>
            </w:r>
          </w:p>
        </w:tc>
      </w:tr>
      <w:tr w14:paraId="7772A085">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DBFE4C">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DED535">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17B34E">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698E42">
            <w:pPr>
              <w:jc w:val="center"/>
            </w:pPr>
            <w:r>
              <w:rPr>
                <w:rFonts w:ascii="宋体" w:hAnsi="宋体" w:eastAsia="宋体"/>
                <w:sz w:val="16"/>
              </w:rPr>
              <w:t>预期指标值</w:t>
            </w:r>
          </w:p>
        </w:tc>
        <w:tc>
          <w:tcPr>
            <w:tcW w:w="1204" w:type="dxa"/>
            <w:tcBorders>
              <w:top w:val="single" w:color="auto" w:sz="10" w:space="0"/>
              <w:left w:val="single" w:color="auto" w:sz="10" w:space="0"/>
              <w:bottom w:val="single" w:color="auto" w:sz="10" w:space="0"/>
              <w:right w:val="single" w:color="auto" w:sz="10" w:space="0"/>
              <w:insideV w:val="single" w:sz="10" w:space="0"/>
            </w:tcBorders>
            <w:vAlign w:val="center"/>
          </w:tcPr>
          <w:p w14:paraId="149190EE">
            <w:pPr>
              <w:jc w:val="center"/>
            </w:pPr>
            <w:r>
              <w:rPr>
                <w:rFonts w:ascii="宋体" w:hAnsi="宋体" w:eastAsia="宋体"/>
                <w:sz w:val="16"/>
              </w:rPr>
              <w:t>指标值设定依据</w:t>
            </w:r>
          </w:p>
        </w:tc>
        <w:tc>
          <w:tcPr>
            <w:tcW w:w="1006" w:type="dxa"/>
            <w:tcBorders>
              <w:top w:val="single" w:color="auto" w:sz="10" w:space="0"/>
              <w:left w:val="single" w:color="auto" w:sz="10" w:space="0"/>
              <w:bottom w:val="single" w:color="auto" w:sz="10" w:space="0"/>
              <w:right w:val="single" w:color="auto" w:sz="10" w:space="0"/>
              <w:insideV w:val="single" w:sz="10" w:space="0"/>
            </w:tcBorders>
            <w:vAlign w:val="center"/>
          </w:tcPr>
          <w:p w14:paraId="337E75A6">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CACF9A">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3A5D53">
            <w:pPr>
              <w:jc w:val="center"/>
            </w:pPr>
            <w:r>
              <w:rPr>
                <w:rFonts w:ascii="宋体" w:hAnsi="宋体" w:eastAsia="宋体"/>
                <w:sz w:val="16"/>
              </w:rPr>
              <w:t>得分</w:t>
            </w:r>
          </w:p>
        </w:tc>
      </w:tr>
      <w:tr w14:paraId="6CC6FAF0">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BA2B43">
            <w:pPr>
              <w:jc w:val="center"/>
            </w:pPr>
            <w:r>
              <w:rPr>
                <w:rFonts w:ascii="宋体" w:hAnsi="宋体" w:eastAsia="宋体"/>
                <w:sz w:val="16"/>
              </w:rPr>
              <w:t>履职效能</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05A6CE">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C554C9">
            <w:pPr>
              <w:jc w:val="center"/>
            </w:pPr>
            <w:r>
              <w:rPr>
                <w:rFonts w:ascii="宋体" w:hAnsi="宋体" w:eastAsia="宋体"/>
                <w:sz w:val="16"/>
              </w:rPr>
              <w:t>成功举办高质量展会、论坛、赛事活动场次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CE5B38">
            <w:pPr>
              <w:jc w:val="center"/>
            </w:pPr>
            <w:r>
              <w:rPr>
                <w:rFonts w:ascii="宋体" w:hAnsi="宋体" w:eastAsia="宋体"/>
                <w:sz w:val="16"/>
              </w:rPr>
              <w:t>&gt;=20场</w:t>
            </w:r>
          </w:p>
        </w:tc>
        <w:tc>
          <w:tcPr>
            <w:tcW w:w="1204" w:type="dxa"/>
            <w:tcBorders>
              <w:top w:val="single" w:color="auto" w:sz="10" w:space="0"/>
              <w:left w:val="single" w:color="auto" w:sz="10" w:space="0"/>
              <w:bottom w:val="single" w:color="auto" w:sz="10" w:space="0"/>
              <w:right w:val="single" w:color="auto" w:sz="10" w:space="0"/>
              <w:insideV w:val="single" w:sz="10" w:space="0"/>
            </w:tcBorders>
            <w:vAlign w:val="center"/>
          </w:tcPr>
          <w:p w14:paraId="7A403009">
            <w:pPr>
              <w:jc w:val="center"/>
            </w:pPr>
            <w:r>
              <w:rPr>
                <w:rFonts w:ascii="宋体" w:hAnsi="宋体" w:eastAsia="宋体"/>
                <w:sz w:val="16"/>
              </w:rPr>
              <w:t>2024年部门重点工作清单</w:t>
            </w:r>
          </w:p>
        </w:tc>
        <w:tc>
          <w:tcPr>
            <w:tcW w:w="1006" w:type="dxa"/>
            <w:tcBorders>
              <w:top w:val="single" w:color="auto" w:sz="10" w:space="0"/>
              <w:left w:val="single" w:color="auto" w:sz="10" w:space="0"/>
              <w:bottom w:val="single" w:color="auto" w:sz="10" w:space="0"/>
              <w:right w:val="single" w:color="auto" w:sz="10" w:space="0"/>
              <w:insideV w:val="single" w:sz="10" w:space="0"/>
            </w:tcBorders>
            <w:vAlign w:val="center"/>
          </w:tcPr>
          <w:p w14:paraId="486546C3">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45C4A0">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F0C5DF">
            <w:pPr>
              <w:jc w:val="center"/>
            </w:pPr>
          </w:p>
        </w:tc>
      </w:tr>
      <w:tr w14:paraId="44F0CF5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73EA9D5"/>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E2F108">
            <w:pPr>
              <w:jc w:val="center"/>
            </w:p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A1C0F7">
            <w:pPr>
              <w:jc w:val="center"/>
            </w:pPr>
            <w:r>
              <w:rPr>
                <w:rFonts w:ascii="宋体" w:hAnsi="宋体" w:eastAsia="宋体"/>
                <w:sz w:val="16"/>
              </w:rPr>
              <w:t>中哈联建工作会晤次数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BAABF2">
            <w:pPr>
              <w:jc w:val="center"/>
            </w:pPr>
            <w:r>
              <w:rPr>
                <w:rFonts w:ascii="宋体" w:hAnsi="宋体" w:eastAsia="宋体"/>
                <w:sz w:val="16"/>
              </w:rPr>
              <w:t>&gt;=50次</w:t>
            </w:r>
          </w:p>
        </w:tc>
        <w:tc>
          <w:tcPr>
            <w:tcW w:w="1204" w:type="dxa"/>
            <w:tcBorders>
              <w:top w:val="single" w:color="auto" w:sz="10" w:space="0"/>
              <w:left w:val="single" w:color="auto" w:sz="10" w:space="0"/>
              <w:bottom w:val="single" w:color="auto" w:sz="10" w:space="0"/>
              <w:right w:val="single" w:color="auto" w:sz="10" w:space="0"/>
              <w:insideV w:val="single" w:sz="10" w:space="0"/>
            </w:tcBorders>
            <w:vAlign w:val="center"/>
          </w:tcPr>
          <w:p w14:paraId="4903E4E9">
            <w:pPr>
              <w:jc w:val="center"/>
            </w:pPr>
            <w:r>
              <w:rPr>
                <w:rFonts w:ascii="宋体" w:hAnsi="宋体" w:eastAsia="宋体"/>
                <w:sz w:val="16"/>
              </w:rPr>
              <w:t>2024年部门重点工作清单</w:t>
            </w:r>
          </w:p>
        </w:tc>
        <w:tc>
          <w:tcPr>
            <w:tcW w:w="1006" w:type="dxa"/>
            <w:tcBorders>
              <w:top w:val="single" w:color="auto" w:sz="10" w:space="0"/>
              <w:left w:val="single" w:color="auto" w:sz="10" w:space="0"/>
              <w:bottom w:val="single" w:color="auto" w:sz="10" w:space="0"/>
              <w:right w:val="single" w:color="auto" w:sz="10" w:space="0"/>
              <w:insideV w:val="single" w:sz="10" w:space="0"/>
            </w:tcBorders>
            <w:vAlign w:val="center"/>
          </w:tcPr>
          <w:p w14:paraId="592B3A35">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6007FD">
            <w:pPr>
              <w:jc w:val="center"/>
            </w:pPr>
            <w:r>
              <w:rPr>
                <w:rFonts w:ascii="宋体" w:hAnsi="宋体" w:eastAsia="宋体"/>
                <w:sz w:val="16"/>
              </w:rPr>
              <w:t>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563E7D">
            <w:pPr>
              <w:jc w:val="center"/>
            </w:pPr>
          </w:p>
        </w:tc>
      </w:tr>
      <w:tr w14:paraId="046EE89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53DFBC9"/>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BB1D14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53C194">
            <w:pPr>
              <w:jc w:val="center"/>
            </w:pPr>
            <w:r>
              <w:rPr>
                <w:rFonts w:ascii="宋体" w:hAnsi="宋体" w:eastAsia="宋体"/>
                <w:sz w:val="16"/>
              </w:rPr>
              <w:t>会展中心展销商品车数量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E093F4">
            <w:pPr>
              <w:jc w:val="center"/>
            </w:pPr>
            <w:r>
              <w:rPr>
                <w:rFonts w:ascii="宋体" w:hAnsi="宋体" w:eastAsia="宋体"/>
                <w:sz w:val="16"/>
              </w:rPr>
              <w:t>&gt;=1000辆</w:t>
            </w:r>
          </w:p>
        </w:tc>
        <w:tc>
          <w:tcPr>
            <w:tcW w:w="1204" w:type="dxa"/>
            <w:tcBorders>
              <w:top w:val="single" w:color="auto" w:sz="10" w:space="0"/>
              <w:left w:val="single" w:color="auto" w:sz="10" w:space="0"/>
              <w:bottom w:val="single" w:color="auto" w:sz="10" w:space="0"/>
              <w:right w:val="single" w:color="auto" w:sz="10" w:space="0"/>
              <w:insideV w:val="single" w:sz="10" w:space="0"/>
            </w:tcBorders>
            <w:vAlign w:val="center"/>
          </w:tcPr>
          <w:p w14:paraId="58953F89">
            <w:pPr>
              <w:jc w:val="center"/>
            </w:pPr>
            <w:r>
              <w:rPr>
                <w:rFonts w:ascii="宋体" w:hAnsi="宋体" w:eastAsia="宋体"/>
                <w:sz w:val="16"/>
              </w:rPr>
              <w:t>合管办2023年工作总结及2024年工作计划</w:t>
            </w:r>
          </w:p>
        </w:tc>
        <w:tc>
          <w:tcPr>
            <w:tcW w:w="1006" w:type="dxa"/>
            <w:tcBorders>
              <w:top w:val="single" w:color="auto" w:sz="10" w:space="0"/>
              <w:left w:val="single" w:color="auto" w:sz="10" w:space="0"/>
              <w:bottom w:val="single" w:color="auto" w:sz="10" w:space="0"/>
              <w:right w:val="single" w:color="auto" w:sz="10" w:space="0"/>
              <w:insideV w:val="single" w:sz="10" w:space="0"/>
            </w:tcBorders>
            <w:vAlign w:val="center"/>
          </w:tcPr>
          <w:p w14:paraId="4C616BAA">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C542D4">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89A794">
            <w:pPr>
              <w:jc w:val="center"/>
            </w:pPr>
          </w:p>
        </w:tc>
      </w:tr>
      <w:tr w14:paraId="5A8B6D0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14E7B6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862491">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529EE1">
            <w:pPr>
              <w:jc w:val="center"/>
            </w:pPr>
            <w:r>
              <w:rPr>
                <w:rFonts w:ascii="宋体" w:hAnsi="宋体" w:eastAsia="宋体"/>
                <w:sz w:val="16"/>
              </w:rPr>
              <w:t>入出合作中心中方区域人次同比增长</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674998">
            <w:pPr>
              <w:jc w:val="center"/>
            </w:pPr>
            <w:r>
              <w:rPr>
                <w:rFonts w:ascii="宋体" w:hAnsi="宋体" w:eastAsia="宋体"/>
                <w:sz w:val="16"/>
              </w:rPr>
              <w:t>&gt;=30%</w:t>
            </w:r>
          </w:p>
        </w:tc>
        <w:tc>
          <w:tcPr>
            <w:tcW w:w="1204" w:type="dxa"/>
            <w:tcBorders>
              <w:top w:val="single" w:color="auto" w:sz="10" w:space="0"/>
              <w:left w:val="single" w:color="auto" w:sz="10" w:space="0"/>
              <w:bottom w:val="single" w:color="auto" w:sz="10" w:space="0"/>
              <w:right w:val="single" w:color="auto" w:sz="10" w:space="0"/>
              <w:insideV w:val="single" w:sz="10" w:space="0"/>
            </w:tcBorders>
            <w:vAlign w:val="center"/>
          </w:tcPr>
          <w:p w14:paraId="10E1172C">
            <w:pPr>
              <w:jc w:val="center"/>
            </w:pPr>
            <w:r>
              <w:rPr>
                <w:rFonts w:ascii="宋体" w:hAnsi="宋体" w:eastAsia="宋体"/>
                <w:sz w:val="16"/>
              </w:rPr>
              <w:t>2024年自治区重大平台清单、合管办2023年工作总结及2024年工作计划</w:t>
            </w:r>
          </w:p>
        </w:tc>
        <w:tc>
          <w:tcPr>
            <w:tcW w:w="1006" w:type="dxa"/>
            <w:tcBorders>
              <w:top w:val="single" w:color="auto" w:sz="10" w:space="0"/>
              <w:left w:val="single" w:color="auto" w:sz="10" w:space="0"/>
              <w:bottom w:val="single" w:color="auto" w:sz="10" w:space="0"/>
              <w:right w:val="single" w:color="auto" w:sz="10" w:space="0"/>
              <w:insideV w:val="single" w:sz="10" w:space="0"/>
            </w:tcBorders>
            <w:vAlign w:val="center"/>
          </w:tcPr>
          <w:p w14:paraId="50A9A6A6">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1E5385">
            <w:pPr>
              <w:jc w:val="center"/>
            </w:pPr>
            <w:r>
              <w:rPr>
                <w:rFonts w:ascii="宋体" w:hAnsi="宋体" w:eastAsia="宋体"/>
                <w:sz w:val="16"/>
              </w:rPr>
              <w:t>188.34%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AA0575">
            <w:pPr>
              <w:jc w:val="center"/>
            </w:pPr>
          </w:p>
        </w:tc>
      </w:tr>
    </w:tbl>
    <w:p w14:paraId="56E03D3B">
      <w:r>
        <w:br w:type="page"/>
      </w:r>
    </w:p>
    <w:tbl>
      <w:tblPr>
        <w:tblStyle w:val="9"/>
        <w:tblW w:w="0" w:type="auto"/>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24"/>
        <w:gridCol w:w="503"/>
        <w:gridCol w:w="569"/>
        <w:gridCol w:w="866"/>
        <w:gridCol w:w="917"/>
        <w:gridCol w:w="861"/>
        <w:gridCol w:w="767"/>
        <w:gridCol w:w="524"/>
        <w:gridCol w:w="542"/>
        <w:gridCol w:w="515"/>
        <w:gridCol w:w="497"/>
        <w:gridCol w:w="567"/>
        <w:gridCol w:w="474"/>
        <w:gridCol w:w="836"/>
      </w:tblGrid>
      <w:tr w14:paraId="125523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0" w:type="auto"/>
            <w:gridSpan w:val="14"/>
            <w:tcBorders>
              <w:top w:val="nil"/>
              <w:left w:val="nil"/>
              <w:bottom w:val="nil"/>
              <w:right w:val="nil"/>
            </w:tcBorders>
            <w:shd w:val="clear" w:color="auto" w:fill="auto"/>
            <w:vAlign w:val="center"/>
          </w:tcPr>
          <w:p w14:paraId="45C0C073">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14:paraId="358587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6EE719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14:paraId="1CE71D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8403A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项目名称</w:t>
            </w:r>
          </w:p>
        </w:tc>
        <w:tc>
          <w:tcPr>
            <w:tcW w:w="0" w:type="auto"/>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0FB412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霍尔果斯经济开发区铁路枢纽多式联运场站建设项目（一期）-2</w:t>
            </w:r>
          </w:p>
        </w:tc>
      </w:tr>
      <w:tr w14:paraId="25707F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95E52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主管部门</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DF569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中哈霍尔果斯国际边境合作中心管理办公室</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BE14F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实施单位</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6843F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中哈霍尔果斯国际边境合作中心管理办公室</w:t>
            </w:r>
          </w:p>
        </w:tc>
      </w:tr>
      <w:tr w14:paraId="2E7D27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FA1F62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项目资金</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（万元）</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0F35A5">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CDACD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87D76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3ECFB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全年执行数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B0A1D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6205D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93DCB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得分</w:t>
            </w:r>
          </w:p>
        </w:tc>
      </w:tr>
      <w:tr w14:paraId="12A416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73C62B">
            <w:pPr>
              <w:jc w:val="center"/>
              <w:rPr>
                <w:rFonts w:hint="eastAsia" w:ascii="宋体" w:hAnsi="宋体" w:eastAsia="宋体" w:cs="宋体"/>
                <w:b/>
                <w:bCs/>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EED1B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年度资金总额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5FCE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42E2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7200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24B0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7200.00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B5D7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2C35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88B3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w:t>
            </w:r>
          </w:p>
        </w:tc>
      </w:tr>
      <w:tr w14:paraId="1AD453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B60C30">
            <w:pPr>
              <w:jc w:val="center"/>
              <w:rPr>
                <w:rFonts w:hint="eastAsia" w:ascii="宋体" w:hAnsi="宋体" w:eastAsia="宋体" w:cs="宋体"/>
                <w:b/>
                <w:bCs/>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9963E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其中：当年财政拨款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E657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8BBF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7200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D6B6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7200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8B46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CBCA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7F0C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55680C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0263C0">
            <w:pPr>
              <w:jc w:val="center"/>
              <w:rPr>
                <w:rFonts w:hint="eastAsia" w:ascii="宋体" w:hAnsi="宋体" w:eastAsia="宋体" w:cs="宋体"/>
                <w:b/>
                <w:bCs/>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C5955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  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77A1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1C77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211E34">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E614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214D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06FD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2BA788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D3A63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年度总体目标</w:t>
            </w: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7E0F52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预期目标</w:t>
            </w:r>
          </w:p>
        </w:tc>
        <w:tc>
          <w:tcPr>
            <w:tcW w:w="0" w:type="auto"/>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1CA39B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实际完成情况</w:t>
            </w:r>
          </w:p>
        </w:tc>
      </w:tr>
      <w:tr w14:paraId="21CAFF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3F9CAB">
            <w:pPr>
              <w:jc w:val="center"/>
              <w:rPr>
                <w:rFonts w:hint="eastAsia" w:ascii="宋体" w:hAnsi="宋体" w:eastAsia="宋体" w:cs="宋体"/>
                <w:b/>
                <w:bCs/>
                <w:i w:val="0"/>
                <w:iCs w:val="0"/>
                <w:color w:val="000000"/>
                <w:sz w:val="18"/>
                <w:szCs w:val="18"/>
                <w:u w:val="none"/>
              </w:rPr>
            </w:pP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3A0E9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1.新建集装箱堆场作业站台50490平方米，增设2条铁路专用线，总有效长度1700米。完善铁路枢纽多式联运场站配套设施，发挥铁路口岸叠加优势。 2.保障农民工工资的发放。</w:t>
            </w:r>
          </w:p>
        </w:tc>
        <w:tc>
          <w:tcPr>
            <w:tcW w:w="0" w:type="auto"/>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C96E4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完成了集装箱堆场作业站台50490平方米的建设，增设了2条铁路专用线，有效发挥了铁路口岸叠加优势，完善了铁路枢纽多式联运场站配套设施。</w:t>
            </w:r>
          </w:p>
        </w:tc>
      </w:tr>
      <w:tr w14:paraId="7D3CAB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249BA5A">
            <w:pPr>
              <w:jc w:val="center"/>
              <w:rPr>
                <w:rFonts w:hint="eastAsia" w:ascii="宋体" w:hAnsi="宋体" w:eastAsia="宋体" w:cs="宋体"/>
                <w:i w:val="0"/>
                <w:iCs w:val="0"/>
                <w:color w:val="000000"/>
                <w:sz w:val="18"/>
                <w:szCs w:val="18"/>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CA96E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03A3E4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5D960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85805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权重</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143C7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目标值</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9D993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业绩值</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EC615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完成率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551FA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指标得分</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69843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指标值设定依据</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E73A2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上年完成情况</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E153F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赋分规则</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BE75B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佐证资料</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F75BD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偏差原因分析及改进措施</w:t>
            </w:r>
          </w:p>
        </w:tc>
      </w:tr>
      <w:tr w14:paraId="531511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1DB2B1">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D77238">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E27A53">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DE10AE">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041E19">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218A3C">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6F0A4D">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97C464">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74FF76">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DF8754">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194772">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8C7CED">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0A766C">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8CB912">
            <w:pPr>
              <w:jc w:val="center"/>
              <w:rPr>
                <w:rFonts w:hint="eastAsia" w:ascii="宋体" w:hAnsi="宋体" w:eastAsia="宋体" w:cs="宋体"/>
                <w:b/>
                <w:bCs/>
                <w:i w:val="0"/>
                <w:iCs w:val="0"/>
                <w:color w:val="000000"/>
                <w:sz w:val="18"/>
                <w:szCs w:val="18"/>
                <w:u w:val="none"/>
              </w:rPr>
            </w:pPr>
          </w:p>
        </w:tc>
      </w:tr>
      <w:tr w14:paraId="5BA4C9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F5BDD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年度绩效指标完成情况</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2F7D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78565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EC39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新建集装箱作业站台面积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83A1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C876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=50490平方米</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101F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50490平方米</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8015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4B38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8CD3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251A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1075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8B4D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9B705C">
            <w:pPr>
              <w:jc w:val="center"/>
              <w:rPr>
                <w:rFonts w:hint="eastAsia" w:ascii="宋体" w:hAnsi="宋体" w:eastAsia="宋体" w:cs="宋体"/>
                <w:i w:val="0"/>
                <w:iCs w:val="0"/>
                <w:color w:val="000000"/>
                <w:sz w:val="18"/>
                <w:szCs w:val="18"/>
                <w:u w:val="none"/>
              </w:rPr>
            </w:pPr>
          </w:p>
        </w:tc>
      </w:tr>
      <w:tr w14:paraId="1493D8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646721">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1B5649">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E87D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4608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新增铁路专用线</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E1CA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58E5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0FE7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462F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4DBB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CD86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0E3C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69B0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直接赋分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746B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451344">
            <w:pPr>
              <w:jc w:val="center"/>
              <w:rPr>
                <w:rFonts w:hint="eastAsia" w:ascii="宋体" w:hAnsi="宋体" w:eastAsia="宋体" w:cs="宋体"/>
                <w:i w:val="0"/>
                <w:iCs w:val="0"/>
                <w:color w:val="000000"/>
                <w:sz w:val="18"/>
                <w:szCs w:val="18"/>
                <w:u w:val="none"/>
              </w:rPr>
            </w:pPr>
          </w:p>
        </w:tc>
      </w:tr>
      <w:tr w14:paraId="2CDE8D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36CDF0">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7792DC">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2B9E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6DDA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项目验收合格率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95E3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CF38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D2BA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AE65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1BB7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D285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行业标准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A499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3C3B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0A31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F6E422">
            <w:pPr>
              <w:jc w:val="center"/>
              <w:rPr>
                <w:rFonts w:hint="eastAsia" w:ascii="宋体" w:hAnsi="宋体" w:eastAsia="宋体" w:cs="宋体"/>
                <w:i w:val="0"/>
                <w:iCs w:val="0"/>
                <w:color w:val="000000"/>
                <w:sz w:val="18"/>
                <w:szCs w:val="18"/>
                <w:u w:val="none"/>
              </w:rPr>
            </w:pPr>
          </w:p>
        </w:tc>
      </w:tr>
      <w:tr w14:paraId="47B7DA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148876">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0FDF6A">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7F7F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B684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项目设计变更率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5E32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3540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A4A5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F0EF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BE3B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7F9C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B27487">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A441A5">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727E18">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36441C">
            <w:pPr>
              <w:jc w:val="center"/>
              <w:rPr>
                <w:rFonts w:hint="eastAsia" w:ascii="宋体" w:hAnsi="宋体" w:eastAsia="宋体" w:cs="宋体"/>
                <w:i w:val="0"/>
                <w:iCs w:val="0"/>
                <w:color w:val="000000"/>
                <w:sz w:val="18"/>
                <w:szCs w:val="18"/>
                <w:u w:val="none"/>
              </w:rPr>
            </w:pPr>
          </w:p>
        </w:tc>
      </w:tr>
      <w:tr w14:paraId="0201AC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DBD08E">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D7FA8B">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F952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F046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项目资金支付率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3A35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79C7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E2A7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10F6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4D52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39E2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BB09E6">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EEA70B">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5AC2E6">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BB5251">
            <w:pPr>
              <w:jc w:val="center"/>
              <w:rPr>
                <w:rFonts w:hint="eastAsia" w:ascii="宋体" w:hAnsi="宋体" w:eastAsia="宋体" w:cs="宋体"/>
                <w:i w:val="0"/>
                <w:iCs w:val="0"/>
                <w:color w:val="000000"/>
                <w:sz w:val="18"/>
                <w:szCs w:val="18"/>
                <w:u w:val="none"/>
              </w:rPr>
            </w:pPr>
          </w:p>
        </w:tc>
      </w:tr>
      <w:tr w14:paraId="151C5E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D353C0">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71703B">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0ACF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2FF9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项目按计划开工时间</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91C5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AD03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&lt;=10月16日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BF0A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10月16日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B2B9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9359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AB95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4AF0AC">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55AEBF">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A9A0B0">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AA26C3">
            <w:pPr>
              <w:jc w:val="center"/>
              <w:rPr>
                <w:rFonts w:hint="eastAsia" w:ascii="宋体" w:hAnsi="宋体" w:eastAsia="宋体" w:cs="宋体"/>
                <w:i w:val="0"/>
                <w:iCs w:val="0"/>
                <w:color w:val="000000"/>
                <w:sz w:val="18"/>
                <w:szCs w:val="18"/>
                <w:u w:val="none"/>
              </w:rPr>
            </w:pPr>
          </w:p>
        </w:tc>
      </w:tr>
      <w:tr w14:paraId="44C93E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616F23">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A6281F">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1E4C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E567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项目按计划完工时间</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370B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4D79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&lt;=11月27日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8D41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11月27日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B32A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5C7E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723E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39CB49">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C82960">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0C73D8">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137CD29">
            <w:pPr>
              <w:jc w:val="center"/>
              <w:rPr>
                <w:rFonts w:hint="eastAsia" w:ascii="宋体" w:hAnsi="宋体" w:eastAsia="宋体" w:cs="宋体"/>
                <w:i w:val="0"/>
                <w:iCs w:val="0"/>
                <w:color w:val="000000"/>
                <w:sz w:val="18"/>
                <w:szCs w:val="18"/>
                <w:u w:val="none"/>
              </w:rPr>
            </w:pPr>
          </w:p>
        </w:tc>
      </w:tr>
      <w:tr w14:paraId="7E2568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F4D526">
            <w:pPr>
              <w:jc w:val="center"/>
              <w:rPr>
                <w:rFonts w:hint="eastAsia" w:ascii="宋体" w:hAnsi="宋体" w:eastAsia="宋体" w:cs="宋体"/>
                <w:b/>
                <w:bCs/>
                <w:i w:val="0"/>
                <w:iCs w:val="0"/>
                <w:color w:val="000000"/>
                <w:sz w:val="18"/>
                <w:szCs w:val="18"/>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EDB7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7251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2454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工程进度款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3715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6731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&lt;=5040万元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C1DE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5040万元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C97C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A2D2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20225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9B31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EE76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4C06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CBBF972">
            <w:pPr>
              <w:jc w:val="center"/>
              <w:rPr>
                <w:rFonts w:hint="eastAsia" w:ascii="宋体" w:hAnsi="宋体" w:eastAsia="宋体" w:cs="宋体"/>
                <w:i w:val="0"/>
                <w:iCs w:val="0"/>
                <w:color w:val="000000"/>
                <w:sz w:val="18"/>
                <w:szCs w:val="18"/>
                <w:u w:val="none"/>
              </w:rPr>
            </w:pPr>
          </w:p>
        </w:tc>
      </w:tr>
      <w:tr w14:paraId="005F7C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E9C716">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836316">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DC89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0CEF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农民工工资进度款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AE1F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331F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&lt;=2160万元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75BF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2160万元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72AFD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383B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BB1C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3D21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BADD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A26A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BBB499">
            <w:pPr>
              <w:jc w:val="center"/>
              <w:rPr>
                <w:rFonts w:hint="eastAsia" w:ascii="宋体" w:hAnsi="宋体" w:eastAsia="宋体" w:cs="宋体"/>
                <w:i w:val="0"/>
                <w:iCs w:val="0"/>
                <w:color w:val="000000"/>
                <w:sz w:val="18"/>
                <w:szCs w:val="18"/>
                <w:u w:val="none"/>
              </w:rPr>
            </w:pPr>
          </w:p>
        </w:tc>
      </w:tr>
      <w:tr w14:paraId="14AEE7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B4F4C0">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2D8F3E">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2C41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FB2ABF">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19B174">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8CB11C">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81545D">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5C4BE5">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ADA628">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C657E8">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46E9DF">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197CB3">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A78FD0">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344900F">
            <w:pPr>
              <w:jc w:val="center"/>
              <w:rPr>
                <w:rFonts w:hint="eastAsia" w:ascii="宋体" w:hAnsi="宋体" w:eastAsia="宋体" w:cs="宋体"/>
                <w:i w:val="0"/>
                <w:iCs w:val="0"/>
                <w:color w:val="000000"/>
                <w:sz w:val="18"/>
                <w:szCs w:val="18"/>
                <w:u w:val="none"/>
              </w:rPr>
            </w:pPr>
          </w:p>
        </w:tc>
      </w:tr>
      <w:tr w14:paraId="5750DD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94CC5E">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8F8CEE">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A3D7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24F26B">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0C88E6">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50210D">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2085C0">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6AE5AB">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8B2A18">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DE6DEF4">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15CE28">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209D52">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CB23C5">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7ABF14">
            <w:pPr>
              <w:jc w:val="center"/>
              <w:rPr>
                <w:rFonts w:hint="eastAsia" w:ascii="宋体" w:hAnsi="宋体" w:eastAsia="宋体" w:cs="宋体"/>
                <w:i w:val="0"/>
                <w:iCs w:val="0"/>
                <w:color w:val="000000"/>
                <w:sz w:val="18"/>
                <w:szCs w:val="18"/>
                <w:u w:val="none"/>
              </w:rPr>
            </w:pPr>
          </w:p>
        </w:tc>
      </w:tr>
      <w:tr w14:paraId="58ACBF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A21457">
            <w:pPr>
              <w:jc w:val="center"/>
              <w:rPr>
                <w:rFonts w:hint="eastAsia" w:ascii="宋体" w:hAnsi="宋体" w:eastAsia="宋体" w:cs="宋体"/>
                <w:b/>
                <w:bCs/>
                <w:i w:val="0"/>
                <w:iCs w:val="0"/>
                <w:color w:val="000000"/>
                <w:sz w:val="18"/>
                <w:szCs w:val="18"/>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E24D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59FD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EF2693">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F1CF02">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4A5E09">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8B52C8">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F2DF3F">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E37D1D">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B5EEA8">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98BBFE">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9D14CF">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39ECFC">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9F47C9">
            <w:pPr>
              <w:jc w:val="center"/>
              <w:rPr>
                <w:rFonts w:hint="eastAsia" w:ascii="宋体" w:hAnsi="宋体" w:eastAsia="宋体" w:cs="宋体"/>
                <w:i w:val="0"/>
                <w:iCs w:val="0"/>
                <w:color w:val="000000"/>
                <w:sz w:val="18"/>
                <w:szCs w:val="18"/>
                <w:u w:val="none"/>
              </w:rPr>
            </w:pPr>
          </w:p>
        </w:tc>
      </w:tr>
      <w:tr w14:paraId="46B0DD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2B7674">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FC1E55">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5749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C5A4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发挥综保区、铁路口岸叠加优势</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CBF9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0CAF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充分发挥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61A6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有效发挥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D1BD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14AC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2274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行业标准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C83C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276E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按评判等级赋分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3AEE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03B30B">
            <w:pPr>
              <w:jc w:val="center"/>
              <w:rPr>
                <w:rFonts w:hint="eastAsia" w:ascii="宋体" w:hAnsi="宋体" w:eastAsia="宋体" w:cs="宋体"/>
                <w:i w:val="0"/>
                <w:iCs w:val="0"/>
                <w:color w:val="000000"/>
                <w:sz w:val="18"/>
                <w:szCs w:val="18"/>
                <w:u w:val="none"/>
              </w:rPr>
            </w:pPr>
          </w:p>
        </w:tc>
      </w:tr>
      <w:tr w14:paraId="5E9860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EAB311">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60DEA0">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63F7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B5FA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正常运转率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7AA0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A32D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8FDA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7A97A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A900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92F4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9DC6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018A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按评判等级赋分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DF7A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5B54C03">
            <w:pPr>
              <w:jc w:val="center"/>
              <w:rPr>
                <w:rFonts w:hint="eastAsia" w:ascii="宋体" w:hAnsi="宋体" w:eastAsia="宋体" w:cs="宋体"/>
                <w:i w:val="0"/>
                <w:iCs w:val="0"/>
                <w:color w:val="000000"/>
                <w:sz w:val="18"/>
                <w:szCs w:val="18"/>
                <w:u w:val="none"/>
              </w:rPr>
            </w:pPr>
          </w:p>
        </w:tc>
      </w:tr>
      <w:tr w14:paraId="47EB16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CA64E5">
            <w:pPr>
              <w:jc w:val="center"/>
              <w:rPr>
                <w:rFonts w:hint="eastAsia" w:ascii="宋体" w:hAnsi="宋体" w:eastAsia="宋体" w:cs="宋体"/>
                <w:b/>
                <w:bCs/>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3E3D51">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7F96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0638BC">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9D1476">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02C938">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3ECFC8">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3CA322">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7E4135">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D69AD4">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B1D2AA">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68D4CD">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530450">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A44E36">
            <w:pPr>
              <w:jc w:val="center"/>
              <w:rPr>
                <w:rFonts w:hint="eastAsia" w:ascii="宋体" w:hAnsi="宋体" w:eastAsia="宋体" w:cs="宋体"/>
                <w:i w:val="0"/>
                <w:iCs w:val="0"/>
                <w:color w:val="000000"/>
                <w:sz w:val="18"/>
                <w:szCs w:val="18"/>
                <w:u w:val="none"/>
              </w:rPr>
            </w:pPr>
          </w:p>
        </w:tc>
      </w:tr>
      <w:tr w14:paraId="575C4E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53BED7">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E9AC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DE44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0066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外贸企业满意度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5DDC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EB2C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ABDF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025F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0B5B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72F5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22175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91AF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28D4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19F5D9">
            <w:pPr>
              <w:jc w:val="center"/>
              <w:rPr>
                <w:rFonts w:hint="eastAsia" w:ascii="宋体" w:hAnsi="宋体" w:eastAsia="宋体" w:cs="宋体"/>
                <w:i w:val="0"/>
                <w:iCs w:val="0"/>
                <w:color w:val="000000"/>
                <w:sz w:val="18"/>
                <w:szCs w:val="18"/>
                <w:u w:val="none"/>
              </w:rPr>
            </w:pPr>
          </w:p>
        </w:tc>
      </w:tr>
      <w:tr w14:paraId="1C8EC6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4"/>
            <w:tcBorders>
              <w:top w:val="single" w:color="000000" w:sz="4" w:space="0"/>
              <w:left w:val="single" w:color="000000" w:sz="4" w:space="0"/>
              <w:bottom w:val="single" w:color="000000" w:sz="4" w:space="0"/>
              <w:right w:val="nil"/>
            </w:tcBorders>
            <w:shd w:val="clear" w:color="auto" w:fill="auto"/>
            <w:vAlign w:val="center"/>
          </w:tcPr>
          <w:p w14:paraId="3D356E9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AC9E3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nil"/>
              <w:bottom w:val="single" w:color="000000" w:sz="4" w:space="0"/>
              <w:right w:val="single" w:color="000000" w:sz="4" w:space="0"/>
            </w:tcBorders>
            <w:shd w:val="clear" w:color="auto" w:fill="auto"/>
            <w:vAlign w:val="center"/>
          </w:tcPr>
          <w:p w14:paraId="250C45D4">
            <w:pP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CD7EBF">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FCAE72">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202A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06B2E29">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4FC1B3">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849622">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0414B6A">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FCCF0D">
            <w:pPr>
              <w:rPr>
                <w:rFonts w:hint="eastAsia" w:ascii="宋体" w:hAnsi="宋体" w:eastAsia="宋体" w:cs="宋体"/>
                <w:i w:val="0"/>
                <w:iCs w:val="0"/>
                <w:color w:val="000000"/>
                <w:sz w:val="18"/>
                <w:szCs w:val="18"/>
                <w:u w:val="none"/>
              </w:rPr>
            </w:pPr>
          </w:p>
        </w:tc>
      </w:tr>
    </w:tbl>
    <w:p w14:paraId="712A240C">
      <w:r>
        <w:br w:type="page"/>
      </w:r>
    </w:p>
    <w:p w14:paraId="0B899937">
      <w:pPr>
        <w:spacing w:line="640" w:lineRule="exact"/>
        <w:ind w:firstLine="640"/>
        <w:jc w:val="both"/>
        <w:outlineLvl w:val="2"/>
      </w:pPr>
      <w:r>
        <w:rPr>
          <w:rFonts w:ascii="黑体" w:hAnsi="黑体" w:eastAsia="黑体"/>
          <w:sz w:val="32"/>
        </w:rPr>
        <w:t>十二、其他需说明的事项</w:t>
      </w:r>
    </w:p>
    <w:p w14:paraId="41D862B6">
      <w:pPr>
        <w:spacing w:line="580" w:lineRule="exact"/>
        <w:ind w:firstLine="640"/>
        <w:jc w:val="both"/>
      </w:pPr>
      <w:r>
        <w:rPr>
          <w:rFonts w:ascii="仿宋_GB2312" w:hAnsi="仿宋_GB2312" w:eastAsia="仿宋_GB2312"/>
          <w:b w:val="0"/>
          <w:sz w:val="32"/>
        </w:rPr>
        <w:t>本单位无其他需说明的事项。</w:t>
      </w:r>
    </w:p>
    <w:p w14:paraId="61BF5CA5">
      <w:r>
        <w:br w:type="page"/>
      </w:r>
    </w:p>
    <w:p w14:paraId="122BDC00">
      <w:pPr>
        <w:spacing w:line="240" w:lineRule="auto"/>
        <w:jc w:val="center"/>
        <w:outlineLvl w:val="1"/>
      </w:pPr>
      <w:r>
        <w:rPr>
          <w:rFonts w:ascii="黑体" w:hAnsi="黑体" w:eastAsia="黑体"/>
          <w:sz w:val="32"/>
        </w:rPr>
        <w:t>第三部分 专业名词解释</w:t>
      </w:r>
    </w:p>
    <w:p w14:paraId="0B55572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DCF081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1DF745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7A2D23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B898E4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A2CDA1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07C57D7">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190CFD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C60C55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886190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AC1DF0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5B507D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30725B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534CCF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A84A0EE">
      <w:r>
        <w:br w:type="page"/>
      </w:r>
    </w:p>
    <w:p w14:paraId="5E66ACD9">
      <w:pPr>
        <w:spacing w:line="240" w:lineRule="auto"/>
        <w:jc w:val="center"/>
        <w:outlineLvl w:val="1"/>
      </w:pPr>
      <w:r>
        <w:rPr>
          <w:rFonts w:ascii="黑体" w:hAnsi="黑体" w:eastAsia="黑体"/>
          <w:sz w:val="32"/>
        </w:rPr>
        <w:t>第四部分 部门决算报表（见附表）</w:t>
      </w:r>
    </w:p>
    <w:p w14:paraId="1D298412">
      <w:pPr>
        <w:spacing w:line="240" w:lineRule="auto"/>
        <w:ind w:firstLine="640"/>
        <w:jc w:val="both"/>
      </w:pPr>
      <w:r>
        <w:rPr>
          <w:rFonts w:ascii="仿宋_GB2312" w:hAnsi="仿宋_GB2312" w:eastAsia="仿宋_GB2312"/>
          <w:b w:val="0"/>
          <w:sz w:val="32"/>
        </w:rPr>
        <w:t>一、《收入支出决算总表》</w:t>
      </w:r>
    </w:p>
    <w:p w14:paraId="1FC4C241">
      <w:pPr>
        <w:spacing w:line="240" w:lineRule="auto"/>
        <w:ind w:firstLine="640"/>
        <w:jc w:val="both"/>
      </w:pPr>
      <w:r>
        <w:rPr>
          <w:rFonts w:ascii="仿宋_GB2312" w:hAnsi="仿宋_GB2312" w:eastAsia="仿宋_GB2312"/>
          <w:b w:val="0"/>
          <w:sz w:val="32"/>
        </w:rPr>
        <w:t>二、《收入决算表》</w:t>
      </w:r>
    </w:p>
    <w:p w14:paraId="6C674363">
      <w:pPr>
        <w:spacing w:line="240" w:lineRule="auto"/>
        <w:ind w:firstLine="640"/>
        <w:jc w:val="both"/>
      </w:pPr>
      <w:r>
        <w:rPr>
          <w:rFonts w:ascii="仿宋_GB2312" w:hAnsi="仿宋_GB2312" w:eastAsia="仿宋_GB2312"/>
          <w:b w:val="0"/>
          <w:sz w:val="32"/>
        </w:rPr>
        <w:t>三、《支出决算表》</w:t>
      </w:r>
    </w:p>
    <w:p w14:paraId="241363A4">
      <w:pPr>
        <w:spacing w:line="240" w:lineRule="auto"/>
        <w:ind w:firstLine="640"/>
        <w:jc w:val="both"/>
      </w:pPr>
      <w:r>
        <w:rPr>
          <w:rFonts w:ascii="仿宋_GB2312" w:hAnsi="仿宋_GB2312" w:eastAsia="仿宋_GB2312"/>
          <w:b w:val="0"/>
          <w:sz w:val="32"/>
        </w:rPr>
        <w:t>四、《财政拨款收入支出决算总表》</w:t>
      </w:r>
    </w:p>
    <w:p w14:paraId="74FBA877">
      <w:pPr>
        <w:spacing w:line="240" w:lineRule="auto"/>
        <w:ind w:firstLine="640"/>
        <w:jc w:val="both"/>
      </w:pPr>
      <w:r>
        <w:rPr>
          <w:rFonts w:ascii="仿宋_GB2312" w:hAnsi="仿宋_GB2312" w:eastAsia="仿宋_GB2312"/>
          <w:b w:val="0"/>
          <w:sz w:val="32"/>
        </w:rPr>
        <w:t>五、《一般公共预算财政拨款支出决算表》</w:t>
      </w:r>
    </w:p>
    <w:p w14:paraId="79D02E32">
      <w:pPr>
        <w:spacing w:line="240" w:lineRule="auto"/>
        <w:ind w:firstLine="640"/>
        <w:jc w:val="both"/>
      </w:pPr>
      <w:r>
        <w:rPr>
          <w:rFonts w:ascii="仿宋_GB2312" w:hAnsi="仿宋_GB2312" w:eastAsia="仿宋_GB2312"/>
          <w:b w:val="0"/>
          <w:sz w:val="32"/>
        </w:rPr>
        <w:t>六、《一般公共预算财政拨款基本支出决算表》</w:t>
      </w:r>
    </w:p>
    <w:p w14:paraId="0768A65A">
      <w:pPr>
        <w:spacing w:line="240" w:lineRule="auto"/>
        <w:ind w:firstLine="640"/>
        <w:jc w:val="both"/>
      </w:pPr>
      <w:r>
        <w:rPr>
          <w:rFonts w:ascii="仿宋_GB2312" w:hAnsi="仿宋_GB2312" w:eastAsia="仿宋_GB2312"/>
          <w:b w:val="0"/>
          <w:sz w:val="32"/>
        </w:rPr>
        <w:t>七、《政府性基金预算财政拨款收入支出决算表》</w:t>
      </w:r>
    </w:p>
    <w:p w14:paraId="56F9E69F">
      <w:pPr>
        <w:spacing w:line="240" w:lineRule="auto"/>
        <w:ind w:firstLine="640"/>
        <w:jc w:val="both"/>
      </w:pPr>
      <w:r>
        <w:rPr>
          <w:rFonts w:ascii="仿宋_GB2312" w:hAnsi="仿宋_GB2312" w:eastAsia="仿宋_GB2312"/>
          <w:b w:val="0"/>
          <w:sz w:val="32"/>
        </w:rPr>
        <w:t>八、《国有资本经营预算财政拨款收入支出决算表》</w:t>
      </w:r>
    </w:p>
    <w:p w14:paraId="00248F13">
      <w:pPr>
        <w:spacing w:line="240" w:lineRule="auto"/>
        <w:ind w:firstLine="640"/>
        <w:jc w:val="both"/>
      </w:pPr>
      <w:r>
        <w:rPr>
          <w:rFonts w:ascii="仿宋_GB2312" w:hAnsi="仿宋_GB2312" w:eastAsia="仿宋_GB2312"/>
          <w:b w:val="0"/>
          <w:sz w:val="32"/>
        </w:rPr>
        <w:t>九、《财政拨款“三公”经费支出决算表》</w:t>
      </w:r>
    </w:p>
    <w:p w14:paraId="46D72A40">
      <w:pPr>
        <w:spacing w:line="240" w:lineRule="auto"/>
        <w:ind w:firstLine="640"/>
        <w:jc w:val="both"/>
      </w:pPr>
    </w:p>
    <w:p w14:paraId="39D4AA5C">
      <w:pPr>
        <w:spacing w:line="240" w:lineRule="auto"/>
        <w:ind w:firstLine="640"/>
        <w:jc w:val="both"/>
      </w:pPr>
    </w:p>
    <w:p w14:paraId="6A3D60F7">
      <w:pPr>
        <w:spacing w:line="240" w:lineRule="auto"/>
        <w:ind w:firstLine="640"/>
        <w:jc w:val="both"/>
      </w:pPr>
    </w:p>
    <w:p w14:paraId="5EA32648">
      <w:pPr>
        <w:spacing w:line="240" w:lineRule="auto"/>
        <w:ind w:firstLine="640"/>
        <w:jc w:val="both"/>
      </w:pPr>
    </w:p>
    <w:p w14:paraId="3770287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A03CFD9-DF09-4FC2-A90E-2D4DFA90D8C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4B4EDD20-F56F-45B8-BC1C-3C5B3DD59114}"/>
  </w:font>
  <w:font w:name="仿宋_GB2312">
    <w:panose1 w:val="02010609030101010101"/>
    <w:charset w:val="86"/>
    <w:family w:val="modern"/>
    <w:pitch w:val="default"/>
    <w:sig w:usb0="00000001" w:usb1="080E0000" w:usb2="00000000" w:usb3="00000000" w:csb0="00040000" w:csb1="00000000"/>
    <w:embedRegular r:id="rId3" w:fontKey="{78FB4A28-DF68-4817-A65C-A1AE644C1429}"/>
  </w:font>
  <w:font w:name="楷体_GB2312">
    <w:panose1 w:val="02010609030101010101"/>
    <w:charset w:val="86"/>
    <w:family w:val="auto"/>
    <w:pitch w:val="default"/>
    <w:sig w:usb0="00000001" w:usb1="080E0000" w:usb2="00000000" w:usb3="00000000" w:csb0="00040000" w:csb1="00000000"/>
    <w:embedRegular r:id="rId4" w:fontKey="{A2FAC4AE-D2F1-465C-A51B-0BB997766029}"/>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3C312C"/>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87E3014"/>
    <w:rsid w:val="3914510A"/>
    <w:rsid w:val="3B1220C9"/>
    <w:rsid w:val="3D5275AC"/>
    <w:rsid w:val="3EA7725F"/>
    <w:rsid w:val="3EC014A1"/>
    <w:rsid w:val="40834692"/>
    <w:rsid w:val="423A32B2"/>
    <w:rsid w:val="423C0CB4"/>
    <w:rsid w:val="427B5743"/>
    <w:rsid w:val="42E64542"/>
    <w:rsid w:val="44622584"/>
    <w:rsid w:val="464B7E04"/>
    <w:rsid w:val="464F7E64"/>
    <w:rsid w:val="46901EEE"/>
    <w:rsid w:val="469C74D2"/>
    <w:rsid w:val="47445515"/>
    <w:rsid w:val="4A3A7432"/>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0362406"/>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6132</Words>
  <Characters>7141</Characters>
  <Lines>0</Lines>
  <Paragraphs>0</Paragraphs>
  <TotalTime>11</TotalTime>
  <ScaleCrop>false</ScaleCrop>
  <LinksUpToDate>false</LinksUpToDate>
  <CharactersWithSpaces>7149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2025-12-04T11:01:25Z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eyJoZGlkIjoiMGIxZTI3ODM4ZmVjOGE5NDFiYmE3OTRiMjQ5OTEyNzIiLCJ1c2VySWQiOiIyNTk4NTcxMjUifQ==</vt:lpwstr>
  </property>
</Properties>
</file>