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52E43"/>
    <w:p w14:paraId="2D4EC5B2">
      <w:pPr>
        <w:spacing w:line="540" w:lineRule="exact"/>
        <w:jc w:val="center"/>
        <w:rPr>
          <w:rFonts w:eastAsia="华文中宋"/>
          <w:b/>
          <w:kern w:val="0"/>
          <w:sz w:val="52"/>
          <w:szCs w:val="52"/>
        </w:rPr>
      </w:pPr>
    </w:p>
    <w:p w14:paraId="44DBACA6">
      <w:pPr>
        <w:spacing w:line="540" w:lineRule="exact"/>
        <w:rPr>
          <w:rFonts w:eastAsia="华文中宋"/>
          <w:b/>
          <w:kern w:val="0"/>
          <w:sz w:val="52"/>
          <w:szCs w:val="52"/>
        </w:rPr>
      </w:pPr>
    </w:p>
    <w:p w14:paraId="410F01EC">
      <w:pPr>
        <w:spacing w:line="540" w:lineRule="exact"/>
        <w:jc w:val="center"/>
        <w:rPr>
          <w:rFonts w:asciiTheme="majorEastAsia" w:hAnsiTheme="majorEastAsia" w:eastAsiaTheme="majorEastAsia"/>
          <w:kern w:val="0"/>
          <w:sz w:val="48"/>
          <w:szCs w:val="48"/>
        </w:rPr>
      </w:pPr>
      <w:r>
        <w:rPr>
          <w:rFonts w:hint="eastAsia" w:asciiTheme="majorEastAsia" w:hAnsiTheme="majorEastAsia" w:eastAsiaTheme="majorEastAsia"/>
          <w:kern w:val="0"/>
          <w:sz w:val="48"/>
          <w:szCs w:val="48"/>
        </w:rPr>
        <w:t>城市学前教育幼儿资助伙食、取暖费、幼儿资助公用经费项目</w:t>
      </w:r>
      <w:r>
        <w:rPr>
          <w:rFonts w:asciiTheme="majorEastAsia" w:hAnsiTheme="majorEastAsia" w:eastAsiaTheme="majorEastAsia"/>
          <w:kern w:val="0"/>
          <w:sz w:val="48"/>
          <w:szCs w:val="48"/>
        </w:rPr>
        <w:t>支出绩效评价报告</w:t>
      </w:r>
    </w:p>
    <w:p w14:paraId="2A39C8FB">
      <w:pPr>
        <w:spacing w:line="540" w:lineRule="exact"/>
        <w:jc w:val="center"/>
        <w:rPr>
          <w:rFonts w:eastAsia="华文中宋"/>
          <w:b/>
          <w:kern w:val="0"/>
          <w:sz w:val="52"/>
          <w:szCs w:val="52"/>
        </w:rPr>
      </w:pPr>
    </w:p>
    <w:p w14:paraId="240B36C4">
      <w:pPr>
        <w:spacing w:line="540" w:lineRule="exact"/>
        <w:jc w:val="center"/>
        <w:rPr>
          <w:rFonts w:eastAsia="仿宋_GB2312"/>
          <w:kern w:val="0"/>
          <w:sz w:val="36"/>
          <w:szCs w:val="36"/>
        </w:rPr>
      </w:pPr>
      <w:r>
        <w:rPr>
          <w:rFonts w:eastAsia="仿宋_GB2312"/>
          <w:kern w:val="0"/>
          <w:sz w:val="36"/>
          <w:szCs w:val="36"/>
        </w:rPr>
        <w:t>（2024年度）</w:t>
      </w:r>
    </w:p>
    <w:p w14:paraId="1673F08F">
      <w:pPr>
        <w:spacing w:line="540" w:lineRule="exact"/>
        <w:jc w:val="center"/>
        <w:rPr>
          <w:rFonts w:eastAsia="仿宋_GB2312"/>
          <w:kern w:val="0"/>
          <w:sz w:val="30"/>
          <w:szCs w:val="30"/>
        </w:rPr>
      </w:pPr>
    </w:p>
    <w:p w14:paraId="45D944B6">
      <w:pPr>
        <w:spacing w:line="540" w:lineRule="exact"/>
        <w:jc w:val="center"/>
        <w:rPr>
          <w:rFonts w:eastAsia="仿宋_GB2312"/>
          <w:kern w:val="0"/>
          <w:sz w:val="30"/>
          <w:szCs w:val="30"/>
        </w:rPr>
      </w:pPr>
    </w:p>
    <w:p w14:paraId="16FC44A4">
      <w:pPr>
        <w:spacing w:line="540" w:lineRule="exact"/>
        <w:jc w:val="center"/>
        <w:rPr>
          <w:rFonts w:eastAsia="仿宋_GB2312"/>
          <w:kern w:val="0"/>
          <w:sz w:val="30"/>
          <w:szCs w:val="30"/>
        </w:rPr>
      </w:pPr>
    </w:p>
    <w:p w14:paraId="2D9799F6">
      <w:pPr>
        <w:pStyle w:val="10"/>
        <w:rPr>
          <w:rFonts w:ascii="Times New Roman" w:hAnsi="Times New Roman"/>
        </w:rPr>
      </w:pPr>
    </w:p>
    <w:p w14:paraId="7581BF97">
      <w:pPr>
        <w:spacing w:line="540" w:lineRule="exact"/>
        <w:jc w:val="center"/>
        <w:rPr>
          <w:rFonts w:eastAsia="仿宋_GB2312"/>
          <w:kern w:val="0"/>
          <w:sz w:val="30"/>
          <w:szCs w:val="30"/>
        </w:rPr>
      </w:pPr>
    </w:p>
    <w:p w14:paraId="739D7573">
      <w:pPr>
        <w:spacing w:line="540" w:lineRule="exact"/>
        <w:rPr>
          <w:rFonts w:eastAsia="仿宋_GB2312"/>
          <w:kern w:val="0"/>
          <w:sz w:val="30"/>
          <w:szCs w:val="30"/>
        </w:rPr>
      </w:pPr>
    </w:p>
    <w:p w14:paraId="68C236F7">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城市学前教育幼儿资助伙食、取暖费、幼儿资助公用经费</w:t>
      </w:r>
    </w:p>
    <w:p w14:paraId="4B263872">
      <w:pPr>
        <w:spacing w:line="700" w:lineRule="exact"/>
        <w:ind w:left="3236" w:leftChars="684" w:hanging="1800" w:hangingChars="5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霍尔果斯市第三幼儿园</w:t>
      </w:r>
    </w:p>
    <w:p w14:paraId="5A21D084">
      <w:pPr>
        <w:spacing w:line="700" w:lineRule="exact"/>
        <w:ind w:left="3236" w:leftChars="684" w:hanging="1800" w:hangingChars="5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霍尔果斯市第三幼儿园</w:t>
      </w:r>
    </w:p>
    <w:p w14:paraId="39274A64">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李思琪</w:t>
      </w:r>
    </w:p>
    <w:p w14:paraId="056A7113">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2025</w:t>
      </w:r>
      <w:r>
        <w:rPr>
          <w:rFonts w:eastAsia="仿宋_GB2312"/>
          <w:kern w:val="0"/>
          <w:sz w:val="36"/>
          <w:szCs w:val="36"/>
        </w:rPr>
        <w:t>年</w:t>
      </w:r>
      <w:r>
        <w:rPr>
          <w:rFonts w:hint="eastAsia" w:eastAsia="仿宋_GB2312"/>
          <w:kern w:val="0"/>
          <w:sz w:val="36"/>
          <w:szCs w:val="36"/>
        </w:rPr>
        <w:t>5</w:t>
      </w:r>
      <w:r>
        <w:rPr>
          <w:rFonts w:eastAsia="仿宋_GB2312"/>
          <w:kern w:val="0"/>
          <w:sz w:val="36"/>
          <w:szCs w:val="36"/>
        </w:rPr>
        <w:t>月</w:t>
      </w:r>
      <w:r>
        <w:rPr>
          <w:rFonts w:hint="eastAsia" w:eastAsia="仿宋_GB2312"/>
          <w:kern w:val="0"/>
          <w:sz w:val="36"/>
          <w:szCs w:val="36"/>
        </w:rPr>
        <w:t>15</w:t>
      </w:r>
      <w:r>
        <w:rPr>
          <w:rFonts w:eastAsia="仿宋_GB2312"/>
          <w:kern w:val="0"/>
          <w:sz w:val="36"/>
          <w:szCs w:val="36"/>
        </w:rPr>
        <w:t>日</w:t>
      </w:r>
    </w:p>
    <w:p w14:paraId="42FBDE83">
      <w:pPr>
        <w:spacing w:line="540" w:lineRule="exact"/>
        <w:rPr>
          <w:rStyle w:val="16"/>
          <w:rFonts w:eastAsia="黑体"/>
          <w:b w:val="0"/>
          <w:spacing w:val="-4"/>
          <w:sz w:val="32"/>
          <w:szCs w:val="32"/>
        </w:rPr>
      </w:pPr>
    </w:p>
    <w:p w14:paraId="47BC41F1">
      <w:pPr>
        <w:spacing w:line="540" w:lineRule="exact"/>
        <w:ind w:firstLine="640"/>
        <w:rPr>
          <w:rStyle w:val="16"/>
          <w:rFonts w:eastAsia="黑体"/>
          <w:b w:val="0"/>
          <w:spacing w:val="-4"/>
          <w:sz w:val="32"/>
          <w:szCs w:val="32"/>
        </w:rPr>
      </w:pPr>
    </w:p>
    <w:p w14:paraId="73D9024A">
      <w:pPr>
        <w:spacing w:line="540" w:lineRule="exact"/>
        <w:rPr>
          <w:rStyle w:val="16"/>
          <w:rFonts w:eastAsia="黑体"/>
          <w:b w:val="0"/>
          <w:spacing w:val="-4"/>
          <w:sz w:val="32"/>
          <w:szCs w:val="32"/>
        </w:rPr>
      </w:pPr>
    </w:p>
    <w:p w14:paraId="52956C74">
      <w:pPr>
        <w:spacing w:line="540" w:lineRule="exact"/>
        <w:rPr>
          <w:rStyle w:val="16"/>
          <w:rFonts w:eastAsia="黑体"/>
          <w:b w:val="0"/>
          <w:spacing w:val="-4"/>
          <w:sz w:val="32"/>
          <w:szCs w:val="32"/>
        </w:rPr>
      </w:pPr>
    </w:p>
    <w:p w14:paraId="509BF5FB">
      <w:pPr>
        <w:spacing w:line="540" w:lineRule="exact"/>
        <w:rPr>
          <w:rStyle w:val="16"/>
          <w:rFonts w:eastAsia="黑体"/>
          <w:b w:val="0"/>
          <w:spacing w:val="-4"/>
          <w:sz w:val="32"/>
          <w:szCs w:val="32"/>
        </w:rPr>
      </w:pPr>
    </w:p>
    <w:p w14:paraId="1D886A03">
      <w:pPr>
        <w:spacing w:line="560" w:lineRule="exact"/>
        <w:ind w:firstLine="640" w:firstLineChars="200"/>
        <w:rPr>
          <w:rFonts w:eastAsia="黑体"/>
          <w:bCs/>
          <w:sz w:val="32"/>
          <w:szCs w:val="32"/>
        </w:rPr>
      </w:pPr>
      <w:r>
        <w:rPr>
          <w:rFonts w:eastAsia="黑体"/>
          <w:bCs/>
          <w:sz w:val="32"/>
          <w:szCs w:val="32"/>
        </w:rPr>
        <w:t>一、基本情况</w:t>
      </w:r>
    </w:p>
    <w:p w14:paraId="471A1CF1">
      <w:pPr>
        <w:spacing w:line="560" w:lineRule="exact"/>
        <w:ind w:firstLine="643" w:firstLineChars="200"/>
        <w:rPr>
          <w:rFonts w:eastAsia="楷体_GB2312"/>
          <w:b/>
          <w:bCs/>
          <w:sz w:val="32"/>
          <w:szCs w:val="32"/>
        </w:rPr>
      </w:pPr>
      <w:r>
        <w:rPr>
          <w:rFonts w:eastAsia="楷体_GB2312"/>
          <w:b/>
          <w:bCs/>
          <w:sz w:val="32"/>
          <w:szCs w:val="32"/>
        </w:rPr>
        <w:t>（一）项目概况</w:t>
      </w:r>
    </w:p>
    <w:p w14:paraId="3F3D1E03">
      <w:pPr>
        <w:spacing w:line="560" w:lineRule="exact"/>
        <w:ind w:firstLine="643" w:firstLineChars="200"/>
        <w:rPr>
          <w:rFonts w:eastAsia="仿宋_GB2312"/>
          <w:b/>
          <w:bCs/>
          <w:sz w:val="32"/>
          <w:szCs w:val="32"/>
        </w:rPr>
      </w:pPr>
      <w:r>
        <w:rPr>
          <w:rFonts w:eastAsia="仿宋_GB2312"/>
          <w:b/>
          <w:bCs/>
          <w:sz w:val="32"/>
          <w:szCs w:val="32"/>
        </w:rPr>
        <w:t>1.项目背景</w:t>
      </w:r>
    </w:p>
    <w:p w14:paraId="13F8AF3E">
      <w:pPr>
        <w:pStyle w:val="10"/>
        <w:spacing w:before="0" w:after="0" w:line="560" w:lineRule="exact"/>
        <w:ind w:firstLine="600" w:firstLineChars="200"/>
        <w:jc w:val="both"/>
        <w:rPr>
          <w:rFonts w:ascii="Times New Roman" w:hAnsi="Times New Roman" w:eastAsia="仿宋_GB2312"/>
          <w:b w:val="0"/>
          <w:bCs w:val="0"/>
          <w:sz w:val="30"/>
          <w:szCs w:val="30"/>
        </w:rPr>
      </w:pPr>
      <w:r>
        <w:rPr>
          <w:rFonts w:ascii="Times New Roman" w:hAnsi="Times New Roman" w:eastAsia="仿宋_GB2312"/>
          <w:b w:val="0"/>
          <w:bCs w:val="0"/>
          <w:sz w:val="30"/>
          <w:szCs w:val="30"/>
        </w:rPr>
        <w:t>根据中央、自治区公用经费的相关要求，我</w:t>
      </w:r>
      <w:r>
        <w:rPr>
          <w:rFonts w:hint="eastAsia" w:ascii="Times New Roman" w:hAnsi="Times New Roman" w:eastAsia="仿宋_GB2312"/>
          <w:b w:val="0"/>
          <w:bCs w:val="0"/>
          <w:sz w:val="30"/>
          <w:szCs w:val="30"/>
        </w:rPr>
        <w:t>园</w:t>
      </w:r>
      <w:r>
        <w:rPr>
          <w:rFonts w:ascii="Times New Roman" w:hAnsi="Times New Roman" w:eastAsia="仿宋_GB2312"/>
          <w:b w:val="0"/>
          <w:bCs w:val="0"/>
          <w:sz w:val="30"/>
          <w:szCs w:val="30"/>
        </w:rPr>
        <w:t>有序开展</w:t>
      </w:r>
      <w:r>
        <w:rPr>
          <w:rFonts w:hint="eastAsia" w:ascii="Times New Roman" w:hAnsi="Times New Roman" w:eastAsia="仿宋_GB2312"/>
          <w:b w:val="0"/>
          <w:bCs w:val="0"/>
          <w:sz w:val="30"/>
          <w:szCs w:val="30"/>
        </w:rPr>
        <w:t>园</w:t>
      </w:r>
      <w:r>
        <w:rPr>
          <w:rFonts w:ascii="Times New Roman" w:hAnsi="Times New Roman" w:eastAsia="仿宋_GB2312"/>
          <w:b w:val="0"/>
          <w:bCs w:val="0"/>
          <w:sz w:val="30"/>
          <w:szCs w:val="30"/>
        </w:rPr>
        <w:t>舍维修、零星工程维修及时采购办公用品</w:t>
      </w:r>
      <w:r>
        <w:rPr>
          <w:rFonts w:hint="eastAsia" w:ascii="Times New Roman" w:hAnsi="Times New Roman" w:eastAsia="仿宋_GB2312"/>
          <w:b w:val="0"/>
          <w:bCs w:val="0"/>
          <w:sz w:val="30"/>
          <w:szCs w:val="30"/>
        </w:rPr>
        <w:t>、幼儿伙食、幼儿取暖费</w:t>
      </w:r>
      <w:r>
        <w:rPr>
          <w:rFonts w:ascii="Times New Roman" w:hAnsi="Times New Roman" w:eastAsia="仿宋_GB2312"/>
          <w:b w:val="0"/>
          <w:bCs w:val="0"/>
          <w:sz w:val="30"/>
          <w:szCs w:val="30"/>
        </w:rPr>
        <w:t>等，进一步改善学校办学条件，保障学校教育教学工作正常进行。 立项依据：</w:t>
      </w:r>
      <w:r>
        <w:rPr>
          <w:rFonts w:hint="eastAsia" w:ascii="Times New Roman" w:hAnsi="Times New Roman" w:eastAsia="仿宋_GB2312"/>
          <w:b w:val="0"/>
          <w:bCs w:val="0"/>
          <w:sz w:val="30"/>
          <w:szCs w:val="30"/>
        </w:rPr>
        <w:t>为实现以习近平同志为核心的党中央确定的社会稳定和长治久安总目标，全面落实自治区第九次党代会关于“教育惠民”工程重大决策部署，全面普及学前教育，规范全市学前教育保障机制经费管理，提高资金使用效益，根据《自治区农村学前三年免费教育经费保障机制管理办法》(新财教[2017]19号)、《关于建立自治区公办普通高中和城市学前生均公用经费财政拨款制度的通知》(新财教[2020]69号)和有关法律制度规定，制定本办法。关于印发“霍尔果斯市学前教育经费投入保障机制管理办法”保障学前三年教育、适龄幼儿入学率显著提升、保障幼儿园的正常运转 。</w:t>
      </w:r>
    </w:p>
    <w:p w14:paraId="7AB1D43D">
      <w:pPr>
        <w:pStyle w:val="10"/>
        <w:spacing w:before="0" w:after="0" w:line="560" w:lineRule="exact"/>
        <w:ind w:firstLine="643" w:firstLineChars="200"/>
        <w:jc w:val="both"/>
        <w:rPr>
          <w:rFonts w:ascii="Times New Roman" w:hAnsi="Times New Roman" w:eastAsia="仿宋_GB2312"/>
          <w:b w:val="0"/>
          <w:bCs w:val="0"/>
          <w:kern w:val="2"/>
        </w:rPr>
      </w:pPr>
      <w:r>
        <w:rPr>
          <w:rFonts w:ascii="Times New Roman" w:hAnsi="Times New Roman" w:eastAsia="仿宋_GB2312"/>
          <w:kern w:val="2"/>
        </w:rPr>
        <w:t>2.项目主要内容：</w:t>
      </w:r>
    </w:p>
    <w:p w14:paraId="0C26ACC6">
      <w:pPr>
        <w:spacing w:line="560" w:lineRule="exact"/>
        <w:ind w:firstLine="600" w:firstLineChars="200"/>
        <w:rPr>
          <w:rFonts w:eastAsia="仿宋_GB2312"/>
          <w:sz w:val="30"/>
          <w:szCs w:val="30"/>
        </w:rPr>
      </w:pPr>
      <w:r>
        <w:rPr>
          <w:rFonts w:eastAsia="仿宋_GB2312"/>
          <w:sz w:val="30"/>
          <w:szCs w:val="30"/>
        </w:rPr>
        <w:t>项目主要内容：</w:t>
      </w:r>
      <w:r>
        <w:rPr>
          <w:rFonts w:hint="eastAsia" w:eastAsia="仿宋_GB2312"/>
          <w:kern w:val="28"/>
          <w:sz w:val="30"/>
          <w:szCs w:val="30"/>
        </w:rPr>
        <w:t>为实现以习近平同志为核心的党中央确定的社会稳定和长治久安总目标，全面落实自治区第九次党代会关于“教育惠民”工程重大决策部署，全面普及学前教育，规范全市学前教育保障机制经费管理，提高资金使用效益</w:t>
      </w:r>
      <w:r>
        <w:rPr>
          <w:rFonts w:eastAsia="仿宋_GB2312"/>
          <w:kern w:val="28"/>
          <w:sz w:val="30"/>
          <w:szCs w:val="30"/>
        </w:rPr>
        <w:t>。</w:t>
      </w:r>
      <w:r>
        <w:rPr>
          <w:rFonts w:hint="eastAsia" w:eastAsia="仿宋_GB2312"/>
          <w:kern w:val="28"/>
          <w:sz w:val="30"/>
          <w:szCs w:val="30"/>
        </w:rPr>
        <w:t>幼儿资助伙食、取暖费、</w:t>
      </w:r>
      <w:r>
        <w:rPr>
          <w:rFonts w:eastAsia="仿宋_GB2312"/>
          <w:sz w:val="30"/>
          <w:szCs w:val="30"/>
        </w:rPr>
        <w:t>公用经费补助标准不低于国家标准，享受学生数</w:t>
      </w:r>
      <w:r>
        <w:rPr>
          <w:rFonts w:hint="eastAsia" w:eastAsia="仿宋_GB2312"/>
          <w:sz w:val="30"/>
          <w:szCs w:val="30"/>
        </w:rPr>
        <w:t>294</w:t>
      </w:r>
      <w:r>
        <w:rPr>
          <w:rFonts w:eastAsia="仿宋_GB2312"/>
          <w:sz w:val="30"/>
          <w:szCs w:val="30"/>
        </w:rPr>
        <w:t>人。为</w:t>
      </w:r>
      <w:r>
        <w:rPr>
          <w:rFonts w:hint="eastAsia" w:eastAsia="仿宋_GB2312"/>
          <w:sz w:val="30"/>
          <w:szCs w:val="30"/>
        </w:rPr>
        <w:t>幼儿园</w:t>
      </w:r>
      <w:r>
        <w:rPr>
          <w:rFonts w:eastAsia="仿宋_GB2312"/>
          <w:sz w:val="30"/>
          <w:szCs w:val="30"/>
        </w:rPr>
        <w:t>正常运转、完成教育教学活动和其他日常工作提供保障。</w:t>
      </w:r>
    </w:p>
    <w:p w14:paraId="09023479">
      <w:pPr>
        <w:spacing w:line="560" w:lineRule="exact"/>
        <w:ind w:firstLine="640" w:firstLineChars="200"/>
        <w:rPr>
          <w:rFonts w:eastAsia="黑体"/>
          <w:bCs/>
        </w:rPr>
      </w:pPr>
      <w:r>
        <w:rPr>
          <w:rFonts w:hint="eastAsia" w:eastAsia="仿宋_GB2312"/>
          <w:sz w:val="32"/>
          <w:szCs w:val="32"/>
          <w:highlight w:val="none"/>
          <w:lang w:val="en-US" w:eastAsia="zh-CN"/>
        </w:rPr>
        <w:t xml:space="preserve">项目实施情况：保障学前三年教育、适龄幼儿入学率显著提升、保障幼儿园的正常运转、财政拨款63.80万元资助。为学前三年教育正常运转、完成教育教学活动和其他日常工作提供保障。 </w:t>
      </w:r>
      <w:r>
        <w:rPr>
          <w:rFonts w:hint="eastAsia" w:eastAsia="仿宋_GB2312"/>
          <w:sz w:val="32"/>
          <w:szCs w:val="32"/>
        </w:rPr>
        <w:t xml:space="preserve"> </w:t>
      </w:r>
    </w:p>
    <w:p w14:paraId="7DF7F2DB">
      <w:pPr>
        <w:spacing w:line="560" w:lineRule="exact"/>
        <w:ind w:firstLine="640" w:firstLineChars="200"/>
        <w:rPr>
          <w:rFonts w:eastAsia="仿宋_GB2312"/>
          <w:color w:val="FF0000"/>
          <w:sz w:val="30"/>
          <w:szCs w:val="30"/>
        </w:rPr>
      </w:pPr>
      <w:r>
        <w:rPr>
          <w:rFonts w:eastAsia="仿宋_GB2312"/>
          <w:sz w:val="32"/>
          <w:szCs w:val="32"/>
        </w:rPr>
        <w:t>2</w:t>
      </w:r>
      <w:r>
        <w:rPr>
          <w:rFonts w:eastAsia="仿宋_GB2312"/>
          <w:b/>
          <w:bCs/>
          <w:sz w:val="32"/>
          <w:szCs w:val="32"/>
        </w:rPr>
        <w:t>.</w:t>
      </w:r>
      <w:r>
        <w:rPr>
          <w:rFonts w:eastAsia="仿宋_GB2312"/>
          <w:sz w:val="32"/>
          <w:szCs w:val="32"/>
        </w:rPr>
        <w:t>阶段性目标</w:t>
      </w:r>
    </w:p>
    <w:p w14:paraId="7713C7C9">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在2024年7月完成上半学期的幼儿伙食费支出，完成50%公用经费的支出；</w:t>
      </w:r>
    </w:p>
    <w:p w14:paraId="2DEA12F0">
      <w:pPr>
        <w:spacing w:line="560" w:lineRule="exact"/>
        <w:ind w:firstLine="640" w:firstLineChars="200"/>
        <w:rPr>
          <w:rFonts w:ascii="仿宋_GB2312" w:hAnsi="仿宋_GB2312" w:eastAsia="仿宋_GB2312" w:cs="仿宋_GB2312"/>
          <w:kern w:val="0"/>
          <w:sz w:val="32"/>
          <w:szCs w:val="32"/>
          <w:highlight w:val="none"/>
        </w:rPr>
      </w:pPr>
      <w:r>
        <w:rPr>
          <w:rFonts w:hint="eastAsia" w:eastAsia="仿宋_GB2312"/>
          <w:sz w:val="32"/>
          <w:szCs w:val="32"/>
          <w:highlight w:val="none"/>
        </w:rPr>
        <w:t>在2024年12月底支付完成城市学前教育幼儿</w:t>
      </w:r>
      <w:r>
        <w:rPr>
          <w:rFonts w:hint="eastAsia" w:eastAsia="仿宋_GB2312"/>
          <w:kern w:val="0"/>
          <w:sz w:val="36"/>
          <w:szCs w:val="36"/>
          <w:highlight w:val="none"/>
        </w:rPr>
        <w:t>资助伙食、取暖费、幼儿资助公用经费</w:t>
      </w:r>
      <w:r>
        <w:rPr>
          <w:rFonts w:hint="eastAsia" w:eastAsia="仿宋_GB2312"/>
          <w:sz w:val="32"/>
          <w:szCs w:val="32"/>
          <w:highlight w:val="none"/>
        </w:rPr>
        <w:t>63.8万元</w:t>
      </w:r>
      <w:r>
        <w:rPr>
          <w:rFonts w:hint="eastAsia" w:ascii="仿宋_GB2312" w:hAnsi="仿宋_GB2312" w:eastAsia="仿宋_GB2312" w:cs="仿宋_GB2312"/>
          <w:kern w:val="0"/>
          <w:sz w:val="32"/>
          <w:szCs w:val="32"/>
          <w:highlight w:val="none"/>
        </w:rPr>
        <w:t>。</w:t>
      </w:r>
    </w:p>
    <w:p w14:paraId="088D277C">
      <w:pPr>
        <w:spacing w:line="560" w:lineRule="exact"/>
        <w:ind w:firstLine="640" w:firstLineChars="200"/>
        <w:rPr>
          <w:rFonts w:eastAsia="黑体"/>
          <w:sz w:val="32"/>
          <w:szCs w:val="32"/>
        </w:rPr>
      </w:pPr>
      <w:r>
        <w:rPr>
          <w:rFonts w:eastAsia="黑体"/>
          <w:sz w:val="32"/>
          <w:szCs w:val="32"/>
        </w:rPr>
        <w:t>二、绩效评价工作开展情况</w:t>
      </w:r>
    </w:p>
    <w:p w14:paraId="12CC636B">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0763765A">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1.绩效评价完整性</w:t>
      </w:r>
    </w:p>
    <w:p w14:paraId="65F54E0C">
      <w:pPr>
        <w:spacing w:line="560" w:lineRule="exact"/>
        <w:ind w:firstLine="640" w:firstLineChars="20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0BDAF3CC">
      <w:pPr>
        <w:spacing w:line="560" w:lineRule="exact"/>
        <w:ind w:firstLine="640" w:firstLineChars="200"/>
        <w:rPr>
          <w:rFonts w:eastAsia="仿宋_GB2312"/>
          <w:sz w:val="32"/>
          <w:szCs w:val="32"/>
        </w:rPr>
      </w:pPr>
      <w:r>
        <w:rPr>
          <w:rFonts w:eastAsia="仿宋_GB2312"/>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2F5BFB2C">
      <w:pPr>
        <w:spacing w:line="560" w:lineRule="exact"/>
        <w:ind w:firstLine="640" w:firstLineChars="200"/>
        <w:rPr>
          <w:rFonts w:eastAsia="仿宋_GB2312"/>
          <w:sz w:val="32"/>
          <w:szCs w:val="32"/>
        </w:rPr>
      </w:pPr>
      <w:r>
        <w:rPr>
          <w:rFonts w:eastAsia="仿宋_GB2312"/>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11D8E74">
      <w:pPr>
        <w:spacing w:line="560" w:lineRule="exact"/>
        <w:ind w:firstLine="640" w:firstLineChars="200"/>
        <w:rPr>
          <w:rFonts w:eastAsia="仿宋_GB2312"/>
          <w:sz w:val="32"/>
          <w:szCs w:val="32"/>
        </w:rPr>
      </w:pPr>
      <w:r>
        <w:rPr>
          <w:rFonts w:eastAsia="仿宋_GB2312"/>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C3C278C">
      <w:pPr>
        <w:spacing w:line="560" w:lineRule="exact"/>
        <w:ind w:firstLine="640" w:firstLineChars="20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0C2597D">
      <w:pPr>
        <w:spacing w:line="560" w:lineRule="exact"/>
        <w:ind w:firstLine="640" w:firstLineChars="200"/>
        <w:rPr>
          <w:rFonts w:eastAsia="仿宋_GB2312"/>
          <w:sz w:val="32"/>
          <w:szCs w:val="32"/>
        </w:rPr>
      </w:pPr>
      <w:r>
        <w:rPr>
          <w:rFonts w:eastAsia="仿宋_GB2312"/>
          <w:sz w:val="32"/>
          <w:szCs w:val="32"/>
        </w:rPr>
        <w:t>2.绩效评价的目的</w:t>
      </w:r>
    </w:p>
    <w:p w14:paraId="1E4E7CE8">
      <w:pPr>
        <w:spacing w:line="560" w:lineRule="exact"/>
        <w:ind w:firstLine="640" w:firstLineChars="200"/>
        <w:rPr>
          <w:rFonts w:eastAsia="仿宋_GB2312"/>
          <w:sz w:val="32"/>
          <w:szCs w:val="32"/>
        </w:rPr>
      </w:pPr>
      <w:r>
        <w:rPr>
          <w:rFonts w:eastAsia="仿宋_GB2312"/>
          <w:sz w:val="32"/>
          <w:szCs w:val="32"/>
        </w:rPr>
        <w:t>（1）评估项目实施效果</w:t>
      </w:r>
    </w:p>
    <w:p w14:paraId="22B5EF45">
      <w:pPr>
        <w:spacing w:line="560" w:lineRule="exact"/>
        <w:ind w:firstLine="640" w:firstLineChars="200"/>
        <w:rPr>
          <w:rFonts w:eastAsia="仿宋_GB2312"/>
          <w:sz w:val="32"/>
          <w:szCs w:val="32"/>
        </w:rPr>
      </w:pPr>
      <w:r>
        <w:rPr>
          <w:rFonts w:eastAsia="仿宋_GB2312"/>
          <w:sz w:val="32"/>
          <w:szCs w:val="32"/>
        </w:rPr>
        <w:t>通过对项目预算执行情况及各项绩效目标达成程度的系统性分析，全面、客观地评估项目在预定周期内的实施效果，包括社会效益等多维度指标，为项目后续的改进与优化提供科学依据。</w:t>
      </w:r>
    </w:p>
    <w:p w14:paraId="76649BD5">
      <w:pPr>
        <w:spacing w:line="560" w:lineRule="exact"/>
        <w:ind w:firstLine="640" w:firstLineChars="200"/>
        <w:rPr>
          <w:rFonts w:eastAsia="仿宋_GB2312"/>
          <w:sz w:val="32"/>
          <w:szCs w:val="32"/>
        </w:rPr>
      </w:pPr>
      <w:r>
        <w:rPr>
          <w:rFonts w:eastAsia="仿宋_GB2312"/>
          <w:sz w:val="32"/>
          <w:szCs w:val="32"/>
        </w:rPr>
        <w:t>（2）提升资源利用效率</w:t>
      </w:r>
    </w:p>
    <w:p w14:paraId="6ED82C4F">
      <w:pPr>
        <w:spacing w:line="560" w:lineRule="exact"/>
        <w:ind w:firstLine="640" w:firstLineChars="200"/>
        <w:rPr>
          <w:rFonts w:eastAsia="仿宋_GB2312"/>
          <w:sz w:val="32"/>
          <w:szCs w:val="32"/>
        </w:rPr>
      </w:pPr>
      <w:r>
        <w:rPr>
          <w:rFonts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BC168B4">
      <w:pPr>
        <w:spacing w:line="560" w:lineRule="exact"/>
        <w:ind w:firstLine="640" w:firstLineChars="200"/>
        <w:rPr>
          <w:rFonts w:eastAsia="仿宋_GB2312"/>
          <w:sz w:val="32"/>
          <w:szCs w:val="32"/>
        </w:rPr>
      </w:pPr>
      <w:r>
        <w:rPr>
          <w:rFonts w:eastAsia="仿宋_GB2312"/>
          <w:sz w:val="32"/>
          <w:szCs w:val="32"/>
        </w:rPr>
        <w:t>（3）强化项目管理责任</w:t>
      </w:r>
    </w:p>
    <w:p w14:paraId="64B005AC">
      <w:pPr>
        <w:spacing w:line="560" w:lineRule="exact"/>
        <w:ind w:firstLine="640" w:firstLineChars="200"/>
        <w:rPr>
          <w:rFonts w:eastAsia="仿宋_GB2312"/>
          <w:sz w:val="32"/>
          <w:szCs w:val="32"/>
        </w:rPr>
      </w:pPr>
      <w:r>
        <w:rPr>
          <w:rFonts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298FB706">
      <w:pPr>
        <w:spacing w:line="560" w:lineRule="exact"/>
        <w:ind w:firstLine="640" w:firstLineChars="200"/>
        <w:rPr>
          <w:rFonts w:eastAsia="仿宋_GB2312"/>
          <w:sz w:val="32"/>
          <w:szCs w:val="32"/>
        </w:rPr>
      </w:pPr>
      <w:r>
        <w:rPr>
          <w:rFonts w:eastAsia="仿宋_GB2312"/>
          <w:sz w:val="32"/>
          <w:szCs w:val="32"/>
        </w:rPr>
        <w:t>（4）为决策提供支持</w:t>
      </w:r>
    </w:p>
    <w:p w14:paraId="04CB02DD">
      <w:pPr>
        <w:spacing w:line="560" w:lineRule="exact"/>
        <w:ind w:firstLine="640" w:firstLineChars="200"/>
        <w:rPr>
          <w:rFonts w:eastAsia="仿宋_GB2312"/>
          <w:sz w:val="32"/>
          <w:szCs w:val="32"/>
        </w:rPr>
      </w:pPr>
      <w:r>
        <w:rPr>
          <w:rFonts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2D189117">
      <w:pPr>
        <w:spacing w:line="560" w:lineRule="exact"/>
        <w:ind w:firstLine="640" w:firstLineChars="200"/>
        <w:rPr>
          <w:rFonts w:eastAsia="仿宋_GB2312"/>
          <w:sz w:val="32"/>
          <w:szCs w:val="32"/>
        </w:rPr>
      </w:pPr>
      <w:r>
        <w:rPr>
          <w:rFonts w:eastAsia="仿宋_GB2312"/>
          <w:sz w:val="32"/>
          <w:szCs w:val="32"/>
        </w:rPr>
        <w:t>（5）促进项目持续改进</w:t>
      </w:r>
    </w:p>
    <w:p w14:paraId="45654EE3">
      <w:pPr>
        <w:spacing w:line="560" w:lineRule="exact"/>
        <w:ind w:firstLine="640" w:firstLineChars="200"/>
        <w:rPr>
          <w:rFonts w:eastAsia="仿宋_GB2312"/>
          <w:sz w:val="32"/>
          <w:szCs w:val="32"/>
        </w:rPr>
      </w:pPr>
      <w:r>
        <w:rPr>
          <w:rFonts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F063006">
      <w:pPr>
        <w:spacing w:line="560" w:lineRule="exact"/>
        <w:ind w:firstLine="640" w:firstLineChars="200"/>
        <w:rPr>
          <w:rFonts w:eastAsia="方正仿宋_GBK"/>
          <w:sz w:val="32"/>
          <w:szCs w:val="32"/>
        </w:rPr>
      </w:pPr>
      <w:r>
        <w:rPr>
          <w:rFonts w:eastAsia="仿宋_GB2312"/>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33445CFE">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14:paraId="0DBD8383">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本项目预算绩效评价报告的评价对象是</w:t>
      </w:r>
      <w:r>
        <w:rPr>
          <w:rFonts w:hint="eastAsia" w:ascii="Times New Roman" w:hAnsi="Times New Roman" w:eastAsia="仿宋_GB2312"/>
          <w:b w:val="0"/>
          <w:bCs w:val="0"/>
        </w:rPr>
        <w:t>城市学前教育幼儿资助伙食、取暖费、幼儿资助</w:t>
      </w:r>
      <w:r>
        <w:rPr>
          <w:rFonts w:ascii="Times New Roman" w:hAnsi="Times New Roman" w:eastAsia="仿宋_GB2312"/>
          <w:b w:val="0"/>
          <w:bCs w:val="0"/>
        </w:rPr>
        <w:t>公用经费</w:t>
      </w:r>
      <w:r>
        <w:rPr>
          <w:rFonts w:hint="eastAsia" w:ascii="Times New Roman" w:hAnsi="Times New Roman" w:eastAsia="仿宋_GB2312"/>
          <w:b w:val="0"/>
          <w:bCs w:val="0"/>
        </w:rPr>
        <w:t>项目</w:t>
      </w:r>
      <w:r>
        <w:rPr>
          <w:rFonts w:ascii="Times New Roman" w:hAnsi="Times New Roman" w:eastAsia="仿宋_GB2312"/>
          <w:b w:val="0"/>
          <w:bCs w:val="0"/>
        </w:rPr>
        <w:t>及其预算执行情况。该项目由</w:t>
      </w:r>
      <w:r>
        <w:rPr>
          <w:rFonts w:hint="eastAsia" w:ascii="Times New Roman" w:hAnsi="Times New Roman" w:eastAsia="仿宋_GB2312"/>
          <w:b w:val="0"/>
          <w:bCs w:val="0"/>
        </w:rPr>
        <w:t>霍尔果斯市第三幼儿园</w:t>
      </w:r>
      <w:r>
        <w:rPr>
          <w:rFonts w:ascii="Times New Roman" w:hAnsi="Times New Roman" w:eastAsia="仿宋_GB2312"/>
          <w:b w:val="0"/>
          <w:bCs w:val="0"/>
        </w:rPr>
        <w:t>负责实施，落实</w:t>
      </w:r>
      <w:r>
        <w:rPr>
          <w:rFonts w:hint="eastAsia" w:ascii="Times New Roman" w:hAnsi="Times New Roman" w:eastAsia="仿宋_GB2312"/>
          <w:b w:val="0"/>
          <w:bCs w:val="0"/>
          <w:lang w:eastAsia="zh-CN"/>
        </w:rPr>
        <w:t>了</w:t>
      </w:r>
      <w:r>
        <w:rPr>
          <w:rFonts w:hint="eastAsia" w:ascii="Times New Roman" w:hAnsi="Times New Roman" w:eastAsia="仿宋_GB2312"/>
          <w:b w:val="0"/>
          <w:bCs w:val="0"/>
        </w:rPr>
        <w:t>城市学前教育幼儿资助伙食、取暖费、幼儿资助</w:t>
      </w:r>
      <w:r>
        <w:rPr>
          <w:rFonts w:ascii="Times New Roman" w:hAnsi="Times New Roman" w:eastAsia="仿宋_GB2312"/>
          <w:b w:val="0"/>
          <w:bCs w:val="0"/>
        </w:rPr>
        <w:t>公用经费补助政策。为</w:t>
      </w:r>
      <w:r>
        <w:rPr>
          <w:rFonts w:hint="eastAsia" w:ascii="Times New Roman" w:hAnsi="Times New Roman" w:eastAsia="仿宋_GB2312"/>
          <w:b w:val="0"/>
          <w:bCs w:val="0"/>
        </w:rPr>
        <w:t>学前三年教育</w:t>
      </w:r>
      <w:r>
        <w:rPr>
          <w:rFonts w:ascii="Times New Roman" w:hAnsi="Times New Roman" w:eastAsia="仿宋_GB2312"/>
          <w:b w:val="0"/>
          <w:bCs w:val="0"/>
        </w:rPr>
        <w:t>正常运转、完成教育教学活动和其他日常工作提供保障。项目预算涵盖从</w:t>
      </w:r>
      <w:r>
        <w:rPr>
          <w:rFonts w:hint="eastAsia" w:ascii="Times New Roman" w:hAnsi="Times New Roman" w:eastAsia="仿宋_GB2312"/>
          <w:b w:val="0"/>
          <w:bCs w:val="0"/>
        </w:rPr>
        <w:t>2024年3月1日</w:t>
      </w:r>
      <w:r>
        <w:rPr>
          <w:rFonts w:ascii="Times New Roman" w:hAnsi="Times New Roman" w:eastAsia="仿宋_GB2312"/>
          <w:b w:val="0"/>
          <w:bCs w:val="0"/>
        </w:rPr>
        <w:t>至</w:t>
      </w:r>
      <w:r>
        <w:rPr>
          <w:rFonts w:hint="eastAsia" w:ascii="Times New Roman" w:hAnsi="Times New Roman" w:eastAsia="仿宋_GB2312"/>
          <w:b w:val="0"/>
          <w:bCs w:val="0"/>
        </w:rPr>
        <w:t>2024年12月25日</w:t>
      </w:r>
      <w:r>
        <w:rPr>
          <w:rFonts w:ascii="Times New Roman" w:hAnsi="Times New Roman" w:eastAsia="仿宋_GB2312"/>
          <w:b w:val="0"/>
          <w:bCs w:val="0"/>
        </w:rPr>
        <w:t>的全部资金投入与支出，涉及资金总额为</w:t>
      </w:r>
      <w:r>
        <w:rPr>
          <w:rFonts w:hint="eastAsia" w:ascii="Times New Roman" w:hAnsi="Times New Roman" w:eastAsia="仿宋_GB2312"/>
          <w:b w:val="0"/>
          <w:bCs w:val="0"/>
        </w:rPr>
        <w:t>63.8</w:t>
      </w:r>
      <w:r>
        <w:rPr>
          <w:rFonts w:ascii="Times New Roman" w:hAnsi="Times New Roman" w:eastAsia="仿宋_GB2312"/>
          <w:b w:val="0"/>
          <w:bCs w:val="0"/>
        </w:rPr>
        <w:t>万元。</w:t>
      </w:r>
    </w:p>
    <w:p w14:paraId="6D65898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14:paraId="76D36942">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本项目预算绩效评价报告的评价范围广泛而全面，涵盖了从项目立项至评价时点期间的所有关键预算活动和财务流程。具体而言，评价范围包括但不限于以下几个方面：</w:t>
      </w:r>
    </w:p>
    <w:p w14:paraId="202FBDB5">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项目预算编制与执行：全面审视项目预算的编制依据、合理性、科学性以及实际执行情况，包括预算调整的原因和效果。</w:t>
      </w:r>
    </w:p>
    <w:p w14:paraId="291DD03A">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资金管理：深入分析项目资金的分配、使用和监管情况，确保资金使用的合规性、高效性和透明度。</w:t>
      </w:r>
    </w:p>
    <w:p w14:paraId="7F2E9089">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rPr>
        <w:t>项目实施进度与产出：评估项目是否按照既定计划顺利推进，各项任务是否按时完成，以及项目产出的数量、质量和时</w:t>
      </w:r>
      <w:r>
        <w:rPr>
          <w:rFonts w:ascii="Times New Roman" w:hAnsi="Times New Roman" w:eastAsia="仿宋_GB2312"/>
          <w:b w:val="0"/>
          <w:bCs w:val="0"/>
          <w:highlight w:val="none"/>
        </w:rPr>
        <w:t>效性是否符合预期。</w:t>
      </w:r>
    </w:p>
    <w:p w14:paraId="17980D86">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b w:val="0"/>
          <w:bCs w:val="0"/>
          <w:highlight w:val="none"/>
          <w:lang w:val="en-US"/>
        </w:rPr>
      </w:pPr>
      <w:r>
        <w:rPr>
          <w:rFonts w:ascii="Times New Roman" w:hAnsi="Times New Roman" w:eastAsia="仿宋_GB2312"/>
          <w:b w:val="0"/>
          <w:bCs w:val="0"/>
          <w:highlight w:val="none"/>
        </w:rPr>
        <w:t>社会影响：</w:t>
      </w:r>
      <w:r>
        <w:rPr>
          <w:rFonts w:hint="eastAsia" w:ascii="Times New Roman" w:hAnsi="Times New Roman" w:eastAsia="仿宋_GB2312"/>
          <w:b w:val="0"/>
          <w:bCs w:val="0"/>
          <w:highlight w:val="none"/>
          <w:lang w:eastAsia="zh-CN"/>
        </w:rPr>
        <w:t>公用经费用于幼儿园的日常运营、教学设施购置、教师培训等方面，有助于改善幼儿园的办学条件，提高教育教学质量，为社会培养更多高素质的学前教育人才，推动学前教育的发展。取暖费可以保障幼儿园室内温暖，为</w:t>
      </w:r>
      <w:r>
        <w:rPr>
          <w:rFonts w:hint="eastAsia" w:ascii="Times New Roman" w:hAnsi="Times New Roman" w:eastAsia="仿宋_GB2312"/>
          <w:b w:val="0"/>
          <w:bCs w:val="0"/>
          <w:highlight w:val="none"/>
          <w:lang w:val="en-US" w:eastAsia="zh-CN"/>
        </w:rPr>
        <w:t>幼儿</w:t>
      </w:r>
      <w:r>
        <w:rPr>
          <w:rFonts w:hint="eastAsia" w:ascii="Times New Roman" w:hAnsi="Times New Roman" w:eastAsia="仿宋_GB2312"/>
          <w:b w:val="0"/>
          <w:bCs w:val="0"/>
          <w:highlight w:val="none"/>
          <w:lang w:eastAsia="zh-CN"/>
        </w:rPr>
        <w:t>营造舒适的学习和生活环境，保障幼儿的身体健康。伙食费</w:t>
      </w:r>
      <w:r>
        <w:rPr>
          <w:rFonts w:hint="eastAsia" w:ascii="Times New Roman" w:hAnsi="Times New Roman" w:eastAsia="仿宋_GB2312"/>
          <w:b w:val="0"/>
          <w:bCs w:val="0"/>
          <w:highlight w:val="none"/>
          <w:lang w:val="en-US" w:eastAsia="zh-CN"/>
        </w:rPr>
        <w:t>支出</w:t>
      </w:r>
      <w:r>
        <w:rPr>
          <w:rFonts w:hint="eastAsia" w:ascii="Times New Roman" w:hAnsi="Times New Roman" w:eastAsia="仿宋_GB2312"/>
          <w:b w:val="0"/>
          <w:bCs w:val="0"/>
          <w:highlight w:val="none"/>
          <w:lang w:eastAsia="zh-CN"/>
        </w:rPr>
        <w:t>能让幼儿园为幼儿提供营养均衡的膳食，有助于幼儿身体和智力的发育。</w:t>
      </w:r>
    </w:p>
    <w:p w14:paraId="590D131F">
      <w:pPr>
        <w:spacing w:line="560" w:lineRule="exact"/>
        <w:ind w:firstLine="643" w:firstLineChars="200"/>
      </w:pPr>
      <w:r>
        <w:rPr>
          <w:rFonts w:eastAsia="楷体_GB2312"/>
          <w:b/>
          <w:bCs/>
          <w:sz w:val="32"/>
          <w:szCs w:val="32"/>
          <w:highlight w:val="none"/>
        </w:rPr>
        <w:t>（二）绩效评价原则、评价指标</w:t>
      </w:r>
      <w:r>
        <w:rPr>
          <w:rFonts w:eastAsia="楷体_GB2312"/>
          <w:b/>
          <w:bCs/>
          <w:sz w:val="32"/>
          <w:szCs w:val="32"/>
        </w:rPr>
        <w:t>体系（详情见表1）、评价方法、评价标准。</w:t>
      </w:r>
    </w:p>
    <w:p w14:paraId="51596C92">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ascii="Times New Roman" w:hAnsi="Times New Roman" w:eastAsia="仿宋_GB2312"/>
        </w:rPr>
        <w:t>.</w:t>
      </w:r>
      <w:r>
        <w:rPr>
          <w:rFonts w:ascii="Times New Roman" w:hAnsi="Times New Roman" w:eastAsia="仿宋_GB2312"/>
          <w:b w:val="0"/>
          <w:bCs w:val="0"/>
        </w:rPr>
        <w:t>绩效评价原则</w:t>
      </w:r>
    </w:p>
    <w:p w14:paraId="7A9226FC">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236BB998">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2FF07835">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6478D446">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353A43EC">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7F4A3B3A">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ascii="Times New Roman" w:hAnsi="Times New Roman" w:eastAsia="仿宋_GB2312"/>
        </w:rPr>
        <w:t>.</w:t>
      </w:r>
      <w:r>
        <w:rPr>
          <w:rFonts w:ascii="Times New Roman" w:hAnsi="Times New Roman" w:eastAsia="仿宋_GB2312"/>
          <w:b w:val="0"/>
          <w:bCs w:val="0"/>
        </w:rPr>
        <w:t>评价指标体系</w:t>
      </w:r>
    </w:p>
    <w:p w14:paraId="3375DD5E">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414E2D2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79E04C1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B0E526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632F4AE2">
      <w:pPr>
        <w:spacing w:line="560" w:lineRule="exact"/>
        <w:ind w:firstLine="708" w:firstLineChars="200"/>
        <w:rPr>
          <w:rFonts w:eastAsia="仿宋_GB2312"/>
          <w:color w:val="FF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32E428E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2D1BE9D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6558078">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绩效评价总分值100分，根据综合评分结果，90（含）-100分为优、80（含）-90分为良、60（含）-80分为中、60分以下为差。</w:t>
      </w:r>
    </w:p>
    <w:p w14:paraId="03D0CCA1">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1B060690">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0B37513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F6A437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w:t>
      </w:r>
      <w:r>
        <w:rPr>
          <w:rFonts w:hint="eastAsia" w:eastAsia="仿宋_GB2312"/>
          <w:color w:val="000000"/>
          <w:spacing w:val="17"/>
          <w:sz w:val="32"/>
          <w:szCs w:val="32"/>
        </w:rPr>
        <w:t>及原因</w:t>
      </w:r>
      <w:r>
        <w:rPr>
          <w:rFonts w:eastAsia="仿宋_GB2312"/>
          <w:color w:val="000000"/>
          <w:spacing w:val="17"/>
          <w:sz w:val="32"/>
          <w:szCs w:val="32"/>
        </w:rPr>
        <w:t>如下：</w:t>
      </w:r>
    </w:p>
    <w:p w14:paraId="768C2DFF">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本次绩效自评采用</w:t>
      </w:r>
      <w:r>
        <w:rPr>
          <w:rFonts w:eastAsia="仿宋_GB2312"/>
          <w:color w:val="000000"/>
          <w:spacing w:val="17"/>
          <w:sz w:val="32"/>
          <w:szCs w:val="32"/>
        </w:rPr>
        <w:t>成本效益分析法。</w:t>
      </w:r>
      <w:r>
        <w:rPr>
          <w:rFonts w:hint="eastAsia" w:eastAsia="仿宋_GB2312"/>
          <w:color w:val="000000"/>
          <w:spacing w:val="17"/>
          <w:sz w:val="32"/>
          <w:szCs w:val="32"/>
          <w:lang w:val="en-US" w:eastAsia="zh-CN"/>
        </w:rPr>
        <w:t>使用原因：</w:t>
      </w:r>
      <w:r>
        <w:rPr>
          <w:rFonts w:hint="eastAsia" w:eastAsia="仿宋_GB2312"/>
          <w:color w:val="000000"/>
          <w:spacing w:val="17"/>
          <w:sz w:val="32"/>
          <w:szCs w:val="32"/>
        </w:rPr>
        <w:t>通过支出公用经费补助标准每生每年600元，公用经费取暖费补助标准每生每年120元，幼儿伙食费补助标准每生每年1450元。保障了</w:t>
      </w:r>
      <w:r>
        <w:rPr>
          <w:rFonts w:hint="eastAsia" w:eastAsia="仿宋_GB2312"/>
          <w:sz w:val="30"/>
          <w:szCs w:val="30"/>
        </w:rPr>
        <w:t>学前三年教育</w:t>
      </w:r>
      <w:r>
        <w:rPr>
          <w:rFonts w:eastAsia="仿宋_GB2312"/>
          <w:sz w:val="32"/>
          <w:szCs w:val="32"/>
        </w:rPr>
        <w:t>正常运转、完成教育教学活动和其他日常工作提供</w:t>
      </w:r>
      <w:r>
        <w:rPr>
          <w:rFonts w:hint="eastAsia" w:eastAsia="仿宋_GB2312"/>
          <w:sz w:val="32"/>
          <w:szCs w:val="32"/>
        </w:rPr>
        <w:t>了</w:t>
      </w:r>
      <w:r>
        <w:rPr>
          <w:rFonts w:eastAsia="仿宋_GB2312"/>
          <w:sz w:val="32"/>
          <w:szCs w:val="32"/>
        </w:rPr>
        <w:t>重要资金</w:t>
      </w:r>
      <w:r>
        <w:rPr>
          <w:rFonts w:hint="eastAsia" w:eastAsia="仿宋_GB2312"/>
          <w:color w:val="000000"/>
          <w:spacing w:val="17"/>
          <w:sz w:val="32"/>
          <w:szCs w:val="32"/>
        </w:rPr>
        <w:t>。运用</w:t>
      </w:r>
      <w:r>
        <w:rPr>
          <w:rFonts w:eastAsia="仿宋_GB2312"/>
          <w:color w:val="000000"/>
          <w:spacing w:val="17"/>
          <w:sz w:val="32"/>
          <w:szCs w:val="32"/>
        </w:rPr>
        <w:t>成本效益分析法</w:t>
      </w:r>
      <w:r>
        <w:rPr>
          <w:rFonts w:hint="eastAsia" w:eastAsia="仿宋_GB2312"/>
          <w:color w:val="000000"/>
          <w:spacing w:val="17"/>
          <w:sz w:val="32"/>
          <w:szCs w:val="32"/>
        </w:rPr>
        <w:t>能够将投入产出更好的关联，促进资金的更合理使用，实现成本可控，提升第三幼儿园的公用经费、取暖费、幼儿伙食费的控制能力。</w:t>
      </w:r>
    </w:p>
    <w:p w14:paraId="3FA1A469">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ascii="Times New Roman" w:hAnsi="Times New Roman" w:eastAsia="仿宋_GB2312"/>
        </w:rPr>
        <w:t>.</w:t>
      </w:r>
      <w:r>
        <w:rPr>
          <w:rFonts w:ascii="Times New Roman" w:hAnsi="Times New Roman" w:eastAsia="仿宋_GB2312"/>
          <w:b w:val="0"/>
          <w:bCs w:val="0"/>
        </w:rPr>
        <w:t>评价标准</w:t>
      </w:r>
    </w:p>
    <w:p w14:paraId="255814D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b w:val="0"/>
          <w:bCs w:val="0"/>
        </w:rPr>
        <w:t>计划</w:t>
      </w:r>
      <w:r>
        <w:rPr>
          <w:rFonts w:ascii="Times New Roman" w:hAnsi="Times New Roman" w:eastAsia="仿宋_GB2312"/>
          <w:b w:val="0"/>
          <w:bCs w:val="0"/>
        </w:rPr>
        <w:t>标准。</w:t>
      </w:r>
    </w:p>
    <w:p w14:paraId="55AEA9B3">
      <w:pPr>
        <w:spacing w:line="600" w:lineRule="exact"/>
        <w:ind w:firstLine="640" w:firstLineChars="200"/>
        <w:outlineLvl w:val="0"/>
        <w:rPr>
          <w:rFonts w:eastAsia="仿宋_GB2312"/>
          <w:kern w:val="28"/>
          <w:sz w:val="32"/>
          <w:szCs w:val="32"/>
        </w:rPr>
      </w:pPr>
      <w:r>
        <w:rPr>
          <w:rFonts w:hint="eastAsia" w:eastAsia="仿宋_GB2312"/>
          <w:kern w:val="28"/>
          <w:sz w:val="32"/>
          <w:szCs w:val="32"/>
        </w:rPr>
        <w:t>原因是：根据年初制定的年度重点工作计划和绩效指标定额完成量，公用经费享受学生数294人</w:t>
      </w:r>
      <w:r>
        <w:rPr>
          <w:rFonts w:eastAsia="仿宋_GB2312"/>
          <w:kern w:val="28"/>
          <w:sz w:val="32"/>
          <w:szCs w:val="32"/>
        </w:rPr>
        <w:t>。</w:t>
      </w:r>
      <w:r>
        <w:rPr>
          <w:rFonts w:hint="eastAsia" w:eastAsia="仿宋_GB2312"/>
          <w:kern w:val="28"/>
          <w:sz w:val="32"/>
          <w:szCs w:val="32"/>
        </w:rPr>
        <w:t>幼儿园幼儿人数294人，为体现绩效改进的原则，在可实现的条件下确定了相对较高的评价标准</w:t>
      </w:r>
      <w:r>
        <w:rPr>
          <w:rFonts w:eastAsia="仿宋_GB2312"/>
          <w:kern w:val="28"/>
          <w:sz w:val="32"/>
          <w:szCs w:val="32"/>
        </w:rPr>
        <w:t>。</w:t>
      </w:r>
    </w:p>
    <w:p w14:paraId="72EEDFF8">
      <w:pPr>
        <w:pStyle w:val="10"/>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14:paraId="52182D2B">
      <w:pPr>
        <w:spacing w:line="560" w:lineRule="exact"/>
        <w:ind w:firstLine="640" w:firstLineChars="200"/>
        <w:rPr>
          <w:rFonts w:eastAsia="仿宋_GB2312"/>
          <w:sz w:val="32"/>
          <w:szCs w:val="32"/>
        </w:rPr>
      </w:pPr>
      <w:r>
        <w:rPr>
          <w:rFonts w:eastAsia="仿宋_GB2312"/>
          <w:sz w:val="32"/>
          <w:szCs w:val="32"/>
        </w:rPr>
        <w:t>（1）前期准备与规划</w:t>
      </w:r>
    </w:p>
    <w:p w14:paraId="747CB8BE">
      <w:pPr>
        <w:spacing w:line="560" w:lineRule="exact"/>
        <w:ind w:firstLine="640" w:firstLineChars="200"/>
        <w:rPr>
          <w:rFonts w:eastAsia="仿宋_GB2312"/>
          <w:sz w:val="32"/>
          <w:szCs w:val="32"/>
        </w:rPr>
      </w:pPr>
      <w:r>
        <w:rPr>
          <w:rFonts w:eastAsia="仿宋_GB2312"/>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E795C06">
      <w:pPr>
        <w:spacing w:line="560" w:lineRule="exact"/>
        <w:ind w:firstLine="640" w:firstLineChars="200"/>
        <w:rPr>
          <w:rFonts w:eastAsia="仿宋_GB2312"/>
          <w:sz w:val="32"/>
          <w:szCs w:val="32"/>
        </w:rPr>
      </w:pPr>
      <w:r>
        <w:rPr>
          <w:rFonts w:eastAsia="仿宋_GB2312"/>
          <w:sz w:val="32"/>
          <w:szCs w:val="32"/>
        </w:rPr>
        <w:t>（2）指标体系构建</w:t>
      </w:r>
    </w:p>
    <w:p w14:paraId="35D996A3">
      <w:pPr>
        <w:spacing w:line="560" w:lineRule="exact"/>
        <w:ind w:firstLine="640" w:firstLineChars="200"/>
        <w:rPr>
          <w:rFonts w:eastAsia="仿宋_GB2312"/>
          <w:sz w:val="32"/>
          <w:szCs w:val="32"/>
        </w:rPr>
      </w:pPr>
      <w:r>
        <w:rPr>
          <w:rFonts w:eastAsia="仿宋_GB2312"/>
          <w:sz w:val="32"/>
          <w:szCs w:val="32"/>
        </w:rPr>
        <w:t>依据项目的性质、目标以及预期成果，构建了科学合理的绩效评价指标体系。该指标体系涵盖了</w:t>
      </w:r>
      <w:r>
        <w:rPr>
          <w:rFonts w:eastAsia="仿宋_GB2312"/>
          <w:color w:val="000000"/>
          <w:spacing w:val="17"/>
          <w:sz w:val="32"/>
          <w:szCs w:val="32"/>
        </w:rPr>
        <w:t>项目决策、项目过程、项目产出、项目效益四个维度</w:t>
      </w:r>
      <w:r>
        <w:rPr>
          <w:rFonts w:eastAsia="仿宋_GB2312"/>
          <w:sz w:val="32"/>
          <w:szCs w:val="32"/>
        </w:rPr>
        <w:t>，选取了具有代表性和可衡量性的关键指标，并为每个指标设定了明确的评价标准与权重，确保评价结果能够全面、准确地反映项目的绩效状况。</w:t>
      </w:r>
    </w:p>
    <w:p w14:paraId="7FACEC50">
      <w:pPr>
        <w:spacing w:line="560" w:lineRule="exact"/>
        <w:ind w:firstLine="640" w:firstLineChars="200"/>
        <w:rPr>
          <w:rFonts w:eastAsia="仿宋_GB2312"/>
          <w:sz w:val="32"/>
          <w:szCs w:val="32"/>
        </w:rPr>
      </w:pPr>
      <w:r>
        <w:rPr>
          <w:rFonts w:eastAsia="仿宋_GB2312"/>
          <w:sz w:val="32"/>
          <w:szCs w:val="32"/>
        </w:rPr>
        <w:t>（3）数据收集与整理</w:t>
      </w:r>
    </w:p>
    <w:p w14:paraId="70FAC94C">
      <w:pPr>
        <w:spacing w:line="560" w:lineRule="exact"/>
        <w:ind w:firstLine="640" w:firstLineChars="200"/>
        <w:rPr>
          <w:rFonts w:eastAsia="仿宋_GB2312"/>
          <w:sz w:val="32"/>
          <w:szCs w:val="32"/>
        </w:rPr>
      </w:pPr>
      <w:r>
        <w:rPr>
          <w:rFonts w:eastAsia="仿宋_GB2312"/>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5A4C1509">
      <w:pPr>
        <w:spacing w:line="560" w:lineRule="exact"/>
        <w:ind w:firstLine="640" w:firstLineChars="200"/>
        <w:rPr>
          <w:rFonts w:eastAsia="仿宋_GB2312"/>
          <w:sz w:val="32"/>
          <w:szCs w:val="32"/>
        </w:rPr>
      </w:pPr>
      <w:r>
        <w:rPr>
          <w:rFonts w:eastAsia="仿宋_GB2312"/>
          <w:sz w:val="32"/>
          <w:szCs w:val="32"/>
        </w:rPr>
        <w:t>（4）数据分析与评估</w:t>
      </w:r>
    </w:p>
    <w:p w14:paraId="4E76E9EC">
      <w:pPr>
        <w:spacing w:line="560" w:lineRule="exact"/>
        <w:ind w:firstLine="640" w:firstLineChars="200"/>
        <w:rPr>
          <w:rFonts w:eastAsia="仿宋_GB2312"/>
          <w:sz w:val="32"/>
          <w:szCs w:val="32"/>
        </w:rPr>
      </w:pPr>
      <w:r>
        <w:rPr>
          <w:rFonts w:eastAsia="仿宋_GB2312"/>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B878DC7">
      <w:pPr>
        <w:spacing w:line="560" w:lineRule="exact"/>
        <w:ind w:firstLine="640" w:firstLineChars="200"/>
        <w:rPr>
          <w:rFonts w:eastAsia="仿宋_GB2312"/>
          <w:sz w:val="32"/>
          <w:szCs w:val="32"/>
        </w:rPr>
      </w:pPr>
      <w:r>
        <w:rPr>
          <w:rFonts w:eastAsia="仿宋_GB2312"/>
          <w:sz w:val="32"/>
          <w:szCs w:val="32"/>
        </w:rPr>
        <w:t>（5）报告撰写与反馈</w:t>
      </w:r>
    </w:p>
    <w:p w14:paraId="05D1B23C">
      <w:pPr>
        <w:spacing w:line="560" w:lineRule="exact"/>
        <w:ind w:firstLine="640" w:firstLineChars="20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75793E2B">
      <w:pPr>
        <w:spacing w:line="560" w:lineRule="exact"/>
        <w:ind w:firstLine="640" w:firstLineChars="200"/>
        <w:rPr>
          <w:rFonts w:eastAsia="仿宋_GB2312"/>
          <w:sz w:val="32"/>
          <w:szCs w:val="32"/>
        </w:rPr>
      </w:pPr>
      <w:r>
        <w:rPr>
          <w:rFonts w:eastAsia="仿宋_GB2312"/>
          <w:sz w:val="32"/>
          <w:szCs w:val="32"/>
        </w:rPr>
        <w:t>（6）后续跟踪与改进</w:t>
      </w:r>
    </w:p>
    <w:p w14:paraId="642FCEAC">
      <w:pPr>
        <w:spacing w:line="560" w:lineRule="exact"/>
        <w:ind w:firstLine="640" w:firstLineChars="200"/>
        <w:rPr>
          <w:rFonts w:eastAsia="仿宋_GB2312"/>
          <w:sz w:val="32"/>
          <w:szCs w:val="32"/>
        </w:rPr>
      </w:pPr>
      <w:r>
        <w:rPr>
          <w:rFonts w:eastAsia="仿宋_GB2312"/>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7C718B9">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7A65C93E">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14:paraId="2DB74A1E">
      <w:pPr>
        <w:pStyle w:val="10"/>
        <w:widowControl w:val="0"/>
        <w:spacing w:before="0" w:after="0" w:line="560" w:lineRule="exact"/>
        <w:ind w:firstLine="640" w:firstLineChars="200"/>
        <w:jc w:val="both"/>
        <w:outlineLvl w:val="9"/>
        <w:rPr>
          <w:rFonts w:hint="eastAsia" w:ascii="Times New Roman" w:hAnsi="Times New Roman" w:eastAsia="仿宋_GB2312"/>
          <w:b w:val="0"/>
          <w:bCs w:val="0"/>
        </w:rPr>
      </w:pPr>
      <w:r>
        <w:rPr>
          <w:rFonts w:hint="eastAsia" w:ascii="Times New Roman" w:hAnsi="Times New Roman" w:eastAsia="仿宋_GB2312"/>
          <w:b w:val="0"/>
          <w:bCs w:val="0"/>
        </w:rPr>
        <w:t>本项目的综合评价基于对项目各方面绩效的深入分析与评估。从项目目标的达成情况来看，城市学前教育幼儿资助伙食、取暖费、幼儿资助公用经费项目在学前三年教育正常运转、完成教育教学活动和其他日常工作提供保障。落实城市学前教育幼儿资助伙食、取暖费、幼儿资助公用经费补助政策。同时，项目也在城乡义务教育补助取得了显著的成效，减轻了家庭经济困难学生的负担，提高了学校的办学条件等。</w:t>
      </w:r>
    </w:p>
    <w:p w14:paraId="408A215A">
      <w:pPr>
        <w:pStyle w:val="9"/>
        <w:widowControl/>
        <w:spacing w:beforeAutospacing="0" w:afterAutospacing="0" w:line="560" w:lineRule="exact"/>
        <w:ind w:firstLine="640" w:firstLineChars="200"/>
        <w:rPr>
          <w:rFonts w:eastAsia="仿宋_GB2312"/>
          <w:sz w:val="32"/>
          <w:szCs w:val="32"/>
          <w:highlight w:val="none"/>
        </w:rPr>
      </w:pPr>
      <w:r>
        <w:rPr>
          <w:rFonts w:eastAsia="仿宋_GB2312"/>
          <w:sz w:val="32"/>
          <w:szCs w:val="32"/>
          <w:highlight w:val="none"/>
        </w:rPr>
        <w:t>项目管理方面，</w:t>
      </w:r>
      <w:r>
        <w:rPr>
          <w:rFonts w:hint="eastAsia" w:eastAsia="仿宋_GB2312"/>
          <w:sz w:val="32"/>
          <w:szCs w:val="32"/>
          <w:highlight w:val="none"/>
          <w:lang w:eastAsia="zh-CN"/>
        </w:rPr>
        <w:t>第三幼儿园</w:t>
      </w:r>
      <w:r>
        <w:rPr>
          <w:rFonts w:eastAsia="仿宋_GB2312"/>
          <w:sz w:val="32"/>
          <w:szCs w:val="32"/>
          <w:highlight w:val="none"/>
        </w:rPr>
        <w:t>通过有效的规划、组织与协调，项目得以顺利实施，并在预算与时间上保持了良好的控制。</w:t>
      </w:r>
    </w:p>
    <w:p w14:paraId="704A5F82">
      <w:pPr>
        <w:pStyle w:val="9"/>
        <w:widowControl/>
        <w:spacing w:beforeAutospacing="0" w:afterAutospacing="0" w:line="560" w:lineRule="exact"/>
        <w:ind w:firstLine="640" w:firstLineChars="200"/>
        <w:rPr>
          <w:rFonts w:eastAsia="仿宋_GB2312"/>
          <w:sz w:val="32"/>
          <w:szCs w:val="32"/>
          <w:highlight w:val="none"/>
        </w:rPr>
      </w:pPr>
      <w:r>
        <w:rPr>
          <w:rFonts w:eastAsia="仿宋_GB2312"/>
          <w:sz w:val="32"/>
          <w:szCs w:val="32"/>
          <w:highlight w:val="none"/>
        </w:rPr>
        <w:t>从项目效益的角度来看，本项目不仅实现了预期的社会效益方面产生了积极的影响。具体而言，</w:t>
      </w:r>
      <w:r>
        <w:rPr>
          <w:rFonts w:hint="eastAsia" w:ascii="Times New Roman" w:hAnsi="Times New Roman" w:eastAsia="仿宋_GB2312" w:cs="Times New Roman"/>
          <w:b w:val="0"/>
          <w:bCs w:val="0"/>
          <w:kern w:val="28"/>
          <w:sz w:val="32"/>
          <w:szCs w:val="32"/>
          <w:lang w:val="en-US" w:eastAsia="zh-CN" w:bidi="ar-SA"/>
        </w:rPr>
        <w:t>落实城市学前教育幼儿资助伙食、取暖费、幼儿资助公用经费补助政策。</w:t>
      </w:r>
      <w:r>
        <w:rPr>
          <w:rFonts w:hint="eastAsia" w:ascii="Times New Roman" w:hAnsi="Times New Roman" w:eastAsia="仿宋_GB2312" w:cs="Times New Roman"/>
          <w:b w:val="0"/>
          <w:bCs w:val="0"/>
          <w:kern w:val="28"/>
          <w:sz w:val="32"/>
          <w:szCs w:val="32"/>
          <w:highlight w:val="none"/>
          <w:lang w:val="en-US" w:eastAsia="zh-CN" w:bidi="ar-SA"/>
        </w:rPr>
        <w:t>在学前三年教育正常运转、完成教育教学活动和其他日常工作提供</w:t>
      </w:r>
      <w:r>
        <w:rPr>
          <w:rFonts w:hint="eastAsia" w:ascii="Times New Roman" w:hAnsi="Times New Roman" w:eastAsia="仿宋_GB2312" w:cs="Times New Roman"/>
          <w:b w:val="0"/>
          <w:bCs w:val="0"/>
          <w:kern w:val="28"/>
          <w:sz w:val="32"/>
          <w:szCs w:val="32"/>
          <w:lang w:val="en-US" w:eastAsia="zh-CN" w:bidi="ar-SA"/>
        </w:rPr>
        <w:t>保障。在这三方面的发挥了重要作用，为</w:t>
      </w:r>
      <w:r>
        <w:rPr>
          <w:rFonts w:hint="eastAsia" w:eastAsia="仿宋_GB2312" w:cs="Times New Roman"/>
          <w:b w:val="0"/>
          <w:bCs w:val="0"/>
          <w:kern w:val="28"/>
          <w:sz w:val="32"/>
          <w:szCs w:val="32"/>
          <w:lang w:val="en-US" w:eastAsia="zh-CN" w:bidi="ar-SA"/>
        </w:rPr>
        <w:t>幼儿园</w:t>
      </w:r>
      <w:r>
        <w:rPr>
          <w:rFonts w:hint="eastAsia" w:ascii="Times New Roman" w:hAnsi="Times New Roman" w:eastAsia="仿宋_GB2312" w:cs="Times New Roman"/>
          <w:b w:val="0"/>
          <w:bCs w:val="0"/>
          <w:kern w:val="28"/>
          <w:sz w:val="32"/>
          <w:szCs w:val="32"/>
          <w:lang w:val="en-US" w:eastAsia="zh-CN" w:bidi="ar-SA"/>
        </w:rPr>
        <w:t>，</w:t>
      </w:r>
      <w:r>
        <w:rPr>
          <w:rFonts w:hint="eastAsia" w:eastAsia="仿宋_GB2312" w:cs="Times New Roman"/>
          <w:b w:val="0"/>
          <w:bCs w:val="0"/>
          <w:kern w:val="28"/>
          <w:sz w:val="32"/>
          <w:szCs w:val="32"/>
          <w:lang w:val="en-US" w:eastAsia="zh-CN" w:bidi="ar-SA"/>
        </w:rPr>
        <w:t>幼儿</w:t>
      </w:r>
      <w:r>
        <w:rPr>
          <w:rFonts w:hint="eastAsia" w:ascii="Times New Roman" w:hAnsi="Times New Roman" w:eastAsia="仿宋_GB2312" w:cs="Times New Roman"/>
          <w:b w:val="0"/>
          <w:bCs w:val="0"/>
          <w:kern w:val="28"/>
          <w:sz w:val="32"/>
          <w:szCs w:val="32"/>
          <w:lang w:val="en-US" w:eastAsia="zh-CN" w:bidi="ar-SA"/>
        </w:rPr>
        <w:t>及家长带来了实</w:t>
      </w:r>
      <w:r>
        <w:rPr>
          <w:rFonts w:hint="eastAsia" w:ascii="Times New Roman" w:hAnsi="Times New Roman" w:eastAsia="仿宋_GB2312" w:cs="Times New Roman"/>
          <w:b w:val="0"/>
          <w:bCs w:val="0"/>
          <w:kern w:val="28"/>
          <w:sz w:val="32"/>
          <w:szCs w:val="32"/>
          <w:highlight w:val="none"/>
          <w:lang w:val="en-US" w:eastAsia="zh-CN" w:bidi="ar-SA"/>
        </w:rPr>
        <w:t>实</w:t>
      </w:r>
      <w:r>
        <w:rPr>
          <w:rFonts w:eastAsia="仿宋_GB2312"/>
          <w:sz w:val="32"/>
          <w:szCs w:val="32"/>
          <w:highlight w:val="none"/>
        </w:rPr>
        <w:t>在在的利益</w:t>
      </w:r>
      <w:r>
        <w:rPr>
          <w:rFonts w:hint="eastAsia" w:eastAsia="仿宋_GB2312"/>
          <w:sz w:val="32"/>
          <w:szCs w:val="32"/>
          <w:highlight w:val="none"/>
        </w:rPr>
        <w:t>，提升了教育教学质量，达到了较好的社会效益。</w:t>
      </w:r>
    </w:p>
    <w:p w14:paraId="389EFEE4">
      <w:pPr>
        <w:pStyle w:val="10"/>
        <w:spacing w:before="0" w:after="0" w:line="560" w:lineRule="exact"/>
        <w:ind w:firstLine="640" w:firstLineChars="200"/>
        <w:jc w:val="both"/>
        <w:rPr>
          <w:rFonts w:ascii="Times New Roman" w:hAnsi="Times New Roman" w:eastAsia="仿宋_GB2312"/>
          <w:b w:val="0"/>
          <w:bCs w:val="0"/>
          <w:kern w:val="2"/>
          <w:highlight w:val="none"/>
        </w:rPr>
      </w:pPr>
      <w:r>
        <w:rPr>
          <w:rFonts w:ascii="Times New Roman" w:hAnsi="Times New Roman" w:eastAsia="仿宋_GB2312"/>
          <w:b w:val="0"/>
          <w:bCs w:val="0"/>
          <w:kern w:val="2"/>
          <w:highlight w:val="none"/>
        </w:rPr>
        <w:t>综上所述，</w:t>
      </w:r>
      <w:r>
        <w:rPr>
          <w:rFonts w:hint="eastAsia" w:ascii="Times New Roman" w:hAnsi="Times New Roman" w:eastAsia="仿宋_GB2312" w:cs="Times New Roman"/>
          <w:b w:val="0"/>
          <w:bCs w:val="0"/>
          <w:kern w:val="28"/>
          <w:sz w:val="32"/>
          <w:szCs w:val="32"/>
          <w:highlight w:val="none"/>
          <w:lang w:val="en-US" w:eastAsia="zh-CN" w:bidi="ar-SA"/>
        </w:rPr>
        <w:t>城市学前教育幼儿资助伙食、取暖费、幼儿资助公用经费</w:t>
      </w:r>
      <w:r>
        <w:rPr>
          <w:rFonts w:ascii="Times New Roman" w:hAnsi="Times New Roman" w:eastAsia="仿宋_GB2312"/>
          <w:b w:val="0"/>
          <w:bCs w:val="0"/>
          <w:kern w:val="2"/>
          <w:highlight w:val="none"/>
        </w:rPr>
        <w:t>项目在绩效评价中表现出色，达到了项目的预期目标，并在多个方面取得了显著的成效</w:t>
      </w:r>
      <w:r>
        <w:rPr>
          <w:rFonts w:hint="eastAsia" w:ascii="Times New Roman" w:hAnsi="Times New Roman" w:eastAsia="仿宋_GB2312"/>
          <w:b w:val="0"/>
          <w:bCs w:val="0"/>
          <w:kern w:val="2"/>
          <w:highlight w:val="none"/>
        </w:rPr>
        <w:t>。</w:t>
      </w:r>
    </w:p>
    <w:p w14:paraId="5F988975">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14:paraId="17ABD78D">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rPr>
        <w:t>100</w:t>
      </w:r>
      <w:r>
        <w:rPr>
          <w:rFonts w:ascii="Times New Roman" w:hAnsi="Times New Roman" w:eastAsia="仿宋_GB2312"/>
          <w:b w:val="0"/>
          <w:bCs w:val="0"/>
        </w:rPr>
        <w:t>分，属于“优”。其中，项目决策类指标权重为20分，得分为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%。项目过程类指标权重为20分，得分为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%。具体打分情况详见：附件1综合评分表。</w:t>
      </w:r>
    </w:p>
    <w:p w14:paraId="21090DDE">
      <w:pPr>
        <w:pStyle w:val="10"/>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0411CCB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7D57FC53">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6E9F506">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EACB81D">
            <w:pPr>
              <w:jc w:val="center"/>
              <w:rPr>
                <w:rFonts w:eastAsia="仿宋_GB2312"/>
                <w:b/>
                <w:bCs/>
                <w:color w:val="000000"/>
                <w:szCs w:val="21"/>
              </w:rPr>
            </w:pPr>
            <w:r>
              <w:rPr>
                <w:rFonts w:eastAsia="仿宋_GB2312"/>
                <w:b/>
                <w:bCs/>
                <w:color w:val="000000"/>
                <w:szCs w:val="21"/>
              </w:rPr>
              <w:t>得分</w:t>
            </w:r>
          </w:p>
        </w:tc>
      </w:tr>
      <w:tr w14:paraId="4DE13FA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9DB14B1">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5D493C2B">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7E489A89">
            <w:pPr>
              <w:jc w:val="center"/>
              <w:rPr>
                <w:rFonts w:eastAsia="仿宋_GB2312"/>
                <w:color w:val="000000"/>
                <w:szCs w:val="21"/>
              </w:rPr>
            </w:pPr>
            <w:r>
              <w:rPr>
                <w:rFonts w:hint="eastAsia" w:eastAsia="仿宋_GB2312"/>
                <w:color w:val="000000"/>
                <w:szCs w:val="21"/>
              </w:rPr>
              <w:t>20</w:t>
            </w:r>
          </w:p>
        </w:tc>
      </w:tr>
      <w:tr w14:paraId="3BC1114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57ADB84">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3EC5F3F5">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0EB6095D">
            <w:pPr>
              <w:jc w:val="center"/>
              <w:rPr>
                <w:rFonts w:eastAsia="仿宋_GB2312"/>
                <w:color w:val="000000"/>
                <w:szCs w:val="21"/>
              </w:rPr>
            </w:pPr>
            <w:r>
              <w:rPr>
                <w:rFonts w:hint="eastAsia" w:eastAsia="仿宋_GB2312"/>
                <w:color w:val="000000"/>
                <w:szCs w:val="21"/>
              </w:rPr>
              <w:t>20</w:t>
            </w:r>
          </w:p>
        </w:tc>
      </w:tr>
      <w:tr w14:paraId="48318E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4258E9">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7E35A6C4">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14:paraId="71EDEF3F">
            <w:pPr>
              <w:jc w:val="center"/>
              <w:rPr>
                <w:rFonts w:eastAsia="仿宋_GB2312"/>
                <w:color w:val="000000"/>
                <w:szCs w:val="21"/>
              </w:rPr>
            </w:pPr>
            <w:r>
              <w:rPr>
                <w:rFonts w:hint="eastAsia" w:eastAsia="仿宋_GB2312"/>
                <w:color w:val="000000"/>
                <w:szCs w:val="21"/>
              </w:rPr>
              <w:t>40</w:t>
            </w:r>
          </w:p>
        </w:tc>
      </w:tr>
      <w:tr w14:paraId="35228E0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9C5C741">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A3985A1">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7AFD598D">
            <w:pPr>
              <w:jc w:val="center"/>
              <w:rPr>
                <w:rFonts w:eastAsia="仿宋_GB2312"/>
                <w:color w:val="000000"/>
                <w:szCs w:val="21"/>
              </w:rPr>
            </w:pPr>
            <w:r>
              <w:rPr>
                <w:rFonts w:hint="eastAsia" w:eastAsia="仿宋_GB2312"/>
                <w:color w:val="000000"/>
                <w:szCs w:val="21"/>
              </w:rPr>
              <w:t>20</w:t>
            </w:r>
          </w:p>
        </w:tc>
      </w:tr>
      <w:tr w14:paraId="1621E8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462A4F2">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14:paraId="2AF72982">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14:paraId="1F6A0495">
            <w:pPr>
              <w:jc w:val="center"/>
              <w:rPr>
                <w:rFonts w:eastAsia="仿宋_GB2312"/>
                <w:b/>
                <w:bCs/>
                <w:color w:val="000000"/>
                <w:szCs w:val="21"/>
              </w:rPr>
            </w:pPr>
            <w:r>
              <w:rPr>
                <w:rFonts w:hint="eastAsia" w:eastAsia="仿宋_GB2312"/>
                <w:b/>
                <w:bCs/>
                <w:color w:val="000000"/>
                <w:szCs w:val="21"/>
              </w:rPr>
              <w:t>100</w:t>
            </w:r>
          </w:p>
        </w:tc>
      </w:tr>
    </w:tbl>
    <w:p w14:paraId="5C6757DC">
      <w:pPr>
        <w:spacing w:line="560" w:lineRule="exact"/>
        <w:ind w:firstLine="640" w:firstLineChars="200"/>
        <w:rPr>
          <w:rFonts w:eastAsia="黑体"/>
          <w:sz w:val="32"/>
          <w:szCs w:val="32"/>
        </w:rPr>
      </w:pPr>
      <w:r>
        <w:rPr>
          <w:rFonts w:eastAsia="黑体"/>
          <w:sz w:val="32"/>
          <w:szCs w:val="32"/>
        </w:rPr>
        <w:t>四、绩效评价指标分析</w:t>
      </w:r>
    </w:p>
    <w:p w14:paraId="04D01224">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26EDA332">
      <w:pPr>
        <w:spacing w:line="60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6F1BC065">
      <w:pPr>
        <w:pStyle w:val="21"/>
        <w:spacing w:line="560" w:lineRule="exact"/>
        <w:ind w:firstLine="643" w:firstLineChars="200"/>
        <w:rPr>
          <w:rFonts w:eastAsia="仿宋_GB2312"/>
          <w:b/>
          <w:bCs/>
          <w:sz w:val="32"/>
          <w:szCs w:val="32"/>
        </w:rPr>
      </w:pPr>
      <w:r>
        <w:rPr>
          <w:rFonts w:eastAsia="仿宋_GB2312"/>
          <w:b/>
          <w:bCs/>
          <w:sz w:val="32"/>
          <w:szCs w:val="32"/>
        </w:rPr>
        <w:t>1.项目立项</w:t>
      </w:r>
    </w:p>
    <w:p w14:paraId="0E8E4C4A">
      <w:pPr>
        <w:spacing w:line="600" w:lineRule="exact"/>
        <w:ind w:firstLine="640" w:firstLineChars="200"/>
        <w:outlineLvl w:val="0"/>
        <w:rPr>
          <w:rFonts w:eastAsia="仿宋_GB2312"/>
          <w:sz w:val="32"/>
          <w:szCs w:val="32"/>
        </w:rPr>
      </w:pPr>
      <w:r>
        <w:rPr>
          <w:rFonts w:eastAsia="仿宋_GB2312"/>
          <w:sz w:val="32"/>
          <w:szCs w:val="32"/>
        </w:rPr>
        <w:t>（1）立项依据充分性</w:t>
      </w:r>
    </w:p>
    <w:p w14:paraId="0F810E6E">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DF8CAB9">
      <w:pPr>
        <w:spacing w:line="600" w:lineRule="exact"/>
        <w:ind w:firstLine="640" w:firstLineChars="200"/>
        <w:outlineLvl w:val="0"/>
        <w:rPr>
          <w:rFonts w:eastAsia="仿宋_GB2312"/>
          <w:sz w:val="32"/>
          <w:szCs w:val="32"/>
        </w:rPr>
      </w:pPr>
      <w:r>
        <w:rPr>
          <w:rFonts w:eastAsia="仿宋_GB2312"/>
          <w:sz w:val="32"/>
          <w:szCs w:val="32"/>
        </w:rPr>
        <w:t>（2）立项程序规范性</w:t>
      </w:r>
    </w:p>
    <w:p w14:paraId="77D0046B">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8C0CEEC">
      <w:pPr>
        <w:pStyle w:val="21"/>
        <w:spacing w:line="560" w:lineRule="exact"/>
        <w:ind w:firstLine="640"/>
        <w:rPr>
          <w:rFonts w:eastAsia="仿宋_GB2312"/>
          <w:b/>
          <w:bCs/>
          <w:sz w:val="32"/>
          <w:szCs w:val="32"/>
        </w:rPr>
      </w:pPr>
      <w:r>
        <w:rPr>
          <w:rFonts w:eastAsia="仿宋_GB2312"/>
          <w:b/>
          <w:bCs/>
          <w:sz w:val="32"/>
          <w:szCs w:val="32"/>
        </w:rPr>
        <w:t>2.绩效目标</w:t>
      </w:r>
    </w:p>
    <w:p w14:paraId="6219E0D5">
      <w:pPr>
        <w:spacing w:line="600" w:lineRule="exact"/>
        <w:ind w:firstLine="640" w:firstLineChars="200"/>
        <w:outlineLvl w:val="0"/>
        <w:rPr>
          <w:rFonts w:eastAsia="仿宋_GB2312"/>
          <w:sz w:val="32"/>
          <w:szCs w:val="32"/>
        </w:rPr>
      </w:pPr>
      <w:r>
        <w:rPr>
          <w:rFonts w:eastAsia="仿宋_GB2312"/>
          <w:sz w:val="32"/>
          <w:szCs w:val="32"/>
        </w:rPr>
        <w:t>（1）绩效目标合理性</w:t>
      </w:r>
    </w:p>
    <w:p w14:paraId="758C6DC8">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5958EB2">
      <w:pPr>
        <w:spacing w:line="600" w:lineRule="exact"/>
        <w:ind w:firstLine="640" w:firstLineChars="200"/>
        <w:outlineLvl w:val="0"/>
        <w:rPr>
          <w:rFonts w:eastAsia="仿宋_GB2312"/>
          <w:sz w:val="32"/>
          <w:szCs w:val="32"/>
        </w:rPr>
      </w:pPr>
      <w:r>
        <w:rPr>
          <w:rFonts w:eastAsia="仿宋_GB2312"/>
          <w:sz w:val="32"/>
          <w:szCs w:val="32"/>
        </w:rPr>
        <w:t>（2）绩效指标明确性</w:t>
      </w:r>
    </w:p>
    <w:p w14:paraId="05AB2FD4">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2EC98BE1">
      <w:pPr>
        <w:pStyle w:val="21"/>
        <w:spacing w:line="560" w:lineRule="exact"/>
        <w:ind w:firstLine="640"/>
        <w:rPr>
          <w:rFonts w:eastAsia="仿宋_GB2312"/>
          <w:b/>
          <w:bCs/>
          <w:sz w:val="32"/>
          <w:szCs w:val="32"/>
        </w:rPr>
      </w:pPr>
      <w:r>
        <w:rPr>
          <w:rFonts w:eastAsia="仿宋_GB2312"/>
          <w:b/>
          <w:bCs/>
          <w:sz w:val="32"/>
          <w:szCs w:val="32"/>
        </w:rPr>
        <w:t>3.资金投入</w:t>
      </w:r>
    </w:p>
    <w:p w14:paraId="77E769DD">
      <w:pPr>
        <w:spacing w:line="600" w:lineRule="exact"/>
        <w:ind w:firstLine="640" w:firstLineChars="200"/>
        <w:outlineLvl w:val="0"/>
        <w:rPr>
          <w:rFonts w:eastAsia="仿宋_GB2312"/>
          <w:sz w:val="32"/>
          <w:szCs w:val="32"/>
        </w:rPr>
      </w:pPr>
      <w:r>
        <w:rPr>
          <w:rFonts w:eastAsia="仿宋_GB2312"/>
          <w:sz w:val="32"/>
          <w:szCs w:val="32"/>
        </w:rPr>
        <w:t>（1）预算编制科学性</w:t>
      </w:r>
    </w:p>
    <w:p w14:paraId="22110FA5">
      <w:pPr>
        <w:spacing w:line="560" w:lineRule="exact"/>
        <w:ind w:firstLine="640" w:firstLineChars="200"/>
        <w:rPr>
          <w:rFonts w:eastAsia="仿宋_GB2312"/>
          <w:sz w:val="32"/>
          <w:szCs w:val="32"/>
        </w:rPr>
      </w:pPr>
      <w:r>
        <w:rPr>
          <w:rFonts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3E43333">
      <w:pPr>
        <w:spacing w:line="600" w:lineRule="exact"/>
        <w:ind w:firstLine="640" w:firstLineChars="200"/>
        <w:outlineLvl w:val="0"/>
        <w:rPr>
          <w:rFonts w:eastAsia="仿宋_GB2312"/>
          <w:sz w:val="32"/>
          <w:szCs w:val="32"/>
          <w:highlight w:val="green"/>
        </w:rPr>
      </w:pPr>
      <w:r>
        <w:rPr>
          <w:rFonts w:eastAsia="仿宋_GB2312"/>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0CD0E20C">
      <w:pPr>
        <w:spacing w:line="600" w:lineRule="exact"/>
        <w:ind w:firstLine="640" w:firstLineChars="200"/>
        <w:outlineLvl w:val="0"/>
        <w:rPr>
          <w:rFonts w:eastAsia="仿宋_GB2312"/>
          <w:sz w:val="32"/>
          <w:szCs w:val="32"/>
        </w:rPr>
      </w:pPr>
      <w:r>
        <w:rPr>
          <w:rFonts w:eastAsia="仿宋_GB2312"/>
          <w:sz w:val="32"/>
          <w:szCs w:val="32"/>
        </w:rPr>
        <w:t>（2）资金分配合理性</w:t>
      </w:r>
    </w:p>
    <w:p w14:paraId="1176B6DB">
      <w:pPr>
        <w:spacing w:line="56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523276D">
      <w:pPr>
        <w:spacing w:line="56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8AF610B">
      <w:pPr>
        <w:spacing w:line="56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6FD558D">
      <w:pPr>
        <w:pStyle w:val="10"/>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14:paraId="1A86093F">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69E58565">
      <w:pPr>
        <w:pStyle w:val="21"/>
        <w:spacing w:line="560" w:lineRule="exact"/>
        <w:ind w:firstLine="640"/>
        <w:rPr>
          <w:rFonts w:eastAsia="仿宋_GB2312"/>
          <w:b/>
          <w:bCs/>
          <w:sz w:val="32"/>
          <w:szCs w:val="32"/>
        </w:rPr>
      </w:pPr>
      <w:r>
        <w:rPr>
          <w:rFonts w:eastAsia="仿宋_GB2312"/>
          <w:b/>
          <w:bCs/>
          <w:sz w:val="32"/>
          <w:szCs w:val="32"/>
        </w:rPr>
        <w:t>1.资金管理</w:t>
      </w:r>
    </w:p>
    <w:p w14:paraId="11BED14F">
      <w:pPr>
        <w:spacing w:line="600" w:lineRule="exact"/>
        <w:ind w:firstLine="640" w:firstLineChars="200"/>
        <w:outlineLvl w:val="0"/>
        <w:rPr>
          <w:rFonts w:eastAsia="仿宋_GB2312"/>
          <w:sz w:val="32"/>
          <w:szCs w:val="32"/>
        </w:rPr>
      </w:pPr>
      <w:r>
        <w:rPr>
          <w:rFonts w:eastAsia="仿宋_GB2312"/>
          <w:sz w:val="32"/>
          <w:szCs w:val="32"/>
        </w:rPr>
        <w:t>（1）资金到位率</w:t>
      </w:r>
    </w:p>
    <w:p w14:paraId="4FFFE8D3">
      <w:pPr>
        <w:spacing w:line="600" w:lineRule="exact"/>
        <w:ind w:firstLine="640" w:firstLineChars="200"/>
        <w:outlineLvl w:val="0"/>
        <w:rPr>
          <w:rFonts w:eastAsia="仿宋_GB2312"/>
          <w:sz w:val="32"/>
          <w:szCs w:val="32"/>
        </w:rPr>
      </w:pPr>
      <w:r>
        <w:rPr>
          <w:rFonts w:eastAsia="仿宋_GB2312"/>
          <w:sz w:val="32"/>
          <w:szCs w:val="32"/>
        </w:rPr>
        <w:t>本项目总投资</w:t>
      </w:r>
      <w:r>
        <w:rPr>
          <w:rFonts w:hint="eastAsia" w:eastAsia="仿宋_GB2312"/>
          <w:sz w:val="32"/>
          <w:szCs w:val="32"/>
          <w:lang w:val="en-US" w:eastAsia="zh-CN"/>
        </w:rPr>
        <w:t>63.8</w:t>
      </w:r>
      <w:r>
        <w:rPr>
          <w:rFonts w:eastAsia="仿宋_GB2312"/>
          <w:sz w:val="32"/>
          <w:szCs w:val="32"/>
        </w:rPr>
        <w:t>万元，财政资金及时足额到位，到位率</w:t>
      </w:r>
      <w:r>
        <w:rPr>
          <w:rFonts w:hint="eastAsia" w:eastAsia="仿宋_GB2312"/>
          <w:sz w:val="32"/>
          <w:szCs w:val="32"/>
        </w:rPr>
        <w:t>100</w:t>
      </w:r>
      <w:r>
        <w:rPr>
          <w:rFonts w:eastAsia="仿宋_GB2312"/>
          <w:sz w:val="32"/>
          <w:szCs w:val="32"/>
        </w:rPr>
        <w:t>%，预算资金按计划进度执行。</w:t>
      </w:r>
    </w:p>
    <w:p w14:paraId="724D05D4">
      <w:pPr>
        <w:spacing w:line="600" w:lineRule="exact"/>
        <w:ind w:firstLine="640" w:firstLineChars="200"/>
        <w:outlineLvl w:val="0"/>
        <w:rPr>
          <w:rFonts w:eastAsia="仿宋_GB2312"/>
          <w:sz w:val="32"/>
          <w:szCs w:val="32"/>
        </w:rPr>
      </w:pPr>
      <w:r>
        <w:rPr>
          <w:rFonts w:eastAsia="仿宋_GB2312"/>
          <w:sz w:val="32"/>
          <w:szCs w:val="32"/>
        </w:rPr>
        <w:t>（2）预算执行率</w:t>
      </w:r>
    </w:p>
    <w:p w14:paraId="64FE1A96">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w:t>
      </w:r>
      <w:r>
        <w:rPr>
          <w:rFonts w:hint="eastAsia" w:eastAsia="仿宋_GB2312"/>
          <w:sz w:val="32"/>
          <w:szCs w:val="32"/>
          <w:lang w:val="en-US" w:eastAsia="zh-CN"/>
        </w:rPr>
        <w:t>63.8</w:t>
      </w:r>
      <w:r>
        <w:rPr>
          <w:rFonts w:eastAsia="仿宋_GB2312"/>
          <w:sz w:val="32"/>
          <w:szCs w:val="32"/>
        </w:rPr>
        <w:t>万元，预算执行率为</w:t>
      </w:r>
      <w:r>
        <w:rPr>
          <w:rFonts w:hint="eastAsia" w:eastAsia="仿宋_GB2312"/>
          <w:sz w:val="32"/>
          <w:szCs w:val="32"/>
        </w:rPr>
        <w:t>100</w:t>
      </w:r>
      <w:r>
        <w:rPr>
          <w:rFonts w:eastAsia="仿宋_GB2312"/>
          <w:sz w:val="32"/>
          <w:szCs w:val="32"/>
        </w:rPr>
        <w:t>%。</w:t>
      </w:r>
    </w:p>
    <w:p w14:paraId="22E7F104">
      <w:pPr>
        <w:spacing w:line="600" w:lineRule="exact"/>
        <w:ind w:firstLine="640" w:firstLineChars="200"/>
        <w:outlineLvl w:val="0"/>
        <w:rPr>
          <w:rFonts w:eastAsia="仿宋_GB2312"/>
          <w:sz w:val="32"/>
          <w:szCs w:val="32"/>
        </w:rPr>
      </w:pPr>
      <w:r>
        <w:rPr>
          <w:rFonts w:eastAsia="仿宋_GB2312"/>
          <w:sz w:val="32"/>
          <w:szCs w:val="32"/>
        </w:rPr>
        <w:t>（3）资金使用合规性</w:t>
      </w:r>
    </w:p>
    <w:p w14:paraId="384D6445">
      <w:pPr>
        <w:spacing w:line="560" w:lineRule="exact"/>
        <w:ind w:firstLine="640" w:firstLineChars="200"/>
        <w:rPr>
          <w:rFonts w:eastAsia="仿宋_GB2312"/>
          <w:sz w:val="32"/>
          <w:szCs w:val="32"/>
        </w:rPr>
      </w:pPr>
      <w:r>
        <w:rPr>
          <w:rFonts w:eastAsia="仿宋_GB2312"/>
          <w:sz w:val="32"/>
          <w:szCs w:val="32"/>
        </w:rPr>
        <w:t>本项目的资金使用严格遵循了国家相关法律法规与财务制度，确保了资金的合规性与安全性。在资金使用过程中，我们建立了完善的财务管理体系，对资金的流动进行了全程监控与记录。</w:t>
      </w:r>
    </w:p>
    <w:p w14:paraId="127CADDF">
      <w:pPr>
        <w:spacing w:line="560" w:lineRule="exact"/>
        <w:ind w:firstLine="640" w:firstLineChars="200"/>
        <w:rPr>
          <w:rFonts w:eastAsia="仿宋_GB2312"/>
          <w:sz w:val="32"/>
          <w:szCs w:val="32"/>
        </w:rPr>
      </w:pPr>
      <w:r>
        <w:rPr>
          <w:rFonts w:eastAsia="仿宋_GB2312"/>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3753585F">
      <w:pPr>
        <w:spacing w:line="560" w:lineRule="exact"/>
        <w:ind w:firstLine="640" w:firstLineChars="200"/>
        <w:rPr>
          <w:rFonts w:eastAsia="仿宋_GB2312"/>
          <w:sz w:val="32"/>
          <w:szCs w:val="32"/>
          <w:highlight w:val="none"/>
        </w:rPr>
      </w:pPr>
      <w:r>
        <w:rPr>
          <w:rFonts w:eastAsia="仿宋_GB2312"/>
          <w:sz w:val="32"/>
          <w:szCs w:val="32"/>
        </w:rPr>
        <w:t>综上所述，本项目的资金使用是合规的、安全的，既符合</w:t>
      </w:r>
      <w:r>
        <w:rPr>
          <w:rFonts w:eastAsia="仿宋_GB2312"/>
          <w:sz w:val="32"/>
          <w:szCs w:val="32"/>
          <w:highlight w:val="none"/>
        </w:rPr>
        <w:t>国家相关法律法规与财务制度的要求，又满足了项目实施的实际需要。资金使用的合规性为项目的成功实施提供了有力的保障，也为项目的绩效评价奠定了坚实的基础。</w:t>
      </w:r>
    </w:p>
    <w:p w14:paraId="51E7C3D6">
      <w:pPr>
        <w:pStyle w:val="21"/>
        <w:spacing w:line="560" w:lineRule="exact"/>
        <w:ind w:firstLine="640"/>
        <w:rPr>
          <w:rFonts w:eastAsia="仿宋_GB2312"/>
          <w:b/>
          <w:bCs/>
          <w:sz w:val="32"/>
          <w:szCs w:val="32"/>
          <w:highlight w:val="none"/>
        </w:rPr>
      </w:pPr>
      <w:r>
        <w:rPr>
          <w:rFonts w:eastAsia="仿宋_GB2312"/>
          <w:b/>
          <w:bCs/>
          <w:sz w:val="32"/>
          <w:szCs w:val="32"/>
          <w:highlight w:val="none"/>
        </w:rPr>
        <w:t>2.组织实施</w:t>
      </w:r>
    </w:p>
    <w:p w14:paraId="22D64CDD">
      <w:pPr>
        <w:spacing w:line="600" w:lineRule="exact"/>
        <w:ind w:firstLine="640" w:firstLineChars="200"/>
        <w:outlineLvl w:val="0"/>
        <w:rPr>
          <w:rFonts w:eastAsia="仿宋_GB2312"/>
          <w:sz w:val="32"/>
          <w:szCs w:val="32"/>
          <w:highlight w:val="none"/>
        </w:rPr>
      </w:pPr>
      <w:r>
        <w:rPr>
          <w:rFonts w:eastAsia="仿宋_GB2312"/>
          <w:sz w:val="32"/>
          <w:szCs w:val="32"/>
          <w:highlight w:val="none"/>
        </w:rPr>
        <w:t>（1）管理制度健全性</w:t>
      </w:r>
    </w:p>
    <w:p w14:paraId="5C5B816D">
      <w:pPr>
        <w:spacing w:line="560" w:lineRule="exact"/>
        <w:ind w:firstLine="640" w:firstLineChars="200"/>
        <w:rPr>
          <w:rFonts w:eastAsia="仿宋_GB2312"/>
          <w:sz w:val="32"/>
          <w:szCs w:val="32"/>
          <w:highlight w:val="none"/>
        </w:rPr>
      </w:pPr>
      <w:r>
        <w:rPr>
          <w:rFonts w:eastAsia="仿宋_GB2312"/>
          <w:sz w:val="32"/>
          <w:szCs w:val="32"/>
          <w:highlight w:val="none"/>
        </w:rPr>
        <w:t>本项目拥有一套完善、健全的管理制度体系，为项目的成功实施提供了坚实的制度保障。项目管理制度的制定紧密结合了项目的特点与实际情况，涵盖了项目的策划、组织、实施、监控与收尾等各个环节。</w:t>
      </w:r>
    </w:p>
    <w:p w14:paraId="5D8A576C">
      <w:pPr>
        <w:spacing w:line="560" w:lineRule="exact"/>
        <w:ind w:firstLine="640" w:firstLineChars="200"/>
        <w:rPr>
          <w:rFonts w:eastAsia="仿宋_GB2312"/>
          <w:sz w:val="32"/>
          <w:szCs w:val="32"/>
          <w:highlight w:val="none"/>
        </w:rPr>
      </w:pPr>
      <w:r>
        <w:rPr>
          <w:rFonts w:eastAsia="仿宋_GB2312"/>
          <w:sz w:val="32"/>
          <w:szCs w:val="32"/>
          <w:highlight w:val="none"/>
        </w:rPr>
        <w:t>在制度设计上，我们注重了制度的科学性与可操作性，确保制度能够切实指导项目的执行与管理。</w:t>
      </w:r>
    </w:p>
    <w:p w14:paraId="0366A6F0">
      <w:pPr>
        <w:spacing w:line="560" w:lineRule="exact"/>
        <w:ind w:firstLine="640" w:firstLineChars="200"/>
        <w:rPr>
          <w:rFonts w:eastAsia="仿宋_GB2312"/>
          <w:sz w:val="32"/>
          <w:szCs w:val="32"/>
          <w:highlight w:val="none"/>
        </w:rPr>
      </w:pPr>
      <w:r>
        <w:rPr>
          <w:rFonts w:eastAsia="仿宋_GB2312"/>
          <w:sz w:val="32"/>
          <w:szCs w:val="32"/>
          <w:highlight w:val="none"/>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D58A667">
      <w:pPr>
        <w:spacing w:line="600" w:lineRule="exact"/>
        <w:ind w:firstLine="640" w:firstLineChars="200"/>
        <w:outlineLvl w:val="0"/>
        <w:rPr>
          <w:rFonts w:eastAsia="仿宋_GB2312"/>
          <w:sz w:val="32"/>
          <w:szCs w:val="32"/>
          <w:highlight w:val="none"/>
        </w:rPr>
      </w:pPr>
      <w:r>
        <w:rPr>
          <w:rFonts w:eastAsia="仿宋_GB2312"/>
          <w:sz w:val="32"/>
          <w:szCs w:val="32"/>
          <w:highlight w:val="none"/>
        </w:rPr>
        <w:t>综上所述，本项目的管理制度是健全的、有效的，既符合项目的实际情况，又满足了项目管理的需要。管理制度的健全性为项目的成功实施提供了有力的保障，也为项目的绩效评价奠定了坚实的基础。</w:t>
      </w:r>
    </w:p>
    <w:p w14:paraId="03E3D086">
      <w:pPr>
        <w:spacing w:line="600" w:lineRule="exact"/>
        <w:ind w:firstLine="640" w:firstLineChars="200"/>
        <w:outlineLvl w:val="0"/>
        <w:rPr>
          <w:rFonts w:eastAsia="仿宋_GB2312"/>
          <w:sz w:val="32"/>
          <w:szCs w:val="32"/>
          <w:highlight w:val="none"/>
        </w:rPr>
      </w:pPr>
      <w:r>
        <w:rPr>
          <w:rFonts w:eastAsia="仿宋_GB2312"/>
          <w:sz w:val="32"/>
          <w:szCs w:val="32"/>
          <w:highlight w:val="none"/>
        </w:rPr>
        <w:t>（2）制度执行有效性</w:t>
      </w:r>
    </w:p>
    <w:p w14:paraId="367185EE">
      <w:pPr>
        <w:spacing w:line="560" w:lineRule="exact"/>
        <w:ind w:firstLine="640" w:firstLineChars="200"/>
        <w:rPr>
          <w:rFonts w:eastAsia="仿宋_GB2312"/>
          <w:sz w:val="32"/>
          <w:szCs w:val="32"/>
          <w:highlight w:val="none"/>
        </w:rPr>
      </w:pPr>
      <w:r>
        <w:rPr>
          <w:rFonts w:eastAsia="仿宋_GB2312"/>
          <w:sz w:val="32"/>
          <w:szCs w:val="32"/>
          <w:highlight w:val="none"/>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45EBAB61">
      <w:pPr>
        <w:spacing w:line="560" w:lineRule="exact"/>
        <w:ind w:firstLine="640" w:firstLineChars="200"/>
        <w:rPr>
          <w:rFonts w:eastAsia="仿宋_GB2312"/>
          <w:sz w:val="32"/>
          <w:szCs w:val="32"/>
          <w:highlight w:val="none"/>
        </w:rPr>
      </w:pPr>
      <w:r>
        <w:rPr>
          <w:rFonts w:eastAsia="仿宋_GB2312"/>
          <w:sz w:val="32"/>
          <w:szCs w:val="32"/>
          <w:highlight w:val="none"/>
        </w:rPr>
        <w:t>在具体执行过程中，项目团队成员严格按照制度要求进行操作。同时，我们还建立了有效的沟通机制与反馈机制，确保项目信息的及时传递与问题的及时解决，进一步提高了制度执行的效率与效果。</w:t>
      </w:r>
    </w:p>
    <w:p w14:paraId="5753D428">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综上所述，本项目的管理制度在执行过程中表现出了高度的有效性，既确保了项目的顺利进行，又实现了项目目标的有效达成。</w:t>
      </w:r>
    </w:p>
    <w:p w14:paraId="61688FF2">
      <w:pPr>
        <w:pStyle w:val="11"/>
        <w:numPr>
          <w:ilvl w:val="0"/>
          <w:numId w:val="4"/>
        </w:numPr>
        <w:spacing w:line="560" w:lineRule="exact"/>
        <w:ind w:firstLine="643"/>
        <w:rPr>
          <w:rFonts w:eastAsia="楷体_GB2312"/>
          <w:b/>
          <w:bCs/>
          <w:sz w:val="32"/>
          <w:szCs w:val="32"/>
          <w:highlight w:val="none"/>
        </w:rPr>
      </w:pPr>
      <w:r>
        <w:rPr>
          <w:rFonts w:eastAsia="楷体_GB2312"/>
          <w:b/>
          <w:bCs/>
          <w:sz w:val="32"/>
          <w:szCs w:val="32"/>
          <w:highlight w:val="none"/>
        </w:rPr>
        <w:t>项目产出情况</w:t>
      </w:r>
    </w:p>
    <w:p w14:paraId="7BAB07D9">
      <w:pPr>
        <w:spacing w:line="600" w:lineRule="exact"/>
        <w:ind w:firstLine="640" w:firstLineChars="200"/>
        <w:outlineLvl w:val="0"/>
        <w:rPr>
          <w:rFonts w:eastAsia="仿宋_GB2312"/>
          <w:sz w:val="32"/>
          <w:szCs w:val="32"/>
          <w:highlight w:val="none"/>
        </w:rPr>
      </w:pPr>
      <w:r>
        <w:rPr>
          <w:rFonts w:eastAsia="仿宋_GB2312"/>
          <w:sz w:val="32"/>
          <w:szCs w:val="32"/>
          <w:highlight w:val="none"/>
        </w:rPr>
        <w:t>项目产出类指标包括产出数量、产出质量、产出时效</w:t>
      </w:r>
      <w:r>
        <w:rPr>
          <w:rFonts w:hint="eastAsia" w:eastAsia="仿宋_GB2312"/>
          <w:sz w:val="32"/>
          <w:szCs w:val="32"/>
          <w:highlight w:val="none"/>
        </w:rPr>
        <w:t>、</w:t>
      </w:r>
      <w:r>
        <w:rPr>
          <w:rFonts w:eastAsia="仿宋_GB2312"/>
          <w:sz w:val="32"/>
          <w:szCs w:val="32"/>
          <w:highlight w:val="none"/>
        </w:rPr>
        <w:t>产出成本四方面的内容</w:t>
      </w:r>
      <w:r>
        <w:rPr>
          <w:rFonts w:hint="eastAsia" w:eastAsia="仿宋_GB2312"/>
          <w:sz w:val="32"/>
          <w:szCs w:val="32"/>
          <w:highlight w:val="none"/>
        </w:rPr>
        <w:t>，</w:t>
      </w:r>
      <w:r>
        <w:rPr>
          <w:rFonts w:eastAsia="仿宋_GB2312"/>
          <w:sz w:val="32"/>
          <w:szCs w:val="32"/>
          <w:highlight w:val="none"/>
        </w:rPr>
        <w:t>由</w:t>
      </w:r>
      <w:r>
        <w:rPr>
          <w:rFonts w:hint="eastAsia" w:eastAsia="仿宋_GB2312"/>
          <w:sz w:val="32"/>
          <w:szCs w:val="32"/>
          <w:highlight w:val="none"/>
          <w:lang w:val="en-US" w:eastAsia="zh-CN"/>
        </w:rPr>
        <w:t>6</w:t>
      </w:r>
      <w:r>
        <w:rPr>
          <w:rFonts w:eastAsia="仿宋_GB2312"/>
          <w:sz w:val="32"/>
          <w:szCs w:val="32"/>
          <w:highlight w:val="none"/>
        </w:rPr>
        <w:t>个三级指标构成，权重分为</w:t>
      </w:r>
      <w:r>
        <w:rPr>
          <w:rFonts w:hint="eastAsia" w:eastAsia="仿宋_GB2312"/>
          <w:sz w:val="32"/>
          <w:szCs w:val="32"/>
          <w:highlight w:val="none"/>
        </w:rPr>
        <w:t>40</w:t>
      </w:r>
      <w:r>
        <w:rPr>
          <w:rFonts w:eastAsia="仿宋_GB2312"/>
          <w:sz w:val="32"/>
          <w:szCs w:val="32"/>
          <w:highlight w:val="none"/>
        </w:rPr>
        <w:t>分，实际得分</w:t>
      </w:r>
      <w:r>
        <w:rPr>
          <w:rFonts w:hint="eastAsia" w:eastAsia="仿宋_GB2312"/>
          <w:sz w:val="32"/>
          <w:szCs w:val="32"/>
          <w:highlight w:val="none"/>
        </w:rPr>
        <w:t>40</w:t>
      </w:r>
      <w:r>
        <w:rPr>
          <w:rFonts w:eastAsia="仿宋_GB2312"/>
          <w:sz w:val="32"/>
          <w:szCs w:val="32"/>
          <w:highlight w:val="none"/>
        </w:rPr>
        <w:t>分，得分率为</w:t>
      </w:r>
      <w:r>
        <w:rPr>
          <w:rFonts w:hint="eastAsia" w:eastAsia="仿宋_GB2312"/>
          <w:sz w:val="32"/>
          <w:szCs w:val="32"/>
          <w:highlight w:val="none"/>
        </w:rPr>
        <w:t>100</w:t>
      </w:r>
      <w:r>
        <w:rPr>
          <w:rFonts w:eastAsia="仿宋_GB2312"/>
          <w:sz w:val="32"/>
          <w:szCs w:val="32"/>
          <w:highlight w:val="none"/>
        </w:rPr>
        <w:t>%。具体产出指标完成情况如下：</w:t>
      </w:r>
    </w:p>
    <w:p w14:paraId="3FE7D138">
      <w:pPr>
        <w:spacing w:line="600" w:lineRule="exact"/>
        <w:ind w:firstLine="640" w:firstLineChars="200"/>
        <w:outlineLvl w:val="0"/>
        <w:rPr>
          <w:rFonts w:eastAsia="仿宋_GB2312"/>
          <w:sz w:val="32"/>
          <w:szCs w:val="32"/>
          <w:highlight w:val="none"/>
        </w:rPr>
      </w:pPr>
      <w:r>
        <w:rPr>
          <w:rFonts w:eastAsia="仿宋_GB2312"/>
          <w:sz w:val="32"/>
          <w:szCs w:val="32"/>
          <w:highlight w:val="none"/>
        </w:rPr>
        <w:fldChar w:fldCharType="begin"/>
      </w:r>
      <w:r>
        <w:rPr>
          <w:rFonts w:eastAsia="仿宋_GB2312"/>
          <w:sz w:val="32"/>
          <w:szCs w:val="32"/>
          <w:highlight w:val="none"/>
        </w:rPr>
        <w:instrText xml:space="preserve"> = 1 \* GB3 </w:instrText>
      </w:r>
      <w:r>
        <w:rPr>
          <w:rFonts w:eastAsia="仿宋_GB2312"/>
          <w:sz w:val="32"/>
          <w:szCs w:val="32"/>
          <w:highlight w:val="none"/>
        </w:rPr>
        <w:fldChar w:fldCharType="separate"/>
      </w:r>
      <w:r>
        <w:rPr>
          <w:rFonts w:eastAsia="仿宋_GB2312"/>
          <w:sz w:val="32"/>
          <w:szCs w:val="32"/>
          <w:highlight w:val="none"/>
        </w:rPr>
        <w:t>①</w:t>
      </w:r>
      <w:r>
        <w:rPr>
          <w:rFonts w:eastAsia="仿宋_GB2312"/>
          <w:sz w:val="32"/>
          <w:szCs w:val="32"/>
          <w:highlight w:val="none"/>
        </w:rPr>
        <w:fldChar w:fldCharType="end"/>
      </w:r>
      <w:r>
        <w:rPr>
          <w:rFonts w:eastAsia="仿宋_GB2312"/>
          <w:sz w:val="32"/>
          <w:szCs w:val="32"/>
          <w:highlight w:val="none"/>
        </w:rPr>
        <w:t>数量指标：</w:t>
      </w:r>
    </w:p>
    <w:p w14:paraId="7BCC5BC3">
      <w:pPr>
        <w:spacing w:line="600" w:lineRule="exact"/>
        <w:ind w:firstLine="640" w:firstLineChars="200"/>
        <w:outlineLvl w:val="0"/>
        <w:rPr>
          <w:rFonts w:hint="default" w:eastAsia="仿宋_GB2312"/>
          <w:sz w:val="32"/>
          <w:szCs w:val="32"/>
          <w:highlight w:val="none"/>
          <w:lang w:val="en-US" w:eastAsia="zh-CN"/>
        </w:rPr>
      </w:pPr>
      <w:r>
        <w:rPr>
          <w:rFonts w:eastAsia="仿宋_GB2312"/>
          <w:sz w:val="32"/>
          <w:szCs w:val="32"/>
          <w:highlight w:val="none"/>
        </w:rPr>
        <w:t xml:space="preserve">指标1： </w:t>
      </w:r>
      <w:r>
        <w:rPr>
          <w:rFonts w:hint="eastAsia" w:eastAsia="仿宋_GB2312"/>
          <w:sz w:val="32"/>
          <w:szCs w:val="32"/>
          <w:highlight w:val="none"/>
          <w:lang w:eastAsia="zh-CN"/>
        </w:rPr>
        <w:t>保障农村学前三年适龄幼儿人数</w:t>
      </w:r>
      <w:r>
        <w:rPr>
          <w:rFonts w:eastAsia="仿宋_GB2312"/>
          <w:sz w:val="32"/>
          <w:szCs w:val="32"/>
          <w:highlight w:val="none"/>
        </w:rPr>
        <w:t xml:space="preserve"> ，指标值：</w:t>
      </w:r>
      <w:r>
        <w:rPr>
          <w:rFonts w:hint="eastAsia" w:eastAsia="仿宋_GB2312"/>
          <w:sz w:val="32"/>
          <w:szCs w:val="32"/>
          <w:highlight w:val="none"/>
          <w:lang w:val="en-US" w:eastAsia="zh-CN"/>
        </w:rPr>
        <w:t>&gt;=294人</w:t>
      </w:r>
      <w:r>
        <w:rPr>
          <w:rFonts w:eastAsia="仿宋_GB2312"/>
          <w:sz w:val="32"/>
          <w:szCs w:val="32"/>
          <w:highlight w:val="none"/>
        </w:rPr>
        <w:t>，实际完成值：</w:t>
      </w:r>
      <w:r>
        <w:rPr>
          <w:rFonts w:hint="eastAsia" w:eastAsia="仿宋_GB2312"/>
          <w:sz w:val="32"/>
          <w:szCs w:val="32"/>
          <w:highlight w:val="none"/>
          <w:lang w:val="en-US" w:eastAsia="zh-CN"/>
        </w:rPr>
        <w:t>294人</w:t>
      </w:r>
      <w:r>
        <w:rPr>
          <w:rFonts w:eastAsia="仿宋_GB2312"/>
          <w:sz w:val="32"/>
          <w:szCs w:val="32"/>
          <w:highlight w:val="none"/>
        </w:rPr>
        <w:t xml:space="preserve">，指标完成率 </w:t>
      </w:r>
      <w:r>
        <w:rPr>
          <w:rFonts w:hint="eastAsia" w:eastAsia="仿宋_GB2312"/>
          <w:sz w:val="32"/>
          <w:szCs w:val="32"/>
          <w:highlight w:val="none"/>
        </w:rPr>
        <w:t>100</w:t>
      </w:r>
      <w:r>
        <w:rPr>
          <w:rFonts w:eastAsia="仿宋_GB2312"/>
          <w:sz w:val="32"/>
          <w:szCs w:val="32"/>
          <w:highlight w:val="none"/>
        </w:rPr>
        <w:t xml:space="preserve"> %</w:t>
      </w:r>
      <w:r>
        <w:rPr>
          <w:rFonts w:hint="eastAsia" w:eastAsia="仿宋_GB2312"/>
          <w:sz w:val="32"/>
          <w:szCs w:val="32"/>
          <w:highlight w:val="none"/>
          <w:lang w:eastAsia="zh-CN"/>
        </w:rPr>
        <w:t>，</w:t>
      </w:r>
      <w:r>
        <w:rPr>
          <w:rFonts w:hint="eastAsia" w:eastAsia="仿宋_GB2312"/>
          <w:sz w:val="32"/>
          <w:szCs w:val="32"/>
          <w:highlight w:val="none"/>
          <w:lang w:val="en-US" w:eastAsia="zh-CN"/>
        </w:rPr>
        <w:t>偏差原因：无。</w:t>
      </w:r>
    </w:p>
    <w:p w14:paraId="1B1E5D23">
      <w:pPr>
        <w:spacing w:line="600" w:lineRule="exact"/>
        <w:ind w:firstLine="640" w:firstLineChars="200"/>
        <w:outlineLvl w:val="0"/>
        <w:rPr>
          <w:rFonts w:eastAsia="仿宋_GB2312"/>
          <w:sz w:val="32"/>
          <w:szCs w:val="32"/>
          <w:highlight w:val="none"/>
        </w:rPr>
      </w:pPr>
      <w:r>
        <w:rPr>
          <w:rFonts w:hint="eastAsia" w:eastAsia="仿宋_GB2312"/>
          <w:sz w:val="32"/>
          <w:szCs w:val="32"/>
          <w:highlight w:val="none"/>
        </w:rPr>
        <w:t xml:space="preserve"> </w:t>
      </w:r>
      <w:r>
        <w:rPr>
          <w:rFonts w:eastAsia="仿宋_GB2312"/>
          <w:sz w:val="32"/>
          <w:szCs w:val="32"/>
          <w:highlight w:val="none"/>
        </w:rPr>
        <w:fldChar w:fldCharType="begin"/>
      </w:r>
      <w:r>
        <w:rPr>
          <w:rFonts w:eastAsia="仿宋_GB2312"/>
          <w:sz w:val="32"/>
          <w:szCs w:val="32"/>
          <w:highlight w:val="none"/>
        </w:rPr>
        <w:instrText xml:space="preserve"> = 2 \* GB3 </w:instrText>
      </w:r>
      <w:r>
        <w:rPr>
          <w:rFonts w:eastAsia="仿宋_GB2312"/>
          <w:sz w:val="32"/>
          <w:szCs w:val="32"/>
          <w:highlight w:val="none"/>
        </w:rPr>
        <w:fldChar w:fldCharType="separate"/>
      </w:r>
      <w:r>
        <w:rPr>
          <w:rFonts w:eastAsia="仿宋_GB2312"/>
          <w:sz w:val="32"/>
          <w:szCs w:val="32"/>
          <w:highlight w:val="none"/>
        </w:rPr>
        <w:t>②</w:t>
      </w:r>
      <w:r>
        <w:rPr>
          <w:rFonts w:eastAsia="仿宋_GB2312"/>
          <w:sz w:val="32"/>
          <w:szCs w:val="32"/>
          <w:highlight w:val="none"/>
        </w:rPr>
        <w:fldChar w:fldCharType="end"/>
      </w:r>
      <w:r>
        <w:rPr>
          <w:rFonts w:eastAsia="仿宋_GB2312"/>
          <w:sz w:val="32"/>
          <w:szCs w:val="32"/>
          <w:highlight w:val="none"/>
        </w:rPr>
        <w:t>质量指标：</w:t>
      </w:r>
    </w:p>
    <w:p w14:paraId="3D43A1FD">
      <w:pPr>
        <w:spacing w:line="600" w:lineRule="exact"/>
        <w:ind w:firstLine="640" w:firstLineChars="200"/>
        <w:outlineLvl w:val="0"/>
        <w:rPr>
          <w:rFonts w:hint="default" w:eastAsia="仿宋_GB2312"/>
          <w:sz w:val="32"/>
          <w:szCs w:val="32"/>
          <w:highlight w:val="none"/>
          <w:lang w:val="en-US" w:eastAsia="zh-CN"/>
        </w:rPr>
      </w:pPr>
      <w:r>
        <w:rPr>
          <w:rFonts w:eastAsia="仿宋_GB2312"/>
          <w:sz w:val="32"/>
          <w:szCs w:val="32"/>
          <w:highlight w:val="none"/>
        </w:rPr>
        <w:t xml:space="preserve">指标1： </w:t>
      </w:r>
      <w:r>
        <w:rPr>
          <w:rFonts w:hint="eastAsia" w:eastAsia="仿宋_GB2312"/>
          <w:sz w:val="32"/>
          <w:szCs w:val="32"/>
          <w:highlight w:val="none"/>
          <w:lang w:eastAsia="zh-CN"/>
        </w:rPr>
        <w:t>学前国语教育覆盖率</w:t>
      </w:r>
      <w:r>
        <w:rPr>
          <w:rFonts w:eastAsia="仿宋_GB2312"/>
          <w:sz w:val="32"/>
          <w:szCs w:val="32"/>
          <w:highlight w:val="none"/>
        </w:rPr>
        <w:t xml:space="preserve">，指标值： </w:t>
      </w:r>
      <w:r>
        <w:rPr>
          <w:rFonts w:hint="eastAsia" w:eastAsia="仿宋_GB2312"/>
          <w:sz w:val="32"/>
          <w:szCs w:val="32"/>
          <w:highlight w:val="none"/>
        </w:rPr>
        <w:t>&gt;=100%</w:t>
      </w:r>
      <w:r>
        <w:rPr>
          <w:rFonts w:eastAsia="仿宋_GB2312"/>
          <w:sz w:val="32"/>
          <w:szCs w:val="32"/>
          <w:highlight w:val="none"/>
        </w:rPr>
        <w:t xml:space="preserve"> ，实际完成值</w:t>
      </w:r>
      <w:r>
        <w:rPr>
          <w:rFonts w:hint="eastAsia" w:eastAsia="仿宋_GB2312"/>
          <w:sz w:val="32"/>
          <w:szCs w:val="32"/>
          <w:highlight w:val="none"/>
        </w:rPr>
        <w:t>100%</w:t>
      </w:r>
      <w:r>
        <w:rPr>
          <w:rFonts w:eastAsia="仿宋_GB2312"/>
          <w:sz w:val="32"/>
          <w:szCs w:val="32"/>
          <w:highlight w:val="none"/>
        </w:rPr>
        <w:t>，指标完成率</w:t>
      </w:r>
      <w:r>
        <w:rPr>
          <w:rFonts w:hint="eastAsia" w:eastAsia="仿宋_GB2312"/>
          <w:sz w:val="32"/>
          <w:szCs w:val="32"/>
          <w:highlight w:val="none"/>
        </w:rPr>
        <w:t>100%</w:t>
      </w:r>
      <w:r>
        <w:rPr>
          <w:rFonts w:hint="eastAsia" w:eastAsia="仿宋_GB2312"/>
          <w:sz w:val="32"/>
          <w:szCs w:val="32"/>
          <w:highlight w:val="none"/>
          <w:lang w:eastAsia="zh-CN"/>
        </w:rPr>
        <w:t>，</w:t>
      </w:r>
      <w:r>
        <w:rPr>
          <w:rFonts w:hint="eastAsia" w:eastAsia="仿宋_GB2312"/>
          <w:sz w:val="32"/>
          <w:szCs w:val="32"/>
          <w:highlight w:val="none"/>
          <w:lang w:val="en-US" w:eastAsia="zh-CN"/>
        </w:rPr>
        <w:t>偏差原因：无。</w:t>
      </w:r>
    </w:p>
    <w:p w14:paraId="3B9C60A4">
      <w:pPr>
        <w:spacing w:line="600" w:lineRule="exact"/>
        <w:ind w:firstLine="640" w:firstLineChars="200"/>
        <w:outlineLvl w:val="0"/>
        <w:rPr>
          <w:rFonts w:eastAsia="仿宋_GB2312"/>
          <w:sz w:val="32"/>
          <w:szCs w:val="32"/>
          <w:highlight w:val="none"/>
        </w:rPr>
      </w:pPr>
      <w:r>
        <w:rPr>
          <w:rFonts w:eastAsia="仿宋_GB2312"/>
          <w:sz w:val="32"/>
          <w:szCs w:val="32"/>
          <w:highlight w:val="none"/>
        </w:rPr>
        <w:fldChar w:fldCharType="begin"/>
      </w:r>
      <w:r>
        <w:rPr>
          <w:rFonts w:eastAsia="仿宋_GB2312"/>
          <w:sz w:val="32"/>
          <w:szCs w:val="32"/>
          <w:highlight w:val="none"/>
        </w:rPr>
        <w:instrText xml:space="preserve"> = 3 \* GB3 </w:instrText>
      </w:r>
      <w:r>
        <w:rPr>
          <w:rFonts w:eastAsia="仿宋_GB2312"/>
          <w:sz w:val="32"/>
          <w:szCs w:val="32"/>
          <w:highlight w:val="none"/>
        </w:rPr>
        <w:fldChar w:fldCharType="separate"/>
      </w:r>
      <w:r>
        <w:rPr>
          <w:rFonts w:eastAsia="仿宋_GB2312"/>
          <w:sz w:val="32"/>
          <w:szCs w:val="32"/>
          <w:highlight w:val="none"/>
        </w:rPr>
        <w:t>③</w:t>
      </w:r>
      <w:r>
        <w:rPr>
          <w:rFonts w:eastAsia="仿宋_GB2312"/>
          <w:sz w:val="32"/>
          <w:szCs w:val="32"/>
          <w:highlight w:val="none"/>
        </w:rPr>
        <w:fldChar w:fldCharType="end"/>
      </w:r>
      <w:r>
        <w:rPr>
          <w:rFonts w:eastAsia="仿宋_GB2312"/>
          <w:sz w:val="32"/>
          <w:szCs w:val="32"/>
          <w:highlight w:val="none"/>
        </w:rPr>
        <w:t>时效指标：</w:t>
      </w:r>
    </w:p>
    <w:p w14:paraId="543D38F6">
      <w:pPr>
        <w:spacing w:line="600" w:lineRule="exact"/>
        <w:ind w:firstLine="640" w:firstLineChars="200"/>
        <w:outlineLvl w:val="0"/>
        <w:rPr>
          <w:rFonts w:hint="default" w:eastAsia="仿宋_GB2312"/>
          <w:sz w:val="32"/>
          <w:szCs w:val="32"/>
          <w:highlight w:val="none"/>
          <w:lang w:val="en-US" w:eastAsia="zh-CN"/>
        </w:rPr>
      </w:pPr>
      <w:r>
        <w:rPr>
          <w:rFonts w:eastAsia="仿宋_GB2312"/>
          <w:sz w:val="32"/>
          <w:szCs w:val="32"/>
          <w:highlight w:val="none"/>
        </w:rPr>
        <w:t>指标</w:t>
      </w:r>
      <w:r>
        <w:rPr>
          <w:rFonts w:hint="eastAsia" w:eastAsia="仿宋_GB2312"/>
          <w:sz w:val="32"/>
          <w:szCs w:val="32"/>
          <w:highlight w:val="none"/>
        </w:rPr>
        <w:t>1</w:t>
      </w:r>
      <w:r>
        <w:rPr>
          <w:rFonts w:eastAsia="仿宋_GB2312"/>
          <w:sz w:val="32"/>
          <w:szCs w:val="32"/>
          <w:highlight w:val="none"/>
        </w:rPr>
        <w:t>：</w:t>
      </w:r>
      <w:r>
        <w:rPr>
          <w:rFonts w:hint="eastAsia" w:eastAsia="仿宋_GB2312"/>
          <w:sz w:val="32"/>
          <w:szCs w:val="32"/>
          <w:highlight w:val="none"/>
          <w:lang w:eastAsia="zh-CN"/>
        </w:rPr>
        <w:t>资金支出情况</w:t>
      </w:r>
      <w:r>
        <w:rPr>
          <w:rFonts w:eastAsia="仿宋_GB2312"/>
          <w:sz w:val="32"/>
          <w:szCs w:val="32"/>
          <w:highlight w:val="none"/>
        </w:rPr>
        <w:t>，指标值：=</w:t>
      </w:r>
      <w:r>
        <w:rPr>
          <w:rFonts w:hint="eastAsia" w:eastAsia="仿宋_GB2312"/>
          <w:sz w:val="32"/>
          <w:szCs w:val="32"/>
          <w:highlight w:val="none"/>
          <w:lang w:val="en-US" w:eastAsia="zh-CN"/>
        </w:rPr>
        <w:t>12月底前支出</w:t>
      </w:r>
      <w:r>
        <w:rPr>
          <w:rFonts w:eastAsia="仿宋_GB2312"/>
          <w:sz w:val="32"/>
          <w:szCs w:val="32"/>
          <w:highlight w:val="none"/>
        </w:rPr>
        <w:t>，实际完成值：</w:t>
      </w:r>
      <w:r>
        <w:rPr>
          <w:rFonts w:hint="eastAsia" w:eastAsia="仿宋_GB2312"/>
          <w:sz w:val="32"/>
          <w:szCs w:val="32"/>
          <w:highlight w:val="none"/>
          <w:lang w:val="en-US" w:eastAsia="zh-CN"/>
        </w:rPr>
        <w:t>12月底前支出</w:t>
      </w:r>
      <w:r>
        <w:rPr>
          <w:rFonts w:eastAsia="仿宋_GB2312"/>
          <w:sz w:val="32"/>
          <w:szCs w:val="32"/>
          <w:highlight w:val="none"/>
        </w:rPr>
        <w:t xml:space="preserve"> ，指标完成率 </w:t>
      </w:r>
      <w:r>
        <w:rPr>
          <w:rFonts w:hint="eastAsia" w:eastAsia="仿宋_GB2312"/>
          <w:sz w:val="32"/>
          <w:szCs w:val="32"/>
          <w:highlight w:val="none"/>
        </w:rPr>
        <w:t>100</w:t>
      </w:r>
      <w:r>
        <w:rPr>
          <w:rFonts w:eastAsia="仿宋_GB2312"/>
          <w:sz w:val="32"/>
          <w:szCs w:val="32"/>
          <w:highlight w:val="none"/>
        </w:rPr>
        <w:t xml:space="preserve"> %</w:t>
      </w:r>
      <w:r>
        <w:rPr>
          <w:rFonts w:hint="eastAsia" w:eastAsia="仿宋_GB2312"/>
          <w:sz w:val="32"/>
          <w:szCs w:val="32"/>
          <w:highlight w:val="none"/>
          <w:lang w:eastAsia="zh-CN"/>
        </w:rPr>
        <w:t>，</w:t>
      </w:r>
      <w:r>
        <w:rPr>
          <w:rFonts w:hint="eastAsia" w:eastAsia="仿宋_GB2312"/>
          <w:sz w:val="32"/>
          <w:szCs w:val="32"/>
          <w:highlight w:val="none"/>
          <w:lang w:val="en-US" w:eastAsia="zh-CN"/>
        </w:rPr>
        <w:t>偏差原因：无。</w:t>
      </w:r>
    </w:p>
    <w:p w14:paraId="51178046">
      <w:pPr>
        <w:spacing w:line="600" w:lineRule="exact"/>
        <w:ind w:firstLine="640" w:firstLineChars="200"/>
        <w:outlineLvl w:val="0"/>
        <w:rPr>
          <w:rFonts w:eastAsia="仿宋_GB2312"/>
          <w:sz w:val="32"/>
          <w:szCs w:val="32"/>
          <w:highlight w:val="none"/>
        </w:rPr>
      </w:pPr>
      <w:r>
        <w:rPr>
          <w:rFonts w:eastAsia="仿宋_GB2312"/>
          <w:sz w:val="32"/>
          <w:szCs w:val="32"/>
          <w:highlight w:val="none"/>
        </w:rPr>
        <w:fldChar w:fldCharType="begin"/>
      </w:r>
      <w:r>
        <w:rPr>
          <w:rFonts w:eastAsia="仿宋_GB2312"/>
          <w:sz w:val="32"/>
          <w:szCs w:val="32"/>
          <w:highlight w:val="none"/>
        </w:rPr>
        <w:instrText xml:space="preserve"> = 4 \* GB3 </w:instrText>
      </w:r>
      <w:r>
        <w:rPr>
          <w:rFonts w:eastAsia="仿宋_GB2312"/>
          <w:sz w:val="32"/>
          <w:szCs w:val="32"/>
          <w:highlight w:val="none"/>
        </w:rPr>
        <w:fldChar w:fldCharType="separate"/>
      </w:r>
      <w:r>
        <w:rPr>
          <w:rFonts w:eastAsia="仿宋_GB2312"/>
          <w:sz w:val="32"/>
          <w:szCs w:val="32"/>
          <w:highlight w:val="none"/>
        </w:rPr>
        <w:t>④</w:t>
      </w:r>
      <w:r>
        <w:rPr>
          <w:rFonts w:eastAsia="仿宋_GB2312"/>
          <w:sz w:val="32"/>
          <w:szCs w:val="32"/>
          <w:highlight w:val="none"/>
        </w:rPr>
        <w:fldChar w:fldCharType="end"/>
      </w:r>
      <w:r>
        <w:rPr>
          <w:rFonts w:eastAsia="仿宋_GB2312"/>
          <w:sz w:val="32"/>
          <w:szCs w:val="32"/>
          <w:highlight w:val="none"/>
        </w:rPr>
        <w:t>成本指标：</w:t>
      </w:r>
    </w:p>
    <w:p w14:paraId="3B2EC470">
      <w:pPr>
        <w:spacing w:line="600" w:lineRule="exact"/>
        <w:ind w:firstLine="640" w:firstLineChars="200"/>
        <w:outlineLvl w:val="0"/>
        <w:rPr>
          <w:rFonts w:hint="default" w:eastAsia="仿宋_GB2312"/>
          <w:sz w:val="32"/>
          <w:szCs w:val="32"/>
          <w:highlight w:val="none"/>
          <w:lang w:val="en-US" w:eastAsia="zh-CN"/>
        </w:rPr>
      </w:pPr>
      <w:r>
        <w:rPr>
          <w:rFonts w:eastAsia="仿宋_GB2312"/>
          <w:sz w:val="32"/>
          <w:szCs w:val="32"/>
          <w:highlight w:val="none"/>
        </w:rPr>
        <w:t xml:space="preserve">指标1： </w:t>
      </w:r>
      <w:r>
        <w:rPr>
          <w:rFonts w:hint="eastAsia" w:eastAsia="仿宋_GB2312"/>
          <w:sz w:val="32"/>
          <w:szCs w:val="32"/>
          <w:highlight w:val="none"/>
          <w:lang w:eastAsia="zh-CN"/>
        </w:rPr>
        <w:t>幼儿伙食费</w:t>
      </w:r>
      <w:r>
        <w:rPr>
          <w:rFonts w:eastAsia="仿宋_GB2312"/>
          <w:sz w:val="32"/>
          <w:szCs w:val="32"/>
          <w:highlight w:val="none"/>
        </w:rPr>
        <w:t>，指标值：=</w:t>
      </w:r>
      <w:r>
        <w:rPr>
          <w:rFonts w:hint="eastAsia" w:eastAsia="仿宋_GB2312"/>
          <w:sz w:val="32"/>
          <w:szCs w:val="32"/>
          <w:highlight w:val="none"/>
          <w:lang w:val="en-US" w:eastAsia="zh-CN"/>
        </w:rPr>
        <w:t>1450</w:t>
      </w:r>
      <w:r>
        <w:rPr>
          <w:rFonts w:eastAsia="仿宋_GB2312"/>
          <w:sz w:val="32"/>
          <w:szCs w:val="32"/>
          <w:highlight w:val="none"/>
        </w:rPr>
        <w:t>元/生/年 ，实际完成值</w:t>
      </w:r>
      <w:r>
        <w:rPr>
          <w:rFonts w:hint="eastAsia" w:eastAsia="仿宋_GB2312"/>
          <w:sz w:val="32"/>
          <w:szCs w:val="32"/>
          <w:highlight w:val="none"/>
          <w:lang w:val="en-US" w:eastAsia="zh-CN"/>
        </w:rPr>
        <w:t>1450</w:t>
      </w:r>
      <w:r>
        <w:rPr>
          <w:rFonts w:hint="eastAsia" w:eastAsia="仿宋_GB2312"/>
          <w:sz w:val="32"/>
          <w:szCs w:val="32"/>
          <w:highlight w:val="none"/>
        </w:rPr>
        <w:t>元/生/年</w:t>
      </w:r>
      <w:r>
        <w:rPr>
          <w:rFonts w:eastAsia="仿宋_GB2312"/>
          <w:sz w:val="32"/>
          <w:szCs w:val="32"/>
          <w:highlight w:val="none"/>
        </w:rPr>
        <w:t>，指标完成率</w:t>
      </w:r>
      <w:r>
        <w:rPr>
          <w:rFonts w:hint="eastAsia" w:eastAsia="仿宋_GB2312"/>
          <w:sz w:val="32"/>
          <w:szCs w:val="32"/>
          <w:highlight w:val="none"/>
        </w:rPr>
        <w:t>100%</w:t>
      </w:r>
      <w:r>
        <w:rPr>
          <w:rFonts w:hint="eastAsia" w:eastAsia="仿宋_GB2312"/>
          <w:sz w:val="32"/>
          <w:szCs w:val="32"/>
          <w:highlight w:val="none"/>
          <w:lang w:eastAsia="zh-CN"/>
        </w:rPr>
        <w:t>，</w:t>
      </w:r>
      <w:r>
        <w:rPr>
          <w:rFonts w:hint="eastAsia" w:eastAsia="仿宋_GB2312"/>
          <w:sz w:val="32"/>
          <w:szCs w:val="32"/>
          <w:highlight w:val="none"/>
          <w:lang w:val="en-US" w:eastAsia="zh-CN"/>
        </w:rPr>
        <w:t>偏差原因：无。</w:t>
      </w:r>
    </w:p>
    <w:p w14:paraId="352D7377">
      <w:pPr>
        <w:spacing w:line="600" w:lineRule="exact"/>
        <w:ind w:firstLine="640" w:firstLineChars="200"/>
        <w:outlineLvl w:val="0"/>
        <w:rPr>
          <w:rFonts w:hint="default" w:eastAsia="仿宋_GB2312"/>
          <w:sz w:val="32"/>
          <w:szCs w:val="32"/>
          <w:highlight w:val="none"/>
          <w:lang w:val="en-US" w:eastAsia="zh-CN"/>
        </w:rPr>
      </w:pPr>
      <w:r>
        <w:rPr>
          <w:rFonts w:eastAsia="仿宋_GB2312"/>
          <w:sz w:val="32"/>
          <w:szCs w:val="32"/>
          <w:highlight w:val="none"/>
        </w:rPr>
        <w:t>指标</w:t>
      </w:r>
      <w:r>
        <w:rPr>
          <w:rFonts w:hint="eastAsia" w:eastAsia="仿宋_GB2312"/>
          <w:sz w:val="32"/>
          <w:szCs w:val="32"/>
          <w:highlight w:val="none"/>
        </w:rPr>
        <w:t>2</w:t>
      </w:r>
      <w:r>
        <w:rPr>
          <w:rFonts w:eastAsia="仿宋_GB2312"/>
          <w:sz w:val="32"/>
          <w:szCs w:val="32"/>
          <w:highlight w:val="none"/>
        </w:rPr>
        <w:t>：</w:t>
      </w:r>
      <w:r>
        <w:rPr>
          <w:rFonts w:hint="eastAsia" w:eastAsia="仿宋_GB2312"/>
          <w:sz w:val="32"/>
          <w:szCs w:val="32"/>
          <w:highlight w:val="none"/>
          <w:lang w:eastAsia="zh-CN"/>
        </w:rPr>
        <w:t>幼儿园取暖费</w:t>
      </w:r>
      <w:r>
        <w:rPr>
          <w:rFonts w:eastAsia="仿宋_GB2312"/>
          <w:sz w:val="32"/>
          <w:szCs w:val="32"/>
          <w:highlight w:val="none"/>
        </w:rPr>
        <w:t>，指标值：</w:t>
      </w:r>
      <w:r>
        <w:rPr>
          <w:rFonts w:hint="eastAsia" w:eastAsia="仿宋_GB2312"/>
          <w:sz w:val="32"/>
          <w:szCs w:val="32"/>
          <w:highlight w:val="none"/>
        </w:rPr>
        <w:t>=</w:t>
      </w:r>
      <w:r>
        <w:rPr>
          <w:rFonts w:hint="eastAsia" w:eastAsia="仿宋_GB2312"/>
          <w:sz w:val="32"/>
          <w:szCs w:val="32"/>
          <w:highlight w:val="none"/>
          <w:lang w:val="en-US" w:eastAsia="zh-CN"/>
        </w:rPr>
        <w:t>120</w:t>
      </w:r>
      <w:r>
        <w:rPr>
          <w:rFonts w:hint="eastAsia" w:eastAsia="仿宋_GB2312"/>
          <w:sz w:val="32"/>
          <w:szCs w:val="32"/>
          <w:highlight w:val="none"/>
        </w:rPr>
        <w:t>元/生/年</w:t>
      </w:r>
      <w:r>
        <w:rPr>
          <w:rFonts w:eastAsia="仿宋_GB2312"/>
          <w:sz w:val="32"/>
          <w:szCs w:val="32"/>
          <w:highlight w:val="none"/>
        </w:rPr>
        <w:t>，实际完成值：</w:t>
      </w:r>
      <w:r>
        <w:rPr>
          <w:rFonts w:hint="eastAsia" w:eastAsia="仿宋_GB2312"/>
          <w:sz w:val="32"/>
          <w:szCs w:val="32"/>
          <w:highlight w:val="none"/>
          <w:lang w:val="en-US" w:eastAsia="zh-CN"/>
        </w:rPr>
        <w:t>120</w:t>
      </w:r>
      <w:r>
        <w:rPr>
          <w:rFonts w:hint="eastAsia" w:eastAsia="仿宋_GB2312"/>
          <w:sz w:val="32"/>
          <w:szCs w:val="32"/>
          <w:highlight w:val="none"/>
        </w:rPr>
        <w:t>元/生/年</w:t>
      </w:r>
      <w:r>
        <w:rPr>
          <w:rFonts w:eastAsia="仿宋_GB2312"/>
          <w:sz w:val="32"/>
          <w:szCs w:val="32"/>
          <w:highlight w:val="none"/>
        </w:rPr>
        <w:t>，指标完成率</w:t>
      </w:r>
      <w:r>
        <w:rPr>
          <w:rFonts w:hint="eastAsia" w:eastAsia="仿宋_GB2312"/>
          <w:sz w:val="32"/>
          <w:szCs w:val="32"/>
          <w:highlight w:val="none"/>
        </w:rPr>
        <w:t>100%</w:t>
      </w:r>
      <w:r>
        <w:rPr>
          <w:rFonts w:hint="eastAsia" w:eastAsia="仿宋_GB2312"/>
          <w:sz w:val="32"/>
          <w:szCs w:val="32"/>
          <w:highlight w:val="none"/>
          <w:lang w:eastAsia="zh-CN"/>
        </w:rPr>
        <w:t>，</w:t>
      </w:r>
      <w:r>
        <w:rPr>
          <w:rFonts w:hint="eastAsia" w:eastAsia="仿宋_GB2312"/>
          <w:sz w:val="32"/>
          <w:szCs w:val="32"/>
          <w:highlight w:val="none"/>
          <w:lang w:val="en-US" w:eastAsia="zh-CN"/>
        </w:rPr>
        <w:t>偏差原因：无。</w:t>
      </w:r>
    </w:p>
    <w:p w14:paraId="3457C848">
      <w:pPr>
        <w:spacing w:line="600" w:lineRule="exact"/>
        <w:ind w:firstLine="640" w:firstLineChars="200"/>
        <w:outlineLvl w:val="0"/>
        <w:rPr>
          <w:rFonts w:eastAsia="仿宋_GB2312"/>
          <w:sz w:val="32"/>
          <w:szCs w:val="32"/>
          <w:highlight w:val="none"/>
        </w:rPr>
      </w:pPr>
      <w:r>
        <w:rPr>
          <w:rFonts w:eastAsia="仿宋_GB2312"/>
          <w:sz w:val="32"/>
          <w:szCs w:val="32"/>
          <w:highlight w:val="none"/>
        </w:rPr>
        <w:t>指标</w:t>
      </w:r>
      <w:r>
        <w:rPr>
          <w:rFonts w:hint="eastAsia" w:eastAsia="仿宋_GB2312"/>
          <w:sz w:val="32"/>
          <w:szCs w:val="32"/>
          <w:highlight w:val="none"/>
        </w:rPr>
        <w:t>3</w:t>
      </w:r>
      <w:r>
        <w:rPr>
          <w:rFonts w:eastAsia="仿宋_GB2312"/>
          <w:sz w:val="32"/>
          <w:szCs w:val="32"/>
          <w:highlight w:val="none"/>
        </w:rPr>
        <w:t>：</w:t>
      </w:r>
      <w:r>
        <w:rPr>
          <w:rFonts w:hint="eastAsia" w:eastAsia="仿宋_GB2312"/>
          <w:sz w:val="32"/>
          <w:szCs w:val="32"/>
          <w:highlight w:val="none"/>
          <w:lang w:eastAsia="zh-CN"/>
        </w:rPr>
        <w:t>公用经费</w:t>
      </w:r>
      <w:r>
        <w:rPr>
          <w:rFonts w:eastAsia="仿宋_GB2312"/>
          <w:sz w:val="32"/>
          <w:szCs w:val="32"/>
          <w:highlight w:val="none"/>
        </w:rPr>
        <w:t>，指标值：</w:t>
      </w:r>
      <w:r>
        <w:rPr>
          <w:rFonts w:hint="eastAsia" w:eastAsia="仿宋_GB2312"/>
          <w:sz w:val="32"/>
          <w:szCs w:val="32"/>
          <w:highlight w:val="none"/>
        </w:rPr>
        <w:t>=</w:t>
      </w:r>
      <w:r>
        <w:rPr>
          <w:rFonts w:hint="eastAsia" w:eastAsia="仿宋_GB2312"/>
          <w:sz w:val="32"/>
          <w:szCs w:val="32"/>
          <w:highlight w:val="none"/>
          <w:lang w:val="en-US" w:eastAsia="zh-CN"/>
        </w:rPr>
        <w:t>600</w:t>
      </w:r>
      <w:r>
        <w:rPr>
          <w:rFonts w:hint="eastAsia" w:eastAsia="仿宋_GB2312"/>
          <w:sz w:val="32"/>
          <w:szCs w:val="32"/>
          <w:highlight w:val="none"/>
        </w:rPr>
        <w:t>元/生/年</w:t>
      </w:r>
      <w:r>
        <w:rPr>
          <w:rFonts w:eastAsia="仿宋_GB2312"/>
          <w:sz w:val="32"/>
          <w:szCs w:val="32"/>
          <w:highlight w:val="none"/>
        </w:rPr>
        <w:t>，实际完成值：</w:t>
      </w:r>
      <w:r>
        <w:rPr>
          <w:rFonts w:hint="eastAsia" w:eastAsia="仿宋_GB2312"/>
          <w:sz w:val="32"/>
          <w:szCs w:val="32"/>
          <w:highlight w:val="none"/>
          <w:lang w:val="en-US" w:eastAsia="zh-CN"/>
        </w:rPr>
        <w:t>600</w:t>
      </w:r>
      <w:r>
        <w:rPr>
          <w:rFonts w:hint="eastAsia" w:eastAsia="仿宋_GB2312"/>
          <w:sz w:val="32"/>
          <w:szCs w:val="32"/>
          <w:highlight w:val="none"/>
        </w:rPr>
        <w:t>元/生/年</w:t>
      </w:r>
      <w:r>
        <w:rPr>
          <w:rFonts w:eastAsia="仿宋_GB2312"/>
          <w:sz w:val="32"/>
          <w:szCs w:val="32"/>
          <w:highlight w:val="none"/>
        </w:rPr>
        <w:t xml:space="preserve"> ，指标完成率 </w:t>
      </w:r>
      <w:r>
        <w:rPr>
          <w:rFonts w:hint="eastAsia" w:eastAsia="仿宋_GB2312"/>
          <w:sz w:val="32"/>
          <w:szCs w:val="32"/>
          <w:highlight w:val="none"/>
        </w:rPr>
        <w:t>100</w:t>
      </w:r>
      <w:r>
        <w:rPr>
          <w:rFonts w:eastAsia="仿宋_GB2312"/>
          <w:sz w:val="32"/>
          <w:szCs w:val="32"/>
          <w:highlight w:val="none"/>
        </w:rPr>
        <w:t xml:space="preserve"> %</w:t>
      </w:r>
      <w:r>
        <w:rPr>
          <w:rFonts w:hint="eastAsia" w:eastAsia="仿宋_GB2312"/>
          <w:sz w:val="32"/>
          <w:szCs w:val="32"/>
          <w:highlight w:val="none"/>
          <w:lang w:eastAsia="zh-CN"/>
        </w:rPr>
        <w:t>，</w:t>
      </w:r>
      <w:r>
        <w:rPr>
          <w:rFonts w:hint="eastAsia" w:eastAsia="仿宋_GB2312"/>
          <w:sz w:val="32"/>
          <w:szCs w:val="32"/>
          <w:highlight w:val="none"/>
          <w:lang w:val="en-US" w:eastAsia="zh-CN"/>
        </w:rPr>
        <w:t>偏差原因：无。</w:t>
      </w:r>
    </w:p>
    <w:p w14:paraId="139CB5EF">
      <w:pPr>
        <w:pStyle w:val="11"/>
        <w:numPr>
          <w:ilvl w:val="0"/>
          <w:numId w:val="4"/>
        </w:numPr>
        <w:spacing w:line="560" w:lineRule="exact"/>
        <w:ind w:firstLine="643"/>
        <w:rPr>
          <w:rFonts w:eastAsia="楷体_GB2312"/>
          <w:b/>
          <w:bCs/>
          <w:sz w:val="32"/>
          <w:szCs w:val="32"/>
          <w:highlight w:val="none"/>
        </w:rPr>
      </w:pPr>
      <w:r>
        <w:rPr>
          <w:rFonts w:eastAsia="楷体_GB2312"/>
          <w:b/>
          <w:bCs/>
          <w:sz w:val="32"/>
          <w:szCs w:val="32"/>
          <w:highlight w:val="none"/>
        </w:rPr>
        <w:t>项目效益情况</w:t>
      </w:r>
    </w:p>
    <w:p w14:paraId="20BA3E17">
      <w:pPr>
        <w:spacing w:line="600" w:lineRule="exact"/>
        <w:ind w:firstLine="640" w:firstLineChars="200"/>
        <w:outlineLvl w:val="0"/>
        <w:rPr>
          <w:rFonts w:eastAsia="仿宋_GB2312"/>
          <w:sz w:val="32"/>
          <w:szCs w:val="32"/>
          <w:highlight w:val="none"/>
        </w:rPr>
      </w:pPr>
      <w:r>
        <w:rPr>
          <w:rFonts w:eastAsia="仿宋_GB2312"/>
          <w:sz w:val="32"/>
          <w:szCs w:val="32"/>
          <w:highlight w:val="none"/>
        </w:rPr>
        <w:t>项目效益类指标包括项目实施效益和满意度两方面的内容，由</w:t>
      </w:r>
      <w:r>
        <w:rPr>
          <w:rFonts w:hint="eastAsia" w:eastAsia="仿宋_GB2312"/>
          <w:sz w:val="32"/>
          <w:szCs w:val="32"/>
          <w:highlight w:val="none"/>
        </w:rPr>
        <w:t>3</w:t>
      </w:r>
      <w:r>
        <w:rPr>
          <w:rFonts w:eastAsia="仿宋_GB2312"/>
          <w:sz w:val="32"/>
          <w:szCs w:val="32"/>
          <w:highlight w:val="none"/>
        </w:rPr>
        <w:t>个三级指标构成，权重分为</w:t>
      </w:r>
      <w:r>
        <w:rPr>
          <w:rFonts w:hint="eastAsia" w:eastAsia="仿宋_GB2312"/>
          <w:sz w:val="32"/>
          <w:szCs w:val="32"/>
          <w:highlight w:val="none"/>
        </w:rPr>
        <w:t>2</w:t>
      </w:r>
      <w:r>
        <w:rPr>
          <w:rFonts w:eastAsia="仿宋_GB2312"/>
          <w:sz w:val="32"/>
          <w:szCs w:val="32"/>
          <w:highlight w:val="none"/>
        </w:rPr>
        <w:t>0分，实际得分</w:t>
      </w:r>
      <w:r>
        <w:rPr>
          <w:rFonts w:hint="eastAsia" w:eastAsia="仿宋_GB2312"/>
          <w:sz w:val="32"/>
          <w:szCs w:val="32"/>
          <w:highlight w:val="none"/>
        </w:rPr>
        <w:t>20</w:t>
      </w:r>
      <w:r>
        <w:rPr>
          <w:rFonts w:eastAsia="仿宋_GB2312"/>
          <w:sz w:val="32"/>
          <w:szCs w:val="32"/>
          <w:highlight w:val="none"/>
        </w:rPr>
        <w:t>分，得分率为</w:t>
      </w:r>
      <w:r>
        <w:rPr>
          <w:rFonts w:hint="eastAsia" w:eastAsia="仿宋_GB2312"/>
          <w:sz w:val="32"/>
          <w:szCs w:val="32"/>
          <w:highlight w:val="none"/>
        </w:rPr>
        <w:t>100</w:t>
      </w:r>
      <w:r>
        <w:rPr>
          <w:rFonts w:eastAsia="仿宋_GB2312"/>
          <w:sz w:val="32"/>
          <w:szCs w:val="32"/>
          <w:highlight w:val="none"/>
        </w:rPr>
        <w:t>%。具体效益指标及满意度指标完成情况如下：</w:t>
      </w:r>
    </w:p>
    <w:p w14:paraId="13EBAE27">
      <w:pPr>
        <w:numPr>
          <w:ilvl w:val="0"/>
          <w:numId w:val="5"/>
        </w:numPr>
        <w:spacing w:line="600" w:lineRule="exact"/>
        <w:ind w:firstLine="640" w:firstLineChars="200"/>
        <w:outlineLvl w:val="0"/>
        <w:rPr>
          <w:rFonts w:eastAsia="仿宋_GB2312"/>
          <w:sz w:val="32"/>
          <w:szCs w:val="32"/>
          <w:highlight w:val="none"/>
        </w:rPr>
      </w:pPr>
      <w:r>
        <w:rPr>
          <w:rFonts w:eastAsia="仿宋_GB2312"/>
          <w:sz w:val="32"/>
          <w:szCs w:val="32"/>
          <w:highlight w:val="none"/>
        </w:rPr>
        <w:t>实施效益</w:t>
      </w:r>
    </w:p>
    <w:p w14:paraId="6ABFFE75">
      <w:pPr>
        <w:spacing w:line="600" w:lineRule="exact"/>
        <w:ind w:firstLine="640" w:firstLineChars="200"/>
        <w:outlineLvl w:val="0"/>
        <w:rPr>
          <w:rFonts w:eastAsia="仿宋_GB2312"/>
          <w:sz w:val="32"/>
          <w:szCs w:val="32"/>
          <w:highlight w:val="none"/>
        </w:rPr>
      </w:pPr>
      <w:r>
        <w:rPr>
          <w:rFonts w:eastAsia="仿宋_GB2312"/>
          <w:sz w:val="32"/>
          <w:szCs w:val="32"/>
          <w:highlight w:val="none"/>
        </w:rPr>
        <w:t>①社会效益指标：</w:t>
      </w:r>
    </w:p>
    <w:p w14:paraId="65ABAF22">
      <w:pPr>
        <w:spacing w:line="600" w:lineRule="exact"/>
        <w:ind w:firstLine="640" w:firstLineChars="200"/>
        <w:outlineLvl w:val="0"/>
        <w:rPr>
          <w:rFonts w:eastAsia="仿宋_GB2312"/>
          <w:sz w:val="32"/>
          <w:szCs w:val="32"/>
          <w:highlight w:val="none"/>
        </w:rPr>
      </w:pPr>
      <w:r>
        <w:rPr>
          <w:rFonts w:eastAsia="仿宋_GB2312"/>
          <w:sz w:val="32"/>
          <w:szCs w:val="32"/>
          <w:highlight w:val="none"/>
        </w:rPr>
        <w:t>指标1</w:t>
      </w:r>
      <w:r>
        <w:rPr>
          <w:rFonts w:hint="eastAsia" w:eastAsia="仿宋_GB2312"/>
          <w:sz w:val="32"/>
          <w:szCs w:val="32"/>
          <w:highlight w:val="none"/>
        </w:rPr>
        <w:t>：</w:t>
      </w:r>
      <w:r>
        <w:rPr>
          <w:rFonts w:hint="eastAsia" w:eastAsia="仿宋_GB2312"/>
          <w:sz w:val="32"/>
          <w:szCs w:val="32"/>
          <w:highlight w:val="none"/>
          <w:lang w:eastAsia="zh-CN"/>
        </w:rPr>
        <w:t>保障适龄幼儿接受学前免费教育</w:t>
      </w:r>
      <w:r>
        <w:rPr>
          <w:rFonts w:eastAsia="仿宋_GB2312"/>
          <w:sz w:val="32"/>
          <w:szCs w:val="32"/>
          <w:highlight w:val="none"/>
        </w:rPr>
        <w:t>，指标值：</w:t>
      </w:r>
      <w:r>
        <w:rPr>
          <w:rFonts w:hint="eastAsia" w:eastAsia="仿宋_GB2312"/>
          <w:sz w:val="32"/>
          <w:szCs w:val="32"/>
          <w:highlight w:val="none"/>
          <w:lang w:eastAsia="zh-CN"/>
        </w:rPr>
        <w:t>持续加强</w:t>
      </w:r>
      <w:r>
        <w:rPr>
          <w:rFonts w:eastAsia="仿宋_GB2312"/>
          <w:sz w:val="32"/>
          <w:szCs w:val="32"/>
          <w:highlight w:val="none"/>
        </w:rPr>
        <w:t xml:space="preserve"> ，实际完成值</w:t>
      </w:r>
      <w:r>
        <w:rPr>
          <w:rFonts w:hint="eastAsia" w:eastAsia="仿宋_GB2312"/>
          <w:sz w:val="32"/>
          <w:szCs w:val="32"/>
          <w:highlight w:val="none"/>
        </w:rPr>
        <w:t>：</w:t>
      </w:r>
      <w:r>
        <w:rPr>
          <w:rFonts w:hint="eastAsia" w:eastAsia="仿宋_GB2312"/>
          <w:sz w:val="32"/>
          <w:szCs w:val="32"/>
          <w:highlight w:val="none"/>
          <w:lang w:eastAsia="zh-CN"/>
        </w:rPr>
        <w:t>逐渐加强</w:t>
      </w:r>
      <w:r>
        <w:rPr>
          <w:rFonts w:eastAsia="仿宋_GB2312"/>
          <w:sz w:val="32"/>
          <w:szCs w:val="32"/>
          <w:highlight w:val="none"/>
        </w:rPr>
        <w:t>，指标完成率</w:t>
      </w:r>
      <w:r>
        <w:rPr>
          <w:rFonts w:hint="eastAsia" w:eastAsia="仿宋_GB2312"/>
          <w:sz w:val="32"/>
          <w:szCs w:val="32"/>
          <w:highlight w:val="none"/>
        </w:rPr>
        <w:t>100%</w:t>
      </w:r>
      <w:r>
        <w:rPr>
          <w:rFonts w:hint="eastAsia" w:eastAsia="仿宋_GB2312"/>
          <w:sz w:val="32"/>
          <w:szCs w:val="32"/>
          <w:highlight w:val="none"/>
          <w:lang w:eastAsia="zh-CN"/>
        </w:rPr>
        <w:t>，</w:t>
      </w:r>
      <w:r>
        <w:rPr>
          <w:rFonts w:hint="eastAsia" w:eastAsia="仿宋_GB2312"/>
          <w:sz w:val="32"/>
          <w:szCs w:val="32"/>
          <w:highlight w:val="none"/>
          <w:lang w:val="en-US" w:eastAsia="zh-CN"/>
        </w:rPr>
        <w:t>偏差原因：无。</w:t>
      </w:r>
    </w:p>
    <w:p w14:paraId="1EE00738">
      <w:pPr>
        <w:numPr>
          <w:ilvl w:val="0"/>
          <w:numId w:val="5"/>
        </w:numPr>
        <w:spacing w:line="600" w:lineRule="exact"/>
        <w:ind w:firstLine="640" w:firstLineChars="200"/>
        <w:outlineLvl w:val="0"/>
        <w:rPr>
          <w:rFonts w:eastAsia="仿宋_GB2312"/>
          <w:sz w:val="32"/>
          <w:szCs w:val="32"/>
          <w:highlight w:val="none"/>
        </w:rPr>
      </w:pPr>
      <w:r>
        <w:rPr>
          <w:rFonts w:eastAsia="仿宋_GB2312"/>
          <w:sz w:val="32"/>
          <w:szCs w:val="32"/>
          <w:highlight w:val="none"/>
        </w:rPr>
        <w:t>满意度</w:t>
      </w:r>
    </w:p>
    <w:p w14:paraId="686A3917">
      <w:pPr>
        <w:spacing w:line="600" w:lineRule="exact"/>
        <w:ind w:firstLine="640" w:firstLineChars="200"/>
        <w:outlineLvl w:val="0"/>
        <w:rPr>
          <w:rFonts w:eastAsia="仿宋_GB2312"/>
          <w:color w:val="FF0000"/>
          <w:sz w:val="32"/>
          <w:szCs w:val="32"/>
          <w:highlight w:val="none"/>
        </w:rPr>
      </w:pPr>
      <w:r>
        <w:rPr>
          <w:rFonts w:eastAsia="仿宋_GB2312"/>
          <w:sz w:val="32"/>
          <w:szCs w:val="32"/>
          <w:highlight w:val="none"/>
        </w:rPr>
        <w:t>指标1</w:t>
      </w:r>
      <w:r>
        <w:rPr>
          <w:rFonts w:hint="eastAsia" w:eastAsia="仿宋_GB2312"/>
          <w:sz w:val="32"/>
          <w:szCs w:val="32"/>
          <w:highlight w:val="none"/>
        </w:rPr>
        <w:t>：</w:t>
      </w:r>
      <w:r>
        <w:rPr>
          <w:rFonts w:eastAsia="仿宋_GB2312"/>
          <w:sz w:val="32"/>
          <w:szCs w:val="32"/>
          <w:highlight w:val="none"/>
        </w:rPr>
        <w:t>学</w:t>
      </w:r>
      <w:r>
        <w:rPr>
          <w:rFonts w:hint="eastAsia" w:eastAsia="仿宋_GB2312"/>
          <w:sz w:val="32"/>
          <w:szCs w:val="32"/>
          <w:highlight w:val="none"/>
          <w:lang w:eastAsia="zh-CN"/>
        </w:rPr>
        <w:t>生</w:t>
      </w:r>
      <w:r>
        <w:rPr>
          <w:rFonts w:eastAsia="仿宋_GB2312"/>
          <w:sz w:val="32"/>
          <w:szCs w:val="32"/>
          <w:highlight w:val="none"/>
        </w:rPr>
        <w:t>满意度，指标值：&gt;=9</w:t>
      </w:r>
      <w:r>
        <w:rPr>
          <w:rFonts w:hint="eastAsia" w:eastAsia="仿宋_GB2312"/>
          <w:sz w:val="32"/>
          <w:szCs w:val="32"/>
          <w:highlight w:val="none"/>
          <w:lang w:val="en-US" w:eastAsia="zh-CN"/>
        </w:rPr>
        <w:t>5</w:t>
      </w:r>
      <w:r>
        <w:rPr>
          <w:rFonts w:eastAsia="仿宋_GB2312"/>
          <w:sz w:val="32"/>
          <w:szCs w:val="32"/>
          <w:highlight w:val="none"/>
        </w:rPr>
        <w:t>% ，实际完成值：</w:t>
      </w:r>
      <w:r>
        <w:rPr>
          <w:rFonts w:hint="eastAsia" w:eastAsia="仿宋_GB2312"/>
          <w:sz w:val="32"/>
          <w:szCs w:val="32"/>
          <w:highlight w:val="none"/>
          <w:lang w:val="en-US" w:eastAsia="zh-CN"/>
        </w:rPr>
        <w:t>100</w:t>
      </w:r>
      <w:r>
        <w:rPr>
          <w:rFonts w:eastAsia="仿宋_GB2312"/>
          <w:sz w:val="32"/>
          <w:szCs w:val="32"/>
          <w:highlight w:val="none"/>
        </w:rPr>
        <w:t>%，指标完成率</w:t>
      </w:r>
      <w:r>
        <w:rPr>
          <w:rFonts w:hint="eastAsia" w:eastAsia="仿宋_GB2312"/>
          <w:sz w:val="32"/>
          <w:szCs w:val="32"/>
          <w:highlight w:val="none"/>
          <w:lang w:val="en-US" w:eastAsia="zh-CN"/>
        </w:rPr>
        <w:t>105.26</w:t>
      </w:r>
      <w:r>
        <w:rPr>
          <w:rFonts w:hint="eastAsia" w:eastAsia="仿宋_GB2312"/>
          <w:sz w:val="32"/>
          <w:szCs w:val="32"/>
          <w:highlight w:val="none"/>
        </w:rPr>
        <w:t>%，偏差率：</w:t>
      </w:r>
      <w:r>
        <w:rPr>
          <w:rFonts w:hint="eastAsia" w:eastAsia="仿宋_GB2312"/>
          <w:sz w:val="32"/>
          <w:szCs w:val="32"/>
          <w:highlight w:val="none"/>
          <w:lang w:val="en-US" w:eastAsia="zh-CN"/>
        </w:rPr>
        <w:t>5.26</w:t>
      </w:r>
      <w:r>
        <w:rPr>
          <w:rFonts w:hint="eastAsia" w:eastAsia="仿宋_GB2312"/>
          <w:sz w:val="32"/>
          <w:szCs w:val="32"/>
          <w:highlight w:val="none"/>
        </w:rPr>
        <w:t>%，偏差原因：</w:t>
      </w:r>
      <w:r>
        <w:rPr>
          <w:rFonts w:hint="eastAsia" w:eastAsia="仿宋_GB2312"/>
          <w:sz w:val="32"/>
          <w:szCs w:val="32"/>
          <w:highlight w:val="none"/>
          <w:lang w:eastAsia="zh-CN"/>
        </w:rPr>
        <w:t>幼儿</w:t>
      </w:r>
      <w:r>
        <w:rPr>
          <w:rFonts w:eastAsia="仿宋_GB2312"/>
          <w:sz w:val="32"/>
          <w:szCs w:val="32"/>
          <w:highlight w:val="none"/>
        </w:rPr>
        <w:t>对此项目满意度较高。</w:t>
      </w:r>
    </w:p>
    <w:p w14:paraId="209BB7C1">
      <w:pPr>
        <w:spacing w:line="600" w:lineRule="exact"/>
        <w:ind w:firstLine="640" w:firstLineChars="200"/>
        <w:outlineLvl w:val="0"/>
        <w:rPr>
          <w:rFonts w:hint="default" w:eastAsia="仿宋_GB2312"/>
          <w:sz w:val="32"/>
          <w:szCs w:val="32"/>
          <w:highlight w:val="none"/>
          <w:lang w:val="en-US" w:eastAsia="zh-CN"/>
        </w:rPr>
      </w:pPr>
      <w:r>
        <w:rPr>
          <w:rFonts w:eastAsia="仿宋_GB2312"/>
          <w:sz w:val="32"/>
          <w:szCs w:val="32"/>
          <w:highlight w:val="none"/>
        </w:rPr>
        <w:t>指标</w:t>
      </w:r>
      <w:r>
        <w:rPr>
          <w:rFonts w:hint="eastAsia" w:eastAsia="仿宋_GB2312"/>
          <w:sz w:val="32"/>
          <w:szCs w:val="32"/>
          <w:highlight w:val="none"/>
        </w:rPr>
        <w:t>2</w:t>
      </w:r>
      <w:r>
        <w:rPr>
          <w:rFonts w:hint="eastAsia" w:eastAsia="仿宋_GB2312"/>
          <w:sz w:val="32"/>
          <w:szCs w:val="32"/>
          <w:highlight w:val="none"/>
          <w:lang w:eastAsia="zh-CN"/>
        </w:rPr>
        <w:t>：</w:t>
      </w:r>
      <w:r>
        <w:rPr>
          <w:rFonts w:eastAsia="仿宋_GB2312"/>
          <w:sz w:val="32"/>
          <w:szCs w:val="32"/>
          <w:highlight w:val="none"/>
        </w:rPr>
        <w:t>家长满意度，指标值：&gt;=9</w:t>
      </w:r>
      <w:r>
        <w:rPr>
          <w:rFonts w:hint="eastAsia" w:eastAsia="仿宋_GB2312"/>
          <w:sz w:val="32"/>
          <w:szCs w:val="32"/>
          <w:highlight w:val="none"/>
          <w:lang w:val="en-US" w:eastAsia="zh-CN"/>
        </w:rPr>
        <w:t>5</w:t>
      </w:r>
      <w:r>
        <w:rPr>
          <w:rFonts w:eastAsia="仿宋_GB2312"/>
          <w:sz w:val="32"/>
          <w:szCs w:val="32"/>
          <w:highlight w:val="none"/>
        </w:rPr>
        <w:t>%，实际</w:t>
      </w:r>
      <w:r>
        <w:rPr>
          <w:rFonts w:hint="eastAsia" w:eastAsia="仿宋_GB2312"/>
          <w:sz w:val="32"/>
          <w:szCs w:val="32"/>
          <w:highlight w:val="none"/>
        </w:rPr>
        <w:t>完成</w:t>
      </w:r>
      <w:r>
        <w:rPr>
          <w:rFonts w:eastAsia="仿宋_GB2312"/>
          <w:sz w:val="32"/>
          <w:szCs w:val="32"/>
          <w:highlight w:val="none"/>
        </w:rPr>
        <w:t>值：</w:t>
      </w:r>
      <w:r>
        <w:rPr>
          <w:rFonts w:hint="eastAsia" w:eastAsia="仿宋_GB2312"/>
          <w:sz w:val="32"/>
          <w:szCs w:val="32"/>
          <w:highlight w:val="none"/>
        </w:rPr>
        <w:t>100</w:t>
      </w:r>
      <w:r>
        <w:rPr>
          <w:rFonts w:eastAsia="仿宋_GB2312"/>
          <w:sz w:val="32"/>
          <w:szCs w:val="32"/>
          <w:highlight w:val="none"/>
        </w:rPr>
        <w:t>%，指标完成率</w:t>
      </w:r>
      <w:r>
        <w:rPr>
          <w:rFonts w:hint="eastAsia" w:eastAsia="仿宋_GB2312"/>
          <w:sz w:val="32"/>
          <w:szCs w:val="32"/>
          <w:highlight w:val="none"/>
          <w:lang w:val="en-US" w:eastAsia="zh-CN"/>
        </w:rPr>
        <w:t>105.26</w:t>
      </w:r>
      <w:r>
        <w:rPr>
          <w:rFonts w:hint="eastAsia" w:eastAsia="仿宋_GB2312"/>
          <w:sz w:val="32"/>
          <w:szCs w:val="32"/>
          <w:highlight w:val="none"/>
        </w:rPr>
        <w:t>%，偏差率：</w:t>
      </w:r>
      <w:r>
        <w:rPr>
          <w:rFonts w:hint="eastAsia" w:eastAsia="仿宋_GB2312"/>
          <w:sz w:val="32"/>
          <w:szCs w:val="32"/>
          <w:highlight w:val="none"/>
          <w:lang w:val="en-US" w:eastAsia="zh-CN"/>
        </w:rPr>
        <w:t>5.26</w:t>
      </w:r>
      <w:r>
        <w:rPr>
          <w:rFonts w:hint="eastAsia" w:eastAsia="仿宋_GB2312"/>
          <w:sz w:val="32"/>
          <w:szCs w:val="32"/>
          <w:highlight w:val="none"/>
        </w:rPr>
        <w:t>%，偏差原因：</w:t>
      </w:r>
      <w:r>
        <w:rPr>
          <w:rFonts w:hint="eastAsia" w:eastAsia="仿宋_GB2312"/>
          <w:sz w:val="32"/>
          <w:szCs w:val="32"/>
          <w:highlight w:val="none"/>
          <w:lang w:val="en-US" w:eastAsia="zh-CN"/>
        </w:rPr>
        <w:t>对于幼儿园环境与膳食</w:t>
      </w:r>
      <w:r>
        <w:rPr>
          <w:rFonts w:hint="eastAsia" w:eastAsia="仿宋_GB2312"/>
          <w:sz w:val="32"/>
          <w:szCs w:val="32"/>
          <w:highlight w:val="none"/>
          <w:lang w:eastAsia="zh-CN"/>
        </w:rPr>
        <w:t>家长</w:t>
      </w:r>
      <w:r>
        <w:rPr>
          <w:rFonts w:hint="eastAsia" w:eastAsia="仿宋_GB2312"/>
          <w:sz w:val="32"/>
          <w:szCs w:val="32"/>
          <w:highlight w:val="none"/>
          <w:lang w:val="en-US" w:eastAsia="zh-CN"/>
        </w:rPr>
        <w:t>反馈满意度较高。</w:t>
      </w:r>
    </w:p>
    <w:p w14:paraId="6D7BE65A">
      <w:pPr>
        <w:spacing w:line="560" w:lineRule="exact"/>
        <w:ind w:firstLine="321" w:firstLineChars="100"/>
        <w:rPr>
          <w:rFonts w:eastAsia="楷体_GB2312"/>
          <w:b/>
          <w:bCs/>
          <w:sz w:val="32"/>
          <w:szCs w:val="32"/>
          <w:highlight w:val="none"/>
        </w:rPr>
      </w:pPr>
      <w:r>
        <w:rPr>
          <w:rFonts w:eastAsia="楷体_GB2312"/>
          <w:b/>
          <w:bCs/>
          <w:sz w:val="32"/>
          <w:szCs w:val="32"/>
          <w:highlight w:val="none"/>
        </w:rPr>
        <w:t>（五）预算执行进度与绩效指标总体完成率偏差</w:t>
      </w:r>
    </w:p>
    <w:p w14:paraId="23A8FED1">
      <w:pPr>
        <w:pStyle w:val="21"/>
        <w:spacing w:line="560" w:lineRule="exact"/>
        <w:ind w:firstLine="640"/>
        <w:rPr>
          <w:rFonts w:eastAsia="仿宋_GB2312"/>
          <w:color w:val="FF0000"/>
          <w:kern w:val="2"/>
          <w:sz w:val="32"/>
          <w:szCs w:val="32"/>
          <w:highlight w:val="none"/>
          <w:shd w:val="clear" w:color="auto" w:fill="FFFF00"/>
        </w:rPr>
      </w:pPr>
      <w:r>
        <w:rPr>
          <w:rFonts w:hint="eastAsia" w:eastAsia="仿宋_GB2312"/>
          <w:kern w:val="2"/>
          <w:sz w:val="32"/>
          <w:szCs w:val="32"/>
          <w:highlight w:val="none"/>
          <w:lang w:eastAsia="zh-CN"/>
        </w:rPr>
        <w:t>第三幼儿园</w:t>
      </w:r>
      <w:r>
        <w:rPr>
          <w:rFonts w:hint="eastAsia" w:eastAsia="仿宋_GB2312"/>
          <w:kern w:val="2"/>
          <w:sz w:val="32"/>
          <w:szCs w:val="32"/>
          <w:highlight w:val="none"/>
        </w:rPr>
        <w:t>公用</w:t>
      </w:r>
      <w:r>
        <w:rPr>
          <w:rFonts w:hint="eastAsia" w:eastAsia="仿宋_GB2312"/>
          <w:sz w:val="32"/>
          <w:szCs w:val="32"/>
          <w:highlight w:val="none"/>
        </w:rPr>
        <w:t>城市学前教育</w:t>
      </w:r>
      <w:r>
        <w:rPr>
          <w:rFonts w:hint="eastAsia" w:eastAsia="仿宋_GB2312"/>
          <w:kern w:val="28"/>
          <w:sz w:val="30"/>
          <w:szCs w:val="30"/>
          <w:highlight w:val="none"/>
        </w:rPr>
        <w:t>幼儿资助伙食、取暖费、幼儿资助</w:t>
      </w:r>
      <w:r>
        <w:rPr>
          <w:rFonts w:eastAsia="仿宋_GB2312"/>
          <w:sz w:val="30"/>
          <w:szCs w:val="30"/>
          <w:highlight w:val="none"/>
        </w:rPr>
        <w:t>公用经费</w:t>
      </w:r>
      <w:r>
        <w:rPr>
          <w:rFonts w:eastAsia="仿宋_GB2312"/>
          <w:kern w:val="2"/>
          <w:sz w:val="32"/>
          <w:szCs w:val="32"/>
          <w:highlight w:val="none"/>
        </w:rPr>
        <w:t>项目年初预算</w:t>
      </w:r>
      <w:r>
        <w:rPr>
          <w:rFonts w:hint="eastAsia" w:eastAsia="仿宋_GB2312"/>
          <w:kern w:val="2"/>
          <w:sz w:val="32"/>
          <w:szCs w:val="32"/>
          <w:highlight w:val="none"/>
          <w:lang w:val="en-US" w:eastAsia="zh-CN"/>
        </w:rPr>
        <w:t>63.8</w:t>
      </w:r>
      <w:r>
        <w:rPr>
          <w:rFonts w:eastAsia="仿宋_GB2312"/>
          <w:kern w:val="2"/>
          <w:sz w:val="32"/>
          <w:szCs w:val="32"/>
          <w:highlight w:val="none"/>
        </w:rPr>
        <w:t>万元，全年预算</w:t>
      </w:r>
      <w:r>
        <w:rPr>
          <w:rFonts w:hint="eastAsia" w:eastAsia="仿宋_GB2312"/>
          <w:kern w:val="2"/>
          <w:sz w:val="32"/>
          <w:szCs w:val="32"/>
          <w:highlight w:val="none"/>
          <w:lang w:val="en-US" w:eastAsia="zh-CN"/>
        </w:rPr>
        <w:t>63.8</w:t>
      </w:r>
      <w:r>
        <w:rPr>
          <w:rFonts w:eastAsia="仿宋_GB2312"/>
          <w:kern w:val="2"/>
          <w:sz w:val="32"/>
          <w:szCs w:val="32"/>
          <w:highlight w:val="none"/>
        </w:rPr>
        <w:t>万元，实际支出</w:t>
      </w:r>
      <w:r>
        <w:rPr>
          <w:rFonts w:hint="eastAsia" w:eastAsia="仿宋_GB2312"/>
          <w:kern w:val="2"/>
          <w:sz w:val="32"/>
          <w:szCs w:val="32"/>
          <w:highlight w:val="none"/>
          <w:lang w:val="en-US" w:eastAsia="zh-CN"/>
        </w:rPr>
        <w:t>63.8</w:t>
      </w:r>
      <w:r>
        <w:rPr>
          <w:rFonts w:eastAsia="仿宋_GB2312"/>
          <w:kern w:val="2"/>
          <w:sz w:val="32"/>
          <w:szCs w:val="32"/>
          <w:highlight w:val="none"/>
        </w:rPr>
        <w:t>万元，预算执行率为</w:t>
      </w:r>
      <w:r>
        <w:rPr>
          <w:rFonts w:hint="eastAsia" w:eastAsia="仿宋_GB2312"/>
          <w:kern w:val="2"/>
          <w:sz w:val="32"/>
          <w:szCs w:val="32"/>
          <w:highlight w:val="none"/>
        </w:rPr>
        <w:t>100</w:t>
      </w:r>
      <w:r>
        <w:rPr>
          <w:rFonts w:eastAsia="仿宋_GB2312"/>
          <w:kern w:val="2"/>
          <w:sz w:val="32"/>
          <w:szCs w:val="32"/>
          <w:highlight w:val="none"/>
        </w:rPr>
        <w:t>%，项目绩效指标总体完成率为</w:t>
      </w:r>
      <w:r>
        <w:rPr>
          <w:rFonts w:hint="eastAsia" w:eastAsia="仿宋_GB2312"/>
          <w:kern w:val="2"/>
          <w:sz w:val="32"/>
          <w:szCs w:val="32"/>
          <w:highlight w:val="none"/>
          <w:lang w:val="en-US" w:eastAsia="zh-CN"/>
        </w:rPr>
        <w:t>105.26</w:t>
      </w:r>
      <w:r>
        <w:rPr>
          <w:rFonts w:eastAsia="仿宋_GB2312"/>
          <w:kern w:val="2"/>
          <w:sz w:val="32"/>
          <w:szCs w:val="32"/>
          <w:highlight w:val="none"/>
        </w:rPr>
        <w:t>%，总体偏差率为</w:t>
      </w:r>
      <w:r>
        <w:rPr>
          <w:rFonts w:hint="eastAsia" w:eastAsia="仿宋_GB2312"/>
          <w:kern w:val="2"/>
          <w:sz w:val="32"/>
          <w:szCs w:val="32"/>
          <w:highlight w:val="none"/>
          <w:lang w:val="en-US" w:eastAsia="zh-CN"/>
        </w:rPr>
        <w:t>5.26</w:t>
      </w:r>
      <w:r>
        <w:rPr>
          <w:rFonts w:eastAsia="仿宋_GB2312"/>
          <w:kern w:val="2"/>
          <w:sz w:val="32"/>
          <w:szCs w:val="32"/>
          <w:highlight w:val="none"/>
        </w:rPr>
        <w:t>%</w:t>
      </w:r>
      <w:r>
        <w:rPr>
          <w:rFonts w:hint="eastAsia" w:eastAsia="仿宋_GB2312"/>
          <w:kern w:val="2"/>
          <w:sz w:val="32"/>
          <w:szCs w:val="32"/>
          <w:highlight w:val="none"/>
        </w:rPr>
        <w:t>，</w:t>
      </w:r>
      <w:r>
        <w:rPr>
          <w:rFonts w:eastAsia="仿宋_GB2312"/>
          <w:kern w:val="2"/>
          <w:sz w:val="32"/>
          <w:szCs w:val="32"/>
          <w:highlight w:val="none"/>
        </w:rPr>
        <w:t>偏差原因</w:t>
      </w:r>
      <w:r>
        <w:rPr>
          <w:rFonts w:hint="eastAsia" w:eastAsia="仿宋_GB2312"/>
          <w:kern w:val="2"/>
          <w:sz w:val="32"/>
          <w:szCs w:val="32"/>
          <w:highlight w:val="none"/>
        </w:rPr>
        <w:t>：</w:t>
      </w:r>
      <w:r>
        <w:rPr>
          <w:rFonts w:hint="eastAsia" w:eastAsia="仿宋_GB2312"/>
          <w:sz w:val="32"/>
          <w:szCs w:val="32"/>
          <w:highlight w:val="none"/>
          <w:lang w:eastAsia="zh-CN"/>
        </w:rPr>
        <w:t>幼儿和家长</w:t>
      </w:r>
      <w:r>
        <w:rPr>
          <w:rFonts w:eastAsia="仿宋_GB2312"/>
          <w:sz w:val="32"/>
          <w:szCs w:val="32"/>
          <w:highlight w:val="none"/>
        </w:rPr>
        <w:t>对此项目满意度较高。</w:t>
      </w:r>
      <w:r>
        <w:rPr>
          <w:rFonts w:eastAsia="仿宋_GB2312"/>
          <w:kern w:val="2"/>
          <w:sz w:val="32"/>
          <w:szCs w:val="32"/>
          <w:highlight w:val="none"/>
        </w:rPr>
        <w:t>改进措施</w:t>
      </w:r>
      <w:r>
        <w:rPr>
          <w:rFonts w:hint="eastAsia" w:eastAsia="仿宋_GB2312"/>
          <w:kern w:val="2"/>
          <w:sz w:val="32"/>
          <w:szCs w:val="32"/>
          <w:highlight w:val="none"/>
        </w:rPr>
        <w:t>：</w:t>
      </w:r>
      <w:r>
        <w:rPr>
          <w:rFonts w:eastAsia="仿宋_GB2312"/>
          <w:color w:val="000000" w:themeColor="text1"/>
          <w:sz w:val="32"/>
          <w:szCs w:val="32"/>
          <w:highlight w:val="none"/>
          <w14:textFill>
            <w14:solidFill>
              <w14:schemeClr w14:val="tx1"/>
            </w14:solidFill>
          </w14:textFill>
        </w:rPr>
        <w:t>提高对预算绩效管理工作重要性的认识，总结经验查找问题</w:t>
      </w:r>
      <w:r>
        <w:rPr>
          <w:rFonts w:eastAsia="仿宋_GB2312"/>
          <w:color w:val="000000" w:themeColor="text1"/>
          <w:kern w:val="2"/>
          <w:sz w:val="32"/>
          <w:szCs w:val="32"/>
          <w:highlight w:val="none"/>
          <w14:textFill>
            <w14:solidFill>
              <w14:schemeClr w14:val="tx1"/>
            </w14:solidFill>
          </w14:textFill>
        </w:rPr>
        <w:t>。</w:t>
      </w:r>
    </w:p>
    <w:p w14:paraId="6FBFB8BD">
      <w:pPr>
        <w:spacing w:line="560" w:lineRule="exact"/>
        <w:ind w:firstLine="640" w:firstLineChars="200"/>
        <w:rPr>
          <w:rStyle w:val="20"/>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14:paraId="3229E9C1">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105F6484">
      <w:pPr>
        <w:pStyle w:val="10"/>
        <w:spacing w:before="0" w:after="0" w:line="560" w:lineRule="exact"/>
        <w:ind w:firstLine="640" w:firstLineChars="200"/>
        <w:jc w:val="both"/>
        <w:rPr>
          <w:rFonts w:ascii="Times New Roman" w:hAnsi="Times New Roman" w:eastAsia="仿宋_GB2312"/>
          <w:b w:val="0"/>
          <w:bCs w:val="0"/>
          <w:sz w:val="30"/>
          <w:szCs w:val="30"/>
        </w:rPr>
      </w:pPr>
      <w:r>
        <w:rPr>
          <w:rFonts w:hint="eastAsia" w:ascii="Times New Roman" w:hAnsi="Times New Roman" w:eastAsia="仿宋_GB2312"/>
          <w:b w:val="0"/>
          <w:bCs w:val="0"/>
          <w:kern w:val="2"/>
        </w:rPr>
        <w:t>城市学前教育幼儿资助伙食、取暖费、幼儿资助</w:t>
      </w:r>
      <w:r>
        <w:rPr>
          <w:rFonts w:ascii="Times New Roman" w:hAnsi="Times New Roman" w:eastAsia="仿宋_GB2312"/>
          <w:b w:val="0"/>
          <w:bCs w:val="0"/>
          <w:kern w:val="2"/>
        </w:rPr>
        <w:t>公用经费</w:t>
      </w:r>
      <w:r>
        <w:rPr>
          <w:rFonts w:hint="eastAsia" w:ascii="Times New Roman" w:hAnsi="Times New Roman" w:eastAsia="仿宋_GB2312"/>
          <w:b w:val="0"/>
          <w:bCs w:val="0"/>
          <w:sz w:val="30"/>
          <w:szCs w:val="30"/>
        </w:rPr>
        <w:t>规范全市学前教育保障机制经费管理，提高资金使用效益，学前三年教育、适龄幼儿入学率显著提升、保障幼儿园的正常运转。</w:t>
      </w:r>
      <w:r>
        <w:rPr>
          <w:rFonts w:ascii="Times New Roman" w:hAnsi="Times New Roman" w:eastAsia="仿宋_GB2312"/>
          <w:b w:val="0"/>
          <w:bCs w:val="0"/>
          <w:kern w:val="2"/>
        </w:rPr>
        <w:t>为</w:t>
      </w:r>
      <w:r>
        <w:rPr>
          <w:rFonts w:hint="eastAsia" w:ascii="Times New Roman" w:hAnsi="Times New Roman" w:eastAsia="仿宋_GB2312"/>
          <w:b w:val="0"/>
          <w:bCs w:val="0"/>
          <w:sz w:val="30"/>
          <w:szCs w:val="30"/>
        </w:rPr>
        <w:t>学前三年教育</w:t>
      </w:r>
      <w:r>
        <w:rPr>
          <w:rFonts w:ascii="Times New Roman" w:hAnsi="Times New Roman" w:eastAsia="仿宋_GB2312"/>
          <w:b w:val="0"/>
          <w:bCs w:val="0"/>
          <w:kern w:val="2"/>
        </w:rPr>
        <w:t>正常运转、完成教育教学活动和其他日常工作提供保障一项重要资金，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91A955D">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AF149EF">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12A76DF3">
      <w:pPr>
        <w:spacing w:line="600" w:lineRule="exact"/>
        <w:ind w:firstLine="640" w:firstLineChars="200"/>
        <w:outlineLvl w:val="0"/>
        <w:rPr>
          <w:rFonts w:eastAsia="仿宋_GB2312"/>
          <w:sz w:val="32"/>
          <w:szCs w:val="32"/>
        </w:rPr>
      </w:pPr>
      <w:r>
        <w:rPr>
          <w:rFonts w:eastAsia="仿宋_GB2312"/>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14A67581">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0EF2F47F">
      <w:pPr>
        <w:spacing w:line="600" w:lineRule="exact"/>
        <w:ind w:firstLine="640" w:firstLineChars="200"/>
        <w:outlineLvl w:val="0"/>
        <w:rPr>
          <w:rFonts w:eastAsia="仿宋_GB2312"/>
          <w:sz w:val="32"/>
          <w:szCs w:val="32"/>
          <w:highlight w:val="none"/>
        </w:rPr>
      </w:pPr>
      <w:r>
        <w:rPr>
          <w:rFonts w:eastAsia="仿宋_GB2312"/>
          <w:sz w:val="32"/>
          <w:szCs w:val="32"/>
          <w:highlight w:val="none"/>
        </w:rPr>
        <w:t>1.项目前期做好可行性研究报告，更加细化实施方案，严格执行资金管理办法和财政资金管理制度，严格按照项目实施方案、招投标管理办法等稳步推进工作，根据自己项目的特点进行总结。多进行有关绩效管理工作方面的培训。积极组织第三方开展绩效管理工作培训，进一步夯实业务基础，提高我单位绩效人员水平。</w:t>
      </w:r>
    </w:p>
    <w:p w14:paraId="034C6C41">
      <w:pPr>
        <w:spacing w:line="600" w:lineRule="exact"/>
        <w:ind w:firstLine="640" w:firstLineChars="200"/>
        <w:outlineLvl w:val="0"/>
        <w:rPr>
          <w:rFonts w:eastAsia="仿宋_GB2312"/>
          <w:sz w:val="32"/>
          <w:szCs w:val="32"/>
          <w:highlight w:val="none"/>
        </w:rPr>
      </w:pPr>
      <w:r>
        <w:rPr>
          <w:rFonts w:eastAsia="仿宋_GB2312"/>
          <w:sz w:val="32"/>
          <w:szCs w:val="32"/>
          <w:highlight w:val="none"/>
        </w:rPr>
        <w:t>2.专门设定对绩效工作人员定职、定岗、定责等相关制度措施，进一步提升我单位绩效管理工作业务水平，扎实做好绩效管理工作。</w:t>
      </w:r>
    </w:p>
    <w:p w14:paraId="181B7502">
      <w:pPr>
        <w:spacing w:line="600" w:lineRule="exact"/>
        <w:ind w:firstLine="640" w:firstLineChars="200"/>
        <w:outlineLvl w:val="0"/>
        <w:rPr>
          <w:rFonts w:eastAsia="仿宋_GB2312"/>
          <w:sz w:val="36"/>
          <w:szCs w:val="32"/>
          <w:highlight w:val="none"/>
        </w:rPr>
      </w:pPr>
      <w:r>
        <w:rPr>
          <w:rFonts w:eastAsia="仿宋_GB2312"/>
          <w:sz w:val="32"/>
          <w:szCs w:val="32"/>
          <w:highlight w:val="none"/>
        </w:rPr>
        <w:t>3.进一步完善项目评价过程中有关数据和资料的收集、整理、审核及分析。项目启动时同步做好档案的归纳与整理，及时整理、收集、汇总，健全档案资料。项目后续管理有待进一步加强和跟踪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highlight w:val="none"/>
        </w:rPr>
        <w:t>。</w:t>
      </w:r>
    </w:p>
    <w:p w14:paraId="67182AD2">
      <w:pPr>
        <w:spacing w:line="600" w:lineRule="exact"/>
        <w:ind w:firstLine="640" w:firstLineChars="200"/>
        <w:outlineLvl w:val="0"/>
        <w:rPr>
          <w:sz w:val="22"/>
          <w:szCs w:val="28"/>
          <w:highlight w:val="none"/>
        </w:rPr>
      </w:pPr>
      <w:r>
        <w:rPr>
          <w:rFonts w:eastAsia="仿宋_GB2312"/>
          <w:sz w:val="32"/>
          <w:szCs w:val="32"/>
          <w:highlight w:val="none"/>
        </w:rPr>
        <w:t>4.加强对绩效管理工作的组织领导，提高对预算绩效管理工作重要性的认识，总结经验查找问题，抓紧研究制定更全面更完善的绩效评价管理办法。</w:t>
      </w:r>
    </w:p>
    <w:p w14:paraId="0FF6DE00">
      <w:pPr>
        <w:spacing w:line="600" w:lineRule="exact"/>
        <w:ind w:firstLine="640" w:firstLineChars="200"/>
        <w:outlineLvl w:val="0"/>
        <w:rPr>
          <w:rFonts w:eastAsia="仿宋_GB2312"/>
          <w:sz w:val="32"/>
          <w:szCs w:val="32"/>
          <w:highlight w:val="none"/>
        </w:rPr>
      </w:pPr>
      <w:r>
        <w:rPr>
          <w:rFonts w:eastAsia="仿宋_GB2312"/>
          <w:sz w:val="32"/>
          <w:szCs w:val="32"/>
          <w:highlight w:val="none"/>
        </w:rPr>
        <w:t>5.结合食品安全考核建立绩效工作考核制度，加大全局对全面实施预算绩效管理和绩效管理工作的学习力度，让“花钱必问效，无效必问责”的理念深入工作每个环节。</w:t>
      </w:r>
    </w:p>
    <w:p w14:paraId="5A175A7C">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其他需要说明的问题</w:t>
      </w:r>
    </w:p>
    <w:p w14:paraId="35FEB389">
      <w:pPr>
        <w:pStyle w:val="12"/>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14:paraId="57707CD8">
      <w:pPr>
        <w:spacing w:line="560" w:lineRule="exact"/>
        <w:rPr>
          <w:rFonts w:eastAsia="黑体"/>
          <w:bCs/>
          <w:sz w:val="32"/>
          <w:szCs w:val="32"/>
        </w:rPr>
        <w:sectPr>
          <w:pgSz w:w="11906" w:h="16838"/>
          <w:pgMar w:top="1440" w:right="1558" w:bottom="1440" w:left="1800" w:header="851" w:footer="992" w:gutter="0"/>
          <w:cols w:space="425" w:num="1"/>
          <w:docGrid w:type="lines" w:linePitch="312" w:charSpace="0"/>
        </w:sectPr>
      </w:pPr>
    </w:p>
    <w:p w14:paraId="15BEFC25">
      <w:pPr>
        <w:spacing w:line="600" w:lineRule="exact"/>
        <w:rPr>
          <w:rFonts w:eastAsia="黑体"/>
          <w:sz w:val="32"/>
          <w:szCs w:val="32"/>
        </w:rPr>
      </w:pPr>
      <w:r>
        <w:rPr>
          <w:rFonts w:hint="eastAsia" w:eastAsia="仿宋_GB2312"/>
          <w:sz w:val="32"/>
          <w:szCs w:val="32"/>
        </w:rPr>
        <w:t xml:space="preserve"> </w:t>
      </w:r>
      <w:r>
        <w:rPr>
          <w:rFonts w:hint="eastAsia" w:eastAsia="黑体"/>
          <w:sz w:val="32"/>
          <w:szCs w:val="32"/>
        </w:rPr>
        <w:t>附件1</w:t>
      </w:r>
    </w:p>
    <w:p w14:paraId="7D450DC8">
      <w:pPr>
        <w:pStyle w:val="21"/>
        <w:ind w:firstLine="562"/>
        <w:jc w:val="center"/>
        <w:rPr>
          <w:rFonts w:ascii="仿宋_GB2312" w:hAnsi="仿宋_GB2312" w:eastAsia="仿宋_GB2312" w:cs="仿宋_GB2312"/>
          <w:sz w:val="28"/>
          <w:szCs w:val="40"/>
        </w:rPr>
      </w:pPr>
      <w:bookmarkStart w:id="0" w:name="_Toc30064_WPSOffice_Level1"/>
      <w:bookmarkStart w:id="1" w:name="_Toc26499_WPSOffice_Level2"/>
      <w:r>
        <w:rPr>
          <w:rFonts w:hint="eastAsia" w:ascii="仿宋_GB2312" w:hAnsi="仿宋_GB2312" w:eastAsia="仿宋_GB2312" w:cs="仿宋_GB2312"/>
          <w:b/>
          <w:bCs/>
          <w:sz w:val="28"/>
          <w:szCs w:val="40"/>
        </w:rPr>
        <w:t>城市学前教育幼儿资助伙食、取暖费、幼儿资助公用经费项目绩效评价指标体系及综合评分表</w:t>
      </w:r>
      <w:bookmarkEnd w:id="0"/>
      <w:bookmarkEnd w:id="1"/>
    </w:p>
    <w:tbl>
      <w:tblPr>
        <w:tblStyle w:val="13"/>
        <w:tblW w:w="1268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14:paraId="5F0EAB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14:paraId="51CC4CFA">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一级指标</w:t>
            </w:r>
          </w:p>
        </w:tc>
        <w:tc>
          <w:tcPr>
            <w:tcW w:w="1000" w:type="dxa"/>
            <w:shd w:val="clear" w:color="auto" w:fill="FFFFFF"/>
            <w:vAlign w:val="center"/>
          </w:tcPr>
          <w:p w14:paraId="7B842AD5">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二级指标</w:t>
            </w:r>
          </w:p>
        </w:tc>
        <w:tc>
          <w:tcPr>
            <w:tcW w:w="1071" w:type="dxa"/>
            <w:shd w:val="clear" w:color="auto" w:fill="FFFFFF"/>
            <w:vAlign w:val="center"/>
          </w:tcPr>
          <w:p w14:paraId="2C518E8F">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三级指标</w:t>
            </w:r>
          </w:p>
        </w:tc>
        <w:tc>
          <w:tcPr>
            <w:tcW w:w="1726" w:type="dxa"/>
            <w:shd w:val="clear" w:color="auto" w:fill="FFFFFF"/>
            <w:vAlign w:val="center"/>
          </w:tcPr>
          <w:p w14:paraId="20B2BBB7">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指标解释</w:t>
            </w:r>
          </w:p>
        </w:tc>
        <w:tc>
          <w:tcPr>
            <w:tcW w:w="5216" w:type="dxa"/>
            <w:shd w:val="clear" w:color="auto" w:fill="FFFFFF"/>
            <w:vAlign w:val="center"/>
          </w:tcPr>
          <w:p w14:paraId="7A858C0B">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指标说明</w:t>
            </w:r>
          </w:p>
        </w:tc>
        <w:tc>
          <w:tcPr>
            <w:tcW w:w="1300" w:type="dxa"/>
            <w:shd w:val="clear" w:color="auto" w:fill="FFFFFF"/>
            <w:vAlign w:val="center"/>
          </w:tcPr>
          <w:p w14:paraId="5F5DC7DD">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权重</w:t>
            </w:r>
          </w:p>
        </w:tc>
        <w:tc>
          <w:tcPr>
            <w:tcW w:w="1366" w:type="dxa"/>
            <w:shd w:val="clear" w:color="auto" w:fill="FFFFFF"/>
            <w:vAlign w:val="center"/>
          </w:tcPr>
          <w:p w14:paraId="517659E6">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得分</w:t>
            </w:r>
          </w:p>
        </w:tc>
      </w:tr>
      <w:tr w14:paraId="75B586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14:paraId="2B8D981C">
            <w:pPr>
              <w:widowControl/>
              <w:spacing w:line="0" w:lineRule="atLeast"/>
              <w:jc w:val="center"/>
              <w:rPr>
                <w:rFonts w:eastAsia="仿宋_GB2312"/>
                <w:color w:val="000000"/>
                <w:kern w:val="0"/>
                <w:sz w:val="18"/>
                <w:szCs w:val="18"/>
              </w:rPr>
            </w:pPr>
          </w:p>
          <w:p w14:paraId="33A63AA8">
            <w:pPr>
              <w:widowControl/>
              <w:spacing w:line="0" w:lineRule="atLeast"/>
              <w:jc w:val="center"/>
              <w:rPr>
                <w:rFonts w:eastAsia="仿宋_GB2312"/>
                <w:color w:val="000000"/>
                <w:kern w:val="0"/>
                <w:sz w:val="18"/>
                <w:szCs w:val="18"/>
              </w:rPr>
            </w:pPr>
          </w:p>
          <w:p w14:paraId="7C7505B2">
            <w:pPr>
              <w:widowControl/>
              <w:spacing w:line="0" w:lineRule="atLeast"/>
              <w:jc w:val="center"/>
              <w:rPr>
                <w:rFonts w:eastAsia="仿宋_GB2312"/>
                <w:color w:val="000000"/>
                <w:kern w:val="0"/>
                <w:sz w:val="18"/>
                <w:szCs w:val="18"/>
              </w:rPr>
            </w:pPr>
          </w:p>
          <w:p w14:paraId="74D90D66">
            <w:pPr>
              <w:widowControl/>
              <w:spacing w:line="0" w:lineRule="atLeast"/>
              <w:jc w:val="center"/>
              <w:rPr>
                <w:rFonts w:eastAsia="仿宋_GB2312"/>
                <w:color w:val="000000"/>
                <w:kern w:val="0"/>
                <w:sz w:val="18"/>
                <w:szCs w:val="18"/>
              </w:rPr>
            </w:pPr>
          </w:p>
          <w:p w14:paraId="6E170D99">
            <w:pPr>
              <w:widowControl/>
              <w:spacing w:line="0" w:lineRule="atLeast"/>
              <w:jc w:val="center"/>
              <w:rPr>
                <w:rFonts w:eastAsia="仿宋_GB2312"/>
                <w:color w:val="000000"/>
                <w:kern w:val="0"/>
                <w:sz w:val="18"/>
                <w:szCs w:val="18"/>
              </w:rPr>
            </w:pPr>
          </w:p>
          <w:p w14:paraId="3132591A">
            <w:pPr>
              <w:widowControl/>
              <w:spacing w:line="0" w:lineRule="atLeast"/>
              <w:jc w:val="center"/>
              <w:rPr>
                <w:rFonts w:eastAsia="仿宋_GB2312"/>
                <w:color w:val="000000"/>
                <w:kern w:val="0"/>
                <w:sz w:val="18"/>
                <w:szCs w:val="18"/>
              </w:rPr>
            </w:pPr>
          </w:p>
          <w:p w14:paraId="5312CC47">
            <w:pPr>
              <w:widowControl/>
              <w:spacing w:line="0" w:lineRule="atLeast"/>
              <w:jc w:val="center"/>
              <w:rPr>
                <w:rFonts w:eastAsia="仿宋_GB2312"/>
                <w:color w:val="000000"/>
                <w:kern w:val="0"/>
                <w:sz w:val="18"/>
                <w:szCs w:val="18"/>
              </w:rPr>
            </w:pPr>
            <w:r>
              <w:rPr>
                <w:rFonts w:eastAsia="仿宋_GB2312"/>
                <w:color w:val="000000"/>
                <w:kern w:val="0"/>
                <w:sz w:val="18"/>
                <w:szCs w:val="18"/>
              </w:rPr>
              <w:t>决策　</w:t>
            </w:r>
          </w:p>
        </w:tc>
        <w:tc>
          <w:tcPr>
            <w:tcW w:w="1000" w:type="dxa"/>
            <w:vMerge w:val="restart"/>
            <w:shd w:val="clear" w:color="auto" w:fill="FFFFFF"/>
            <w:vAlign w:val="center"/>
          </w:tcPr>
          <w:p w14:paraId="029AEB15">
            <w:pPr>
              <w:widowControl/>
              <w:spacing w:line="0" w:lineRule="atLeast"/>
              <w:jc w:val="center"/>
              <w:rPr>
                <w:rFonts w:eastAsia="仿宋_GB2312"/>
                <w:color w:val="000000"/>
                <w:kern w:val="0"/>
                <w:sz w:val="18"/>
                <w:szCs w:val="18"/>
              </w:rPr>
            </w:pPr>
            <w:r>
              <w:rPr>
                <w:rFonts w:eastAsia="仿宋_GB2312"/>
                <w:color w:val="000000"/>
                <w:kern w:val="0"/>
                <w:sz w:val="18"/>
                <w:szCs w:val="18"/>
              </w:rPr>
              <w:t>项目立项　</w:t>
            </w:r>
          </w:p>
        </w:tc>
        <w:tc>
          <w:tcPr>
            <w:tcW w:w="1071" w:type="dxa"/>
            <w:shd w:val="clear" w:color="auto" w:fill="FFFFFF"/>
            <w:vAlign w:val="center"/>
          </w:tcPr>
          <w:p w14:paraId="3972B9AC">
            <w:pPr>
              <w:widowControl/>
              <w:spacing w:line="0" w:lineRule="atLeast"/>
              <w:jc w:val="center"/>
              <w:rPr>
                <w:rFonts w:eastAsia="仿宋_GB2312"/>
                <w:color w:val="000000"/>
                <w:kern w:val="0"/>
                <w:sz w:val="18"/>
                <w:szCs w:val="18"/>
              </w:rPr>
            </w:pPr>
            <w:r>
              <w:rPr>
                <w:rFonts w:eastAsia="仿宋_GB2312"/>
                <w:color w:val="000000"/>
                <w:kern w:val="0"/>
                <w:sz w:val="18"/>
                <w:szCs w:val="18"/>
              </w:rPr>
              <w:t>立项依据</w:t>
            </w:r>
          </w:p>
          <w:p w14:paraId="40BD3335">
            <w:pPr>
              <w:widowControl/>
              <w:spacing w:line="0" w:lineRule="atLeast"/>
              <w:jc w:val="center"/>
              <w:rPr>
                <w:rFonts w:eastAsia="仿宋_GB2312"/>
                <w:color w:val="000000"/>
                <w:kern w:val="0"/>
                <w:sz w:val="18"/>
                <w:szCs w:val="18"/>
              </w:rPr>
            </w:pPr>
            <w:r>
              <w:rPr>
                <w:rFonts w:eastAsia="仿宋_GB2312"/>
                <w:color w:val="000000"/>
                <w:kern w:val="0"/>
                <w:sz w:val="18"/>
                <w:szCs w:val="18"/>
              </w:rPr>
              <w:t>充分性</w:t>
            </w:r>
          </w:p>
        </w:tc>
        <w:tc>
          <w:tcPr>
            <w:tcW w:w="1726" w:type="dxa"/>
            <w:shd w:val="clear" w:color="auto" w:fill="FFFFFF"/>
            <w:vAlign w:val="center"/>
          </w:tcPr>
          <w:p w14:paraId="3CCE462A">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14:paraId="79EDFA2A">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①项目立项是否符合国家法律法规、国民经济发展规划和相关政策；</w:t>
            </w:r>
            <w:r>
              <w:rPr>
                <w:rFonts w:eastAsia="仿宋_GB2312"/>
                <w:color w:val="000000"/>
                <w:kern w:val="0"/>
                <w:sz w:val="18"/>
                <w:szCs w:val="18"/>
              </w:rPr>
              <w:br w:type="textWrapping"/>
            </w:r>
            <w:r>
              <w:rPr>
                <w:rFonts w:eastAsia="仿宋_GB2312"/>
                <w:color w:val="000000"/>
                <w:kern w:val="0"/>
                <w:sz w:val="18"/>
                <w:szCs w:val="18"/>
              </w:rPr>
              <w:t>②项目立项是否符合行业发展规划和政策要求；</w:t>
            </w:r>
            <w:r>
              <w:rPr>
                <w:rFonts w:eastAsia="仿宋_GB2312"/>
                <w:color w:val="000000"/>
                <w:kern w:val="0"/>
                <w:sz w:val="18"/>
                <w:szCs w:val="18"/>
              </w:rPr>
              <w:br w:type="textWrapping"/>
            </w:r>
            <w:r>
              <w:rPr>
                <w:rFonts w:eastAsia="仿宋_GB2312"/>
                <w:color w:val="000000"/>
                <w:kern w:val="0"/>
                <w:sz w:val="18"/>
                <w:szCs w:val="18"/>
              </w:rPr>
              <w:t>③项目立项是否与部门职责范围相符，属于部门履职所需；</w:t>
            </w:r>
            <w:r>
              <w:rPr>
                <w:rFonts w:eastAsia="仿宋_GB2312"/>
                <w:color w:val="000000"/>
                <w:kern w:val="0"/>
                <w:sz w:val="18"/>
                <w:szCs w:val="18"/>
              </w:rPr>
              <w:br w:type="textWrapping"/>
            </w:r>
            <w:r>
              <w:rPr>
                <w:rFonts w:eastAsia="仿宋_GB2312"/>
                <w:color w:val="000000"/>
                <w:kern w:val="0"/>
                <w:sz w:val="18"/>
                <w:szCs w:val="18"/>
              </w:rPr>
              <w:t>④项目是否属于公共财政支持范围，是否符合中央、地方事权支出责任划分原则；</w:t>
            </w:r>
            <w:r>
              <w:rPr>
                <w:rFonts w:eastAsia="仿宋_GB2312"/>
                <w:color w:val="000000"/>
                <w:kern w:val="0"/>
                <w:sz w:val="18"/>
                <w:szCs w:val="18"/>
              </w:rPr>
              <w:br w:type="textWrapping"/>
            </w:r>
            <w:r>
              <w:rPr>
                <w:rFonts w:eastAsia="仿宋_GB2312"/>
                <w:color w:val="000000"/>
                <w:kern w:val="0"/>
                <w:sz w:val="18"/>
                <w:szCs w:val="18"/>
              </w:rPr>
              <w:t>⑤项目是否与相关部门同类项目或部门内部相关项目重复。</w:t>
            </w:r>
          </w:p>
        </w:tc>
        <w:tc>
          <w:tcPr>
            <w:tcW w:w="1300" w:type="dxa"/>
            <w:shd w:val="clear" w:color="auto" w:fill="FFFFFF"/>
            <w:vAlign w:val="center"/>
          </w:tcPr>
          <w:p w14:paraId="31C5F60F">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6" w:type="dxa"/>
            <w:shd w:val="clear" w:color="auto" w:fill="FFFFFF"/>
            <w:vAlign w:val="center"/>
          </w:tcPr>
          <w:p w14:paraId="6253D389">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14:paraId="1FB3CC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08E96FCD">
            <w:pPr>
              <w:spacing w:line="0" w:lineRule="atLeast"/>
              <w:jc w:val="center"/>
              <w:rPr>
                <w:rFonts w:eastAsia="仿宋_GB2312"/>
                <w:color w:val="000000"/>
                <w:kern w:val="0"/>
                <w:sz w:val="18"/>
                <w:szCs w:val="18"/>
              </w:rPr>
            </w:pPr>
          </w:p>
        </w:tc>
        <w:tc>
          <w:tcPr>
            <w:tcW w:w="1000" w:type="dxa"/>
            <w:vMerge w:val="continue"/>
            <w:shd w:val="clear" w:color="auto" w:fill="FFFFFF"/>
            <w:vAlign w:val="center"/>
          </w:tcPr>
          <w:p w14:paraId="0C8F25D8">
            <w:pPr>
              <w:widowControl/>
              <w:spacing w:line="0" w:lineRule="atLeast"/>
              <w:jc w:val="center"/>
              <w:rPr>
                <w:rFonts w:eastAsia="仿宋_GB2312"/>
                <w:color w:val="000000"/>
                <w:kern w:val="0"/>
                <w:sz w:val="18"/>
                <w:szCs w:val="18"/>
              </w:rPr>
            </w:pPr>
          </w:p>
        </w:tc>
        <w:tc>
          <w:tcPr>
            <w:tcW w:w="1071" w:type="dxa"/>
            <w:shd w:val="clear" w:color="auto" w:fill="FFFFFF"/>
            <w:vAlign w:val="center"/>
          </w:tcPr>
          <w:p w14:paraId="2DCBFF3C">
            <w:pPr>
              <w:widowControl/>
              <w:spacing w:line="0" w:lineRule="atLeast"/>
              <w:jc w:val="center"/>
              <w:rPr>
                <w:rFonts w:eastAsia="仿宋_GB2312"/>
                <w:color w:val="000000"/>
                <w:kern w:val="0"/>
                <w:sz w:val="18"/>
                <w:szCs w:val="18"/>
              </w:rPr>
            </w:pPr>
            <w:r>
              <w:rPr>
                <w:rFonts w:eastAsia="仿宋_GB2312"/>
                <w:color w:val="000000"/>
                <w:kern w:val="0"/>
                <w:sz w:val="18"/>
                <w:szCs w:val="18"/>
              </w:rPr>
              <w:t>立项程序</w:t>
            </w:r>
          </w:p>
          <w:p w14:paraId="3CEA3BA4">
            <w:pPr>
              <w:widowControl/>
              <w:spacing w:line="0" w:lineRule="atLeast"/>
              <w:jc w:val="center"/>
              <w:rPr>
                <w:rFonts w:eastAsia="仿宋_GB2312"/>
                <w:color w:val="000000"/>
                <w:kern w:val="0"/>
                <w:sz w:val="18"/>
                <w:szCs w:val="18"/>
              </w:rPr>
            </w:pPr>
            <w:r>
              <w:rPr>
                <w:rFonts w:eastAsia="仿宋_GB2312"/>
                <w:color w:val="000000"/>
                <w:kern w:val="0"/>
                <w:sz w:val="18"/>
                <w:szCs w:val="18"/>
              </w:rPr>
              <w:t>规范性</w:t>
            </w:r>
          </w:p>
        </w:tc>
        <w:tc>
          <w:tcPr>
            <w:tcW w:w="1726" w:type="dxa"/>
            <w:shd w:val="clear" w:color="auto" w:fill="FFFFFF"/>
            <w:vAlign w:val="center"/>
          </w:tcPr>
          <w:p w14:paraId="3CB8AE0E">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5216" w:type="dxa"/>
            <w:shd w:val="clear" w:color="auto" w:fill="FFFFFF"/>
            <w:vAlign w:val="center"/>
          </w:tcPr>
          <w:p w14:paraId="11974379">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①项目是否按照规定的程序申请设立；</w:t>
            </w:r>
            <w:r>
              <w:rPr>
                <w:rFonts w:eastAsia="仿宋_GB2312"/>
                <w:color w:val="000000"/>
                <w:kern w:val="0"/>
                <w:sz w:val="18"/>
                <w:szCs w:val="18"/>
              </w:rPr>
              <w:br w:type="textWrapping"/>
            </w:r>
            <w:r>
              <w:rPr>
                <w:rFonts w:eastAsia="仿宋_GB2312"/>
                <w:color w:val="000000"/>
                <w:kern w:val="0"/>
                <w:sz w:val="18"/>
                <w:szCs w:val="18"/>
              </w:rPr>
              <w:t>②审批文件、材料是否符合相关要求；</w:t>
            </w:r>
            <w:r>
              <w:rPr>
                <w:rFonts w:eastAsia="仿宋_GB2312"/>
                <w:color w:val="000000"/>
                <w:kern w:val="0"/>
                <w:sz w:val="18"/>
                <w:szCs w:val="18"/>
              </w:rPr>
              <w:br w:type="textWrapping"/>
            </w:r>
            <w:r>
              <w:rPr>
                <w:rFonts w:eastAsia="仿宋_GB2312"/>
                <w:color w:val="000000"/>
                <w:kern w:val="0"/>
                <w:sz w:val="18"/>
                <w:szCs w:val="18"/>
              </w:rPr>
              <w:t>③事前是否已经过必要的可行性研究、专家论证、风险评估、绩效评估、集体决策。</w:t>
            </w:r>
          </w:p>
        </w:tc>
        <w:tc>
          <w:tcPr>
            <w:tcW w:w="1300" w:type="dxa"/>
            <w:shd w:val="clear" w:color="auto" w:fill="FFFFFF"/>
            <w:vAlign w:val="center"/>
          </w:tcPr>
          <w:p w14:paraId="4371ABA5">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6" w:type="dxa"/>
            <w:shd w:val="clear" w:color="auto" w:fill="FFFFFF"/>
            <w:vAlign w:val="center"/>
          </w:tcPr>
          <w:p w14:paraId="261459DB">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14:paraId="37D710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2A792012">
            <w:pPr>
              <w:spacing w:line="0" w:lineRule="atLeast"/>
              <w:jc w:val="center"/>
              <w:rPr>
                <w:rFonts w:eastAsia="仿宋_GB2312"/>
                <w:color w:val="000000"/>
                <w:kern w:val="0"/>
                <w:sz w:val="18"/>
                <w:szCs w:val="18"/>
              </w:rPr>
            </w:pPr>
          </w:p>
        </w:tc>
        <w:tc>
          <w:tcPr>
            <w:tcW w:w="1000" w:type="dxa"/>
            <w:vMerge w:val="restart"/>
            <w:shd w:val="clear" w:color="auto" w:fill="FFFFFF"/>
            <w:vAlign w:val="center"/>
          </w:tcPr>
          <w:p w14:paraId="2481B89C">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　</w:t>
            </w:r>
          </w:p>
        </w:tc>
        <w:tc>
          <w:tcPr>
            <w:tcW w:w="1071" w:type="dxa"/>
            <w:shd w:val="clear" w:color="auto" w:fill="FFFFFF"/>
            <w:vAlign w:val="center"/>
          </w:tcPr>
          <w:p w14:paraId="241AA2FC">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w:t>
            </w:r>
          </w:p>
          <w:p w14:paraId="4DDDAB6E">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726" w:type="dxa"/>
            <w:shd w:val="clear" w:color="000000" w:fill="FFFFFF"/>
            <w:vAlign w:val="center"/>
          </w:tcPr>
          <w:p w14:paraId="4C92DED7">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14:paraId="286F3B96">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ype="textWrapping"/>
            </w:r>
            <w:r>
              <w:rPr>
                <w:rFonts w:eastAsia="仿宋_GB2312"/>
                <w:color w:val="000000"/>
                <w:kern w:val="0"/>
                <w:sz w:val="18"/>
                <w:szCs w:val="18"/>
              </w:rPr>
              <w:t>①项目是否有绩效目标；</w:t>
            </w:r>
            <w:r>
              <w:rPr>
                <w:rFonts w:eastAsia="仿宋_GB2312"/>
                <w:color w:val="000000"/>
                <w:kern w:val="0"/>
                <w:sz w:val="18"/>
                <w:szCs w:val="18"/>
              </w:rPr>
              <w:br w:type="textWrapping"/>
            </w:r>
            <w:r>
              <w:rPr>
                <w:rFonts w:eastAsia="仿宋_GB2312"/>
                <w:color w:val="000000"/>
                <w:kern w:val="0"/>
                <w:sz w:val="18"/>
                <w:szCs w:val="18"/>
              </w:rPr>
              <w:t>②项目绩效目标与实际工作内容是否具有相关性；</w:t>
            </w:r>
            <w:r>
              <w:rPr>
                <w:rFonts w:eastAsia="仿宋_GB2312"/>
                <w:color w:val="000000"/>
                <w:kern w:val="0"/>
                <w:sz w:val="18"/>
                <w:szCs w:val="18"/>
              </w:rPr>
              <w:br w:type="textWrapping"/>
            </w:r>
            <w:r>
              <w:rPr>
                <w:rFonts w:eastAsia="仿宋_GB2312"/>
                <w:color w:val="000000"/>
                <w:kern w:val="0"/>
                <w:sz w:val="18"/>
                <w:szCs w:val="18"/>
              </w:rPr>
              <w:t>③项目预期产出效益和效果是否符合正常的业绩水平；</w:t>
            </w:r>
          </w:p>
          <w:p w14:paraId="2FFA422E">
            <w:pPr>
              <w:widowControl/>
              <w:spacing w:line="0" w:lineRule="atLeast"/>
              <w:jc w:val="left"/>
              <w:rPr>
                <w:rFonts w:eastAsia="仿宋_GB2312"/>
                <w:color w:val="000000"/>
                <w:kern w:val="0"/>
                <w:sz w:val="18"/>
                <w:szCs w:val="18"/>
              </w:rPr>
            </w:pPr>
            <w:r>
              <w:rPr>
                <w:rFonts w:eastAsia="仿宋_GB2312"/>
                <w:color w:val="000000"/>
                <w:kern w:val="0"/>
                <w:sz w:val="18"/>
                <w:szCs w:val="18"/>
              </w:rPr>
              <w:t>④是否与预算确定的项目投资额或资金量相匹配。</w:t>
            </w:r>
          </w:p>
        </w:tc>
        <w:tc>
          <w:tcPr>
            <w:tcW w:w="1300" w:type="dxa"/>
            <w:shd w:val="clear" w:color="000000" w:fill="FFFFFF"/>
            <w:vAlign w:val="center"/>
          </w:tcPr>
          <w:p w14:paraId="1A6592FE">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6" w:type="dxa"/>
            <w:shd w:val="clear" w:color="000000" w:fill="FFFFFF"/>
            <w:vAlign w:val="center"/>
          </w:tcPr>
          <w:p w14:paraId="7E39C31B">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14:paraId="61575C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14:paraId="555AD4F6">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14:paraId="245081D5">
            <w:pPr>
              <w:widowControl/>
              <w:spacing w:line="0" w:lineRule="atLeast"/>
              <w:jc w:val="center"/>
              <w:rPr>
                <w:rFonts w:eastAsia="仿宋_GB2312"/>
                <w:color w:val="000000"/>
                <w:kern w:val="0"/>
                <w:sz w:val="18"/>
                <w:szCs w:val="18"/>
              </w:rPr>
            </w:pPr>
          </w:p>
        </w:tc>
        <w:tc>
          <w:tcPr>
            <w:tcW w:w="1071" w:type="dxa"/>
            <w:shd w:val="clear" w:color="auto" w:fill="FFFFFF"/>
            <w:vAlign w:val="center"/>
          </w:tcPr>
          <w:p w14:paraId="6506FF3E">
            <w:pPr>
              <w:widowControl/>
              <w:spacing w:line="0" w:lineRule="atLeast"/>
              <w:jc w:val="center"/>
              <w:rPr>
                <w:rFonts w:eastAsia="仿宋_GB2312"/>
                <w:color w:val="000000"/>
                <w:kern w:val="0"/>
                <w:sz w:val="18"/>
                <w:szCs w:val="18"/>
              </w:rPr>
            </w:pPr>
            <w:r>
              <w:rPr>
                <w:rFonts w:eastAsia="仿宋_GB2312"/>
                <w:color w:val="000000"/>
                <w:kern w:val="0"/>
                <w:sz w:val="18"/>
                <w:szCs w:val="18"/>
              </w:rPr>
              <w:t>绩效指标</w:t>
            </w:r>
          </w:p>
          <w:p w14:paraId="7E8ECEBC">
            <w:pPr>
              <w:widowControl/>
              <w:spacing w:line="0" w:lineRule="atLeast"/>
              <w:jc w:val="center"/>
              <w:rPr>
                <w:rFonts w:eastAsia="仿宋_GB2312"/>
                <w:color w:val="000000"/>
                <w:kern w:val="0"/>
                <w:sz w:val="18"/>
                <w:szCs w:val="18"/>
              </w:rPr>
            </w:pPr>
            <w:r>
              <w:rPr>
                <w:rFonts w:eastAsia="仿宋_GB2312"/>
                <w:color w:val="000000"/>
                <w:kern w:val="0"/>
                <w:sz w:val="18"/>
                <w:szCs w:val="18"/>
              </w:rPr>
              <w:t>明确性</w:t>
            </w:r>
          </w:p>
        </w:tc>
        <w:tc>
          <w:tcPr>
            <w:tcW w:w="1726" w:type="dxa"/>
            <w:shd w:val="clear" w:color="000000" w:fill="FFFFFF"/>
            <w:vAlign w:val="center"/>
          </w:tcPr>
          <w:p w14:paraId="3F8A65DB">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14:paraId="6A70971C">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①是否将项目绩效目标细化分解为具体的绩效指标；</w:t>
            </w:r>
            <w:r>
              <w:rPr>
                <w:rFonts w:eastAsia="仿宋_GB2312"/>
                <w:color w:val="000000"/>
                <w:kern w:val="0"/>
                <w:sz w:val="18"/>
                <w:szCs w:val="18"/>
              </w:rPr>
              <w:br w:type="textWrapping"/>
            </w:r>
            <w:r>
              <w:rPr>
                <w:rFonts w:eastAsia="仿宋_GB2312"/>
                <w:color w:val="000000"/>
                <w:kern w:val="0"/>
                <w:sz w:val="18"/>
                <w:szCs w:val="18"/>
              </w:rPr>
              <w:t>②是否通过清晰、可衡量的指标值予以体现；</w:t>
            </w:r>
            <w:r>
              <w:rPr>
                <w:rFonts w:eastAsia="仿宋_GB2312"/>
                <w:color w:val="000000"/>
                <w:kern w:val="0"/>
                <w:sz w:val="18"/>
                <w:szCs w:val="18"/>
              </w:rPr>
              <w:br w:type="textWrapping"/>
            </w:r>
            <w:r>
              <w:rPr>
                <w:rFonts w:eastAsia="仿宋_GB2312"/>
                <w:color w:val="000000"/>
                <w:kern w:val="0"/>
                <w:sz w:val="18"/>
                <w:szCs w:val="18"/>
              </w:rPr>
              <w:t>③是否与项目目标任务数或计划数相对应。</w:t>
            </w:r>
            <w:r>
              <w:rPr>
                <w:rFonts w:eastAsia="仿宋_GB2312"/>
                <w:color w:val="000000"/>
                <w:kern w:val="0"/>
                <w:sz w:val="18"/>
                <w:szCs w:val="18"/>
              </w:rPr>
              <w:br w:type="textWrapping"/>
            </w:r>
          </w:p>
        </w:tc>
        <w:tc>
          <w:tcPr>
            <w:tcW w:w="1300" w:type="dxa"/>
            <w:shd w:val="clear" w:color="000000" w:fill="FFFFFF"/>
            <w:vAlign w:val="center"/>
          </w:tcPr>
          <w:p w14:paraId="167C05E3">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6" w:type="dxa"/>
            <w:shd w:val="clear" w:color="000000" w:fill="FFFFFF"/>
            <w:vAlign w:val="center"/>
          </w:tcPr>
          <w:p w14:paraId="3B4805F9">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14:paraId="1F6969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14:paraId="22F774E2">
            <w:pPr>
              <w:spacing w:line="0" w:lineRule="atLeast"/>
              <w:jc w:val="center"/>
              <w:rPr>
                <w:rFonts w:eastAsia="仿宋_GB2312"/>
                <w:color w:val="000000"/>
                <w:kern w:val="0"/>
                <w:sz w:val="18"/>
                <w:szCs w:val="18"/>
              </w:rPr>
            </w:pPr>
          </w:p>
        </w:tc>
        <w:tc>
          <w:tcPr>
            <w:tcW w:w="1000" w:type="dxa"/>
            <w:vMerge w:val="restart"/>
            <w:shd w:val="clear" w:color="auto" w:fill="FFFFFF"/>
            <w:vAlign w:val="center"/>
          </w:tcPr>
          <w:p w14:paraId="2C63E0BE">
            <w:pPr>
              <w:widowControl/>
              <w:spacing w:line="0" w:lineRule="atLeast"/>
              <w:jc w:val="center"/>
              <w:rPr>
                <w:rFonts w:eastAsia="仿宋_GB2312"/>
                <w:color w:val="000000"/>
                <w:kern w:val="0"/>
                <w:sz w:val="18"/>
                <w:szCs w:val="18"/>
              </w:rPr>
            </w:pPr>
            <w:r>
              <w:rPr>
                <w:rFonts w:eastAsia="仿宋_GB2312"/>
                <w:color w:val="000000"/>
                <w:kern w:val="0"/>
                <w:sz w:val="18"/>
                <w:szCs w:val="18"/>
              </w:rPr>
              <w:t>资金投入</w:t>
            </w:r>
          </w:p>
          <w:p w14:paraId="4EC664E9">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71" w:type="dxa"/>
            <w:shd w:val="clear" w:color="auto" w:fill="FFFFFF"/>
            <w:vAlign w:val="center"/>
          </w:tcPr>
          <w:p w14:paraId="2DBC4830">
            <w:pPr>
              <w:widowControl/>
              <w:spacing w:line="0" w:lineRule="atLeast"/>
              <w:jc w:val="center"/>
              <w:rPr>
                <w:rFonts w:eastAsia="仿宋_GB2312"/>
                <w:color w:val="000000"/>
                <w:kern w:val="0"/>
                <w:sz w:val="18"/>
                <w:szCs w:val="18"/>
              </w:rPr>
            </w:pPr>
            <w:r>
              <w:rPr>
                <w:rFonts w:eastAsia="仿宋_GB2312"/>
                <w:color w:val="000000"/>
                <w:kern w:val="0"/>
                <w:sz w:val="18"/>
                <w:szCs w:val="18"/>
              </w:rPr>
              <w:t>预算编制</w:t>
            </w:r>
          </w:p>
          <w:p w14:paraId="3CACC1E6">
            <w:pPr>
              <w:widowControl/>
              <w:spacing w:line="0" w:lineRule="atLeast"/>
              <w:jc w:val="center"/>
              <w:rPr>
                <w:rFonts w:eastAsia="仿宋_GB2312"/>
                <w:color w:val="000000"/>
                <w:kern w:val="0"/>
                <w:sz w:val="18"/>
                <w:szCs w:val="18"/>
              </w:rPr>
            </w:pPr>
            <w:r>
              <w:rPr>
                <w:rFonts w:eastAsia="仿宋_GB2312"/>
                <w:color w:val="000000"/>
                <w:kern w:val="0"/>
                <w:sz w:val="18"/>
                <w:szCs w:val="18"/>
              </w:rPr>
              <w:t>科学性</w:t>
            </w:r>
          </w:p>
        </w:tc>
        <w:tc>
          <w:tcPr>
            <w:tcW w:w="1726" w:type="dxa"/>
            <w:shd w:val="clear" w:color="auto" w:fill="FFFFFF"/>
            <w:vAlign w:val="center"/>
          </w:tcPr>
          <w:p w14:paraId="1B8333E7">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14:paraId="06102695">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①预算编制是否经过科学论证；</w:t>
            </w:r>
            <w:r>
              <w:rPr>
                <w:rFonts w:eastAsia="仿宋_GB2312"/>
                <w:color w:val="000000"/>
                <w:kern w:val="0"/>
                <w:sz w:val="18"/>
                <w:szCs w:val="18"/>
              </w:rPr>
              <w:br w:type="textWrapping"/>
            </w:r>
            <w:r>
              <w:rPr>
                <w:rFonts w:eastAsia="仿宋_GB2312"/>
                <w:color w:val="000000"/>
                <w:kern w:val="0"/>
                <w:sz w:val="18"/>
                <w:szCs w:val="18"/>
              </w:rPr>
              <w:t>②预算内容与项目内容是否匹配；</w:t>
            </w:r>
            <w:r>
              <w:rPr>
                <w:rFonts w:eastAsia="仿宋_GB2312"/>
                <w:color w:val="000000"/>
                <w:kern w:val="0"/>
                <w:sz w:val="18"/>
                <w:szCs w:val="18"/>
              </w:rPr>
              <w:br w:type="textWrapping"/>
            </w:r>
            <w:r>
              <w:rPr>
                <w:rFonts w:eastAsia="仿宋_GB2312"/>
                <w:color w:val="000000"/>
                <w:kern w:val="0"/>
                <w:sz w:val="18"/>
                <w:szCs w:val="18"/>
              </w:rPr>
              <w:t>③预算额度测算依据是否充分，是否按照标准编制；</w:t>
            </w:r>
            <w:r>
              <w:rPr>
                <w:rFonts w:eastAsia="仿宋_GB2312"/>
                <w:color w:val="000000"/>
                <w:kern w:val="0"/>
                <w:sz w:val="18"/>
                <w:szCs w:val="18"/>
              </w:rPr>
              <w:br w:type="textWrapping"/>
            </w:r>
            <w:r>
              <w:rPr>
                <w:rFonts w:eastAsia="仿宋_GB2312"/>
                <w:color w:val="000000"/>
                <w:kern w:val="0"/>
                <w:sz w:val="18"/>
                <w:szCs w:val="18"/>
              </w:rPr>
              <w:t>④预算确定的项目投资额或资金量是否与工作任务相匹配。</w:t>
            </w:r>
          </w:p>
        </w:tc>
        <w:tc>
          <w:tcPr>
            <w:tcW w:w="1300" w:type="dxa"/>
            <w:shd w:val="clear" w:color="auto" w:fill="FFFFFF"/>
            <w:vAlign w:val="center"/>
          </w:tcPr>
          <w:p w14:paraId="557D4793">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6" w:type="dxa"/>
            <w:shd w:val="clear" w:color="auto" w:fill="FFFFFF"/>
            <w:vAlign w:val="center"/>
          </w:tcPr>
          <w:p w14:paraId="1D137A2B">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4BD2F9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14:paraId="304AD233">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14:paraId="47B9889E">
            <w:pPr>
              <w:widowControl/>
              <w:spacing w:line="0" w:lineRule="atLeast"/>
              <w:jc w:val="center"/>
              <w:rPr>
                <w:rFonts w:eastAsia="仿宋_GB2312"/>
                <w:color w:val="000000"/>
                <w:kern w:val="0"/>
                <w:sz w:val="18"/>
                <w:szCs w:val="18"/>
              </w:rPr>
            </w:pPr>
          </w:p>
        </w:tc>
        <w:tc>
          <w:tcPr>
            <w:tcW w:w="1071" w:type="dxa"/>
            <w:shd w:val="clear" w:color="auto" w:fill="FFFFFF"/>
            <w:vAlign w:val="center"/>
          </w:tcPr>
          <w:p w14:paraId="63A5E9C9">
            <w:pPr>
              <w:widowControl/>
              <w:spacing w:line="0" w:lineRule="atLeast"/>
              <w:jc w:val="center"/>
              <w:rPr>
                <w:rFonts w:eastAsia="仿宋_GB2312"/>
                <w:color w:val="000000"/>
                <w:kern w:val="0"/>
                <w:sz w:val="18"/>
                <w:szCs w:val="18"/>
              </w:rPr>
            </w:pPr>
            <w:r>
              <w:rPr>
                <w:rFonts w:eastAsia="仿宋_GB2312"/>
                <w:color w:val="000000"/>
                <w:kern w:val="0"/>
                <w:sz w:val="18"/>
                <w:szCs w:val="18"/>
              </w:rPr>
              <w:t>资金分配</w:t>
            </w:r>
          </w:p>
          <w:p w14:paraId="6070A284">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726" w:type="dxa"/>
            <w:shd w:val="clear" w:color="auto" w:fill="FFFFFF"/>
            <w:vAlign w:val="center"/>
          </w:tcPr>
          <w:p w14:paraId="3B14036C">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14:paraId="6DF338AA">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①预算资金分配依据是否充分；</w:t>
            </w:r>
            <w:r>
              <w:rPr>
                <w:rFonts w:eastAsia="仿宋_GB2312"/>
                <w:color w:val="000000"/>
                <w:kern w:val="0"/>
                <w:sz w:val="18"/>
                <w:szCs w:val="18"/>
              </w:rPr>
              <w:br w:type="textWrapping"/>
            </w:r>
            <w:r>
              <w:rPr>
                <w:rFonts w:eastAsia="仿宋_GB2312"/>
                <w:color w:val="000000"/>
                <w:kern w:val="0"/>
                <w:sz w:val="18"/>
                <w:szCs w:val="18"/>
              </w:rPr>
              <w:t>②资金分配额度是否合理，与项目单位或地方实际是否相适应。</w:t>
            </w:r>
          </w:p>
        </w:tc>
        <w:tc>
          <w:tcPr>
            <w:tcW w:w="1300" w:type="dxa"/>
            <w:shd w:val="clear" w:color="auto" w:fill="FFFFFF"/>
            <w:vAlign w:val="center"/>
          </w:tcPr>
          <w:p w14:paraId="7DD79A54">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6" w:type="dxa"/>
            <w:shd w:val="clear" w:color="auto" w:fill="FFFFFF"/>
            <w:vAlign w:val="center"/>
          </w:tcPr>
          <w:p w14:paraId="3BF9C11E">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2B54E0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14:paraId="0A7BE7C5">
            <w:pPr>
              <w:spacing w:line="0" w:lineRule="atLeast"/>
              <w:jc w:val="center"/>
              <w:rPr>
                <w:rFonts w:eastAsia="仿宋_GB2312"/>
                <w:color w:val="000000"/>
                <w:kern w:val="0"/>
                <w:sz w:val="18"/>
                <w:szCs w:val="18"/>
              </w:rPr>
            </w:pPr>
          </w:p>
          <w:p w14:paraId="02048FCD">
            <w:pPr>
              <w:spacing w:line="0" w:lineRule="atLeast"/>
              <w:jc w:val="center"/>
              <w:rPr>
                <w:rFonts w:eastAsia="仿宋_GB2312"/>
                <w:color w:val="000000"/>
                <w:kern w:val="0"/>
                <w:sz w:val="18"/>
                <w:szCs w:val="18"/>
              </w:rPr>
            </w:pPr>
          </w:p>
          <w:p w14:paraId="5E1232BD">
            <w:pPr>
              <w:spacing w:line="0" w:lineRule="atLeast"/>
              <w:jc w:val="center"/>
              <w:rPr>
                <w:rFonts w:eastAsia="仿宋_GB2312"/>
                <w:color w:val="000000"/>
                <w:kern w:val="0"/>
                <w:sz w:val="18"/>
                <w:szCs w:val="18"/>
              </w:rPr>
            </w:pPr>
          </w:p>
          <w:p w14:paraId="24DCB1D2">
            <w:pPr>
              <w:spacing w:line="0" w:lineRule="atLeast"/>
              <w:jc w:val="center"/>
              <w:rPr>
                <w:rFonts w:eastAsia="仿宋_GB2312"/>
                <w:color w:val="000000"/>
                <w:kern w:val="0"/>
                <w:sz w:val="18"/>
                <w:szCs w:val="18"/>
              </w:rPr>
            </w:pPr>
          </w:p>
          <w:p w14:paraId="7324228E">
            <w:pPr>
              <w:spacing w:line="0" w:lineRule="atLeast"/>
              <w:jc w:val="center"/>
              <w:rPr>
                <w:rFonts w:eastAsia="仿宋_GB2312"/>
                <w:color w:val="000000"/>
                <w:kern w:val="0"/>
                <w:sz w:val="18"/>
                <w:szCs w:val="18"/>
              </w:rPr>
            </w:pPr>
          </w:p>
          <w:p w14:paraId="1BF0B049">
            <w:pPr>
              <w:spacing w:line="0" w:lineRule="atLeast"/>
              <w:jc w:val="center"/>
              <w:rPr>
                <w:rFonts w:eastAsia="仿宋_GB2312"/>
                <w:color w:val="000000"/>
                <w:kern w:val="0"/>
                <w:sz w:val="18"/>
                <w:szCs w:val="18"/>
              </w:rPr>
            </w:pPr>
          </w:p>
          <w:p w14:paraId="529E43B7">
            <w:pPr>
              <w:spacing w:line="0" w:lineRule="atLeast"/>
              <w:jc w:val="center"/>
              <w:rPr>
                <w:rFonts w:eastAsia="仿宋_GB2312"/>
                <w:color w:val="000000"/>
                <w:kern w:val="0"/>
                <w:sz w:val="18"/>
                <w:szCs w:val="18"/>
              </w:rPr>
            </w:pPr>
          </w:p>
          <w:p w14:paraId="207A80F5">
            <w:pPr>
              <w:spacing w:line="0" w:lineRule="atLeast"/>
              <w:jc w:val="center"/>
              <w:rPr>
                <w:rFonts w:eastAsia="仿宋_GB2312"/>
                <w:color w:val="000000"/>
                <w:kern w:val="0"/>
                <w:sz w:val="18"/>
                <w:szCs w:val="18"/>
              </w:rPr>
            </w:pPr>
          </w:p>
          <w:p w14:paraId="42785B6E">
            <w:pPr>
              <w:spacing w:line="0" w:lineRule="atLeast"/>
              <w:jc w:val="center"/>
              <w:rPr>
                <w:rFonts w:eastAsia="仿宋_GB2312"/>
                <w:color w:val="000000"/>
                <w:kern w:val="0"/>
                <w:sz w:val="18"/>
                <w:szCs w:val="18"/>
              </w:rPr>
            </w:pPr>
          </w:p>
          <w:p w14:paraId="3F5C61AC">
            <w:pPr>
              <w:spacing w:line="0" w:lineRule="atLeast"/>
              <w:jc w:val="center"/>
              <w:rPr>
                <w:rFonts w:eastAsia="仿宋_GB2312"/>
                <w:color w:val="000000"/>
                <w:kern w:val="0"/>
                <w:sz w:val="18"/>
                <w:szCs w:val="18"/>
              </w:rPr>
            </w:pPr>
          </w:p>
          <w:p w14:paraId="3B1A5013">
            <w:pPr>
              <w:spacing w:line="0" w:lineRule="atLeast"/>
              <w:jc w:val="center"/>
              <w:rPr>
                <w:rFonts w:eastAsia="仿宋_GB2312"/>
                <w:color w:val="000000"/>
                <w:kern w:val="0"/>
                <w:sz w:val="18"/>
                <w:szCs w:val="18"/>
              </w:rPr>
            </w:pPr>
          </w:p>
          <w:p w14:paraId="3264287D">
            <w:pPr>
              <w:spacing w:line="0" w:lineRule="atLeast"/>
              <w:jc w:val="center"/>
              <w:rPr>
                <w:rFonts w:eastAsia="仿宋_GB2312"/>
                <w:color w:val="000000"/>
                <w:kern w:val="0"/>
                <w:sz w:val="18"/>
                <w:szCs w:val="18"/>
              </w:rPr>
            </w:pPr>
          </w:p>
          <w:p w14:paraId="32453F38">
            <w:pPr>
              <w:spacing w:line="0" w:lineRule="atLeast"/>
              <w:jc w:val="center"/>
              <w:rPr>
                <w:rFonts w:eastAsia="仿宋_GB2312"/>
                <w:color w:val="000000"/>
                <w:kern w:val="0"/>
                <w:sz w:val="18"/>
                <w:szCs w:val="18"/>
              </w:rPr>
            </w:pPr>
          </w:p>
          <w:p w14:paraId="51005045">
            <w:pPr>
              <w:spacing w:line="0" w:lineRule="atLeast"/>
              <w:jc w:val="center"/>
              <w:rPr>
                <w:rFonts w:eastAsia="仿宋_GB2312"/>
                <w:color w:val="000000"/>
                <w:kern w:val="0"/>
                <w:sz w:val="18"/>
                <w:szCs w:val="18"/>
              </w:rPr>
            </w:pPr>
          </w:p>
          <w:p w14:paraId="083EDDEA">
            <w:pPr>
              <w:spacing w:line="0" w:lineRule="atLeast"/>
              <w:jc w:val="center"/>
              <w:rPr>
                <w:rFonts w:eastAsia="仿宋_GB2312"/>
                <w:color w:val="000000"/>
                <w:kern w:val="0"/>
                <w:sz w:val="18"/>
                <w:szCs w:val="18"/>
              </w:rPr>
            </w:pPr>
          </w:p>
          <w:p w14:paraId="035C29EB">
            <w:pPr>
              <w:spacing w:line="0" w:lineRule="atLeast"/>
              <w:jc w:val="center"/>
              <w:rPr>
                <w:rFonts w:eastAsia="仿宋_GB2312"/>
                <w:color w:val="000000"/>
                <w:kern w:val="0"/>
                <w:sz w:val="18"/>
                <w:szCs w:val="18"/>
              </w:rPr>
            </w:pPr>
            <w:r>
              <w:rPr>
                <w:rFonts w:eastAsia="仿宋_GB2312"/>
                <w:color w:val="000000"/>
                <w:kern w:val="0"/>
                <w:sz w:val="18"/>
                <w:szCs w:val="18"/>
              </w:rPr>
              <w:t>过程</w:t>
            </w:r>
          </w:p>
          <w:p w14:paraId="36E139F4">
            <w:pPr>
              <w:widowControl/>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00" w:type="dxa"/>
            <w:vMerge w:val="restart"/>
            <w:shd w:val="clear" w:color="auto" w:fill="FFFFFF"/>
            <w:vAlign w:val="center"/>
          </w:tcPr>
          <w:p w14:paraId="66A8FD20">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1071" w:type="dxa"/>
            <w:shd w:val="clear" w:color="auto" w:fill="FFFFFF"/>
            <w:vAlign w:val="center"/>
          </w:tcPr>
          <w:p w14:paraId="27C35BAE">
            <w:pPr>
              <w:widowControl/>
              <w:spacing w:line="0" w:lineRule="atLeast"/>
              <w:jc w:val="center"/>
              <w:rPr>
                <w:rFonts w:eastAsia="仿宋_GB2312"/>
                <w:color w:val="000000"/>
                <w:kern w:val="0"/>
                <w:sz w:val="18"/>
                <w:szCs w:val="18"/>
              </w:rPr>
            </w:pPr>
            <w:r>
              <w:rPr>
                <w:rFonts w:eastAsia="仿宋_GB2312"/>
                <w:color w:val="000000"/>
                <w:kern w:val="0"/>
                <w:sz w:val="18"/>
                <w:szCs w:val="18"/>
              </w:rPr>
              <w:t>资金到位率</w:t>
            </w:r>
          </w:p>
        </w:tc>
        <w:tc>
          <w:tcPr>
            <w:tcW w:w="1726" w:type="dxa"/>
            <w:shd w:val="clear" w:color="000000" w:fill="FFFFFF"/>
            <w:vAlign w:val="center"/>
          </w:tcPr>
          <w:p w14:paraId="608D8772">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14:paraId="6083D6CA">
            <w:pPr>
              <w:widowControl/>
              <w:spacing w:line="0" w:lineRule="atLeast"/>
              <w:rPr>
                <w:rFonts w:eastAsia="仿宋_GB2312"/>
                <w:color w:val="000000"/>
                <w:kern w:val="0"/>
                <w:sz w:val="18"/>
                <w:szCs w:val="18"/>
              </w:rPr>
            </w:pPr>
            <w:r>
              <w:rPr>
                <w:rFonts w:eastAsia="仿宋_GB2312"/>
                <w:color w:val="000000"/>
                <w:kern w:val="0"/>
                <w:sz w:val="18"/>
                <w:szCs w:val="18"/>
              </w:rPr>
              <w:t>资金到位率=（实际到位资金/预算资金）×100%。</w:t>
            </w:r>
          </w:p>
          <w:p w14:paraId="1C4E016A">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14:paraId="234240BF">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1300" w:type="dxa"/>
            <w:shd w:val="clear" w:color="000000" w:fill="FFFFFF"/>
            <w:vAlign w:val="center"/>
          </w:tcPr>
          <w:p w14:paraId="762E062F">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6" w:type="dxa"/>
            <w:shd w:val="clear" w:color="000000" w:fill="FFFFFF"/>
            <w:vAlign w:val="center"/>
          </w:tcPr>
          <w:p w14:paraId="12921073">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6AF273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14:paraId="5CA2C8A4">
            <w:pPr>
              <w:spacing w:line="0" w:lineRule="atLeast"/>
              <w:jc w:val="center"/>
              <w:rPr>
                <w:rFonts w:eastAsia="仿宋_GB2312"/>
                <w:color w:val="000000"/>
                <w:kern w:val="0"/>
                <w:sz w:val="18"/>
                <w:szCs w:val="18"/>
              </w:rPr>
            </w:pPr>
          </w:p>
        </w:tc>
        <w:tc>
          <w:tcPr>
            <w:tcW w:w="1000" w:type="dxa"/>
            <w:vMerge w:val="continue"/>
            <w:shd w:val="clear" w:color="auto" w:fill="FFFFFF"/>
            <w:vAlign w:val="center"/>
          </w:tcPr>
          <w:p w14:paraId="4E23A92D">
            <w:pPr>
              <w:spacing w:line="0" w:lineRule="atLeast"/>
              <w:jc w:val="center"/>
              <w:rPr>
                <w:rFonts w:eastAsia="仿宋_GB2312"/>
                <w:color w:val="000000"/>
                <w:kern w:val="0"/>
                <w:sz w:val="18"/>
                <w:szCs w:val="18"/>
              </w:rPr>
            </w:pPr>
          </w:p>
        </w:tc>
        <w:tc>
          <w:tcPr>
            <w:tcW w:w="1071" w:type="dxa"/>
            <w:shd w:val="clear" w:color="auto" w:fill="FFFFFF"/>
            <w:vAlign w:val="center"/>
          </w:tcPr>
          <w:p w14:paraId="790BB812">
            <w:pPr>
              <w:widowControl/>
              <w:spacing w:line="0" w:lineRule="atLeast"/>
              <w:jc w:val="center"/>
              <w:rPr>
                <w:rFonts w:eastAsia="仿宋_GB2312"/>
                <w:color w:val="000000"/>
                <w:kern w:val="0"/>
                <w:sz w:val="18"/>
                <w:szCs w:val="18"/>
              </w:rPr>
            </w:pPr>
            <w:r>
              <w:rPr>
                <w:rFonts w:eastAsia="仿宋_GB2312"/>
                <w:color w:val="000000"/>
                <w:kern w:val="0"/>
                <w:sz w:val="18"/>
                <w:szCs w:val="18"/>
              </w:rPr>
              <w:t>预算执行率</w:t>
            </w:r>
          </w:p>
        </w:tc>
        <w:tc>
          <w:tcPr>
            <w:tcW w:w="1726" w:type="dxa"/>
            <w:shd w:val="clear" w:color="auto" w:fill="FFFFFF"/>
            <w:vAlign w:val="center"/>
          </w:tcPr>
          <w:p w14:paraId="0046E1A1">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5216" w:type="dxa"/>
            <w:shd w:val="clear" w:color="auto" w:fill="FFFFFF"/>
            <w:vAlign w:val="center"/>
          </w:tcPr>
          <w:p w14:paraId="34AADE80">
            <w:pPr>
              <w:widowControl/>
              <w:spacing w:line="0" w:lineRule="atLeast"/>
              <w:rPr>
                <w:rFonts w:eastAsia="仿宋_GB2312"/>
                <w:color w:val="000000"/>
                <w:kern w:val="0"/>
                <w:sz w:val="18"/>
                <w:szCs w:val="18"/>
              </w:rPr>
            </w:pPr>
            <w:r>
              <w:rPr>
                <w:rFonts w:eastAsia="仿宋_GB2312"/>
                <w:color w:val="000000"/>
                <w:kern w:val="0"/>
                <w:sz w:val="18"/>
                <w:szCs w:val="18"/>
              </w:rPr>
              <w:t>预算执行率=（实际支出资金/实际到位资金）×100%。</w:t>
            </w:r>
            <w:r>
              <w:rPr>
                <w:rFonts w:eastAsia="仿宋_GB2312"/>
                <w:color w:val="000000"/>
                <w:kern w:val="0"/>
                <w:sz w:val="18"/>
                <w:szCs w:val="18"/>
              </w:rPr>
              <w:br w:type="textWrapping"/>
            </w:r>
            <w:r>
              <w:rPr>
                <w:rFonts w:eastAsia="仿宋_GB2312"/>
                <w:color w:val="000000"/>
                <w:kern w:val="0"/>
                <w:sz w:val="18"/>
                <w:szCs w:val="18"/>
              </w:rPr>
              <w:t>实际支出资金：一定时期（本年度或项目期）内项目实际拨付的资金。</w:t>
            </w:r>
          </w:p>
        </w:tc>
        <w:tc>
          <w:tcPr>
            <w:tcW w:w="1300" w:type="dxa"/>
            <w:shd w:val="clear" w:color="auto" w:fill="FFFFFF"/>
            <w:vAlign w:val="center"/>
          </w:tcPr>
          <w:p w14:paraId="6C0047E1">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6" w:type="dxa"/>
            <w:shd w:val="clear" w:color="auto" w:fill="FFFFFF"/>
            <w:vAlign w:val="center"/>
          </w:tcPr>
          <w:p w14:paraId="2468F4AD">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65B879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3A7BDB3D">
            <w:pPr>
              <w:spacing w:line="0" w:lineRule="atLeast"/>
              <w:jc w:val="center"/>
              <w:rPr>
                <w:rFonts w:eastAsia="仿宋_GB2312"/>
                <w:color w:val="000000"/>
                <w:kern w:val="0"/>
                <w:sz w:val="18"/>
                <w:szCs w:val="18"/>
              </w:rPr>
            </w:pPr>
          </w:p>
        </w:tc>
        <w:tc>
          <w:tcPr>
            <w:tcW w:w="1000" w:type="dxa"/>
            <w:shd w:val="clear" w:color="auto" w:fill="FFFFFF"/>
            <w:vAlign w:val="center"/>
          </w:tcPr>
          <w:p w14:paraId="7029946E">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1071" w:type="dxa"/>
            <w:shd w:val="clear" w:color="auto" w:fill="FFFFFF"/>
            <w:vAlign w:val="center"/>
          </w:tcPr>
          <w:p w14:paraId="4F9BCB3B">
            <w:pPr>
              <w:widowControl/>
              <w:spacing w:line="0" w:lineRule="atLeast"/>
              <w:jc w:val="center"/>
              <w:rPr>
                <w:rFonts w:eastAsia="仿宋_GB2312"/>
                <w:color w:val="000000"/>
                <w:kern w:val="0"/>
                <w:sz w:val="18"/>
                <w:szCs w:val="18"/>
              </w:rPr>
            </w:pPr>
            <w:r>
              <w:rPr>
                <w:rFonts w:eastAsia="仿宋_GB2312"/>
                <w:color w:val="000000"/>
                <w:kern w:val="0"/>
                <w:sz w:val="18"/>
                <w:szCs w:val="18"/>
              </w:rPr>
              <w:t>资金使用</w:t>
            </w:r>
          </w:p>
          <w:p w14:paraId="1A05CB76">
            <w:pPr>
              <w:widowControl/>
              <w:spacing w:line="0" w:lineRule="atLeast"/>
              <w:jc w:val="center"/>
              <w:rPr>
                <w:rFonts w:eastAsia="仿宋_GB2312"/>
                <w:color w:val="000000"/>
                <w:kern w:val="0"/>
                <w:sz w:val="18"/>
                <w:szCs w:val="18"/>
              </w:rPr>
            </w:pPr>
            <w:r>
              <w:rPr>
                <w:rFonts w:eastAsia="仿宋_GB2312"/>
                <w:color w:val="000000"/>
                <w:kern w:val="0"/>
                <w:sz w:val="18"/>
                <w:szCs w:val="18"/>
              </w:rPr>
              <w:t>合规性</w:t>
            </w:r>
          </w:p>
        </w:tc>
        <w:tc>
          <w:tcPr>
            <w:tcW w:w="1726" w:type="dxa"/>
            <w:shd w:val="clear" w:color="000000" w:fill="FFFFFF"/>
            <w:vAlign w:val="center"/>
          </w:tcPr>
          <w:p w14:paraId="2D010BCF">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14:paraId="67FE1900">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①是否符合国家财经法规和财务管理制度以及有关专项资金管理办法的规定；</w:t>
            </w:r>
            <w:r>
              <w:rPr>
                <w:rFonts w:eastAsia="仿宋_GB2312"/>
                <w:color w:val="000000"/>
                <w:kern w:val="0"/>
                <w:sz w:val="18"/>
                <w:szCs w:val="18"/>
              </w:rPr>
              <w:br w:type="textWrapping"/>
            </w:r>
            <w:r>
              <w:rPr>
                <w:rFonts w:eastAsia="仿宋_GB2312"/>
                <w:color w:val="000000"/>
                <w:kern w:val="0"/>
                <w:sz w:val="18"/>
                <w:szCs w:val="18"/>
              </w:rPr>
              <w:t>②资金的拨付是否有完整的审批程序和手续；</w:t>
            </w:r>
            <w:r>
              <w:rPr>
                <w:rFonts w:eastAsia="仿宋_GB2312"/>
                <w:color w:val="000000"/>
                <w:kern w:val="0"/>
                <w:sz w:val="18"/>
                <w:szCs w:val="18"/>
              </w:rPr>
              <w:br w:type="textWrapping"/>
            </w:r>
            <w:r>
              <w:rPr>
                <w:rFonts w:eastAsia="仿宋_GB2312"/>
                <w:color w:val="000000"/>
                <w:kern w:val="0"/>
                <w:sz w:val="18"/>
                <w:szCs w:val="18"/>
              </w:rPr>
              <w:t>③是否符合项目预算批复或合同规定的用途；</w:t>
            </w:r>
            <w:r>
              <w:rPr>
                <w:rFonts w:eastAsia="仿宋_GB2312"/>
                <w:color w:val="000000"/>
                <w:kern w:val="0"/>
                <w:sz w:val="18"/>
                <w:szCs w:val="18"/>
              </w:rPr>
              <w:br w:type="textWrapping"/>
            </w:r>
            <w:r>
              <w:rPr>
                <w:rFonts w:eastAsia="仿宋_GB2312"/>
                <w:color w:val="000000"/>
                <w:kern w:val="0"/>
                <w:sz w:val="18"/>
                <w:szCs w:val="18"/>
              </w:rPr>
              <w:t>④是否存在截留、挤占、挪用、虚列支出等情况。</w:t>
            </w:r>
          </w:p>
        </w:tc>
        <w:tc>
          <w:tcPr>
            <w:tcW w:w="1300" w:type="dxa"/>
            <w:shd w:val="clear" w:color="000000" w:fill="FFFFFF"/>
            <w:vAlign w:val="center"/>
          </w:tcPr>
          <w:p w14:paraId="7428486F">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6" w:type="dxa"/>
            <w:shd w:val="clear" w:color="000000" w:fill="FFFFFF"/>
            <w:vAlign w:val="center"/>
          </w:tcPr>
          <w:p w14:paraId="313B1141">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0DC32C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14:paraId="7564E323">
            <w:pPr>
              <w:spacing w:line="0" w:lineRule="atLeast"/>
              <w:jc w:val="center"/>
              <w:rPr>
                <w:rFonts w:eastAsia="仿宋_GB2312"/>
                <w:color w:val="000000"/>
                <w:kern w:val="0"/>
                <w:sz w:val="18"/>
                <w:szCs w:val="18"/>
              </w:rPr>
            </w:pPr>
          </w:p>
        </w:tc>
        <w:tc>
          <w:tcPr>
            <w:tcW w:w="1000" w:type="dxa"/>
            <w:vMerge w:val="restart"/>
            <w:shd w:val="clear" w:color="auto" w:fill="FFFFFF"/>
            <w:vAlign w:val="center"/>
          </w:tcPr>
          <w:p w14:paraId="4EAD2942">
            <w:pPr>
              <w:widowControl/>
              <w:spacing w:line="0" w:lineRule="atLeast"/>
              <w:jc w:val="center"/>
              <w:rPr>
                <w:rFonts w:eastAsia="仿宋_GB2312"/>
                <w:color w:val="000000"/>
                <w:kern w:val="0"/>
                <w:sz w:val="18"/>
                <w:szCs w:val="18"/>
              </w:rPr>
            </w:pPr>
            <w:r>
              <w:rPr>
                <w:rFonts w:eastAsia="仿宋_GB2312"/>
                <w:color w:val="000000"/>
                <w:kern w:val="0"/>
                <w:sz w:val="18"/>
                <w:szCs w:val="18"/>
              </w:rPr>
              <w:t>组织实施</w:t>
            </w:r>
          </w:p>
          <w:p w14:paraId="71DE17F4">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71" w:type="dxa"/>
            <w:shd w:val="clear" w:color="auto" w:fill="FFFFFF"/>
            <w:vAlign w:val="center"/>
          </w:tcPr>
          <w:p w14:paraId="4A14CC77">
            <w:pPr>
              <w:widowControl/>
              <w:spacing w:line="0" w:lineRule="atLeast"/>
              <w:jc w:val="center"/>
              <w:rPr>
                <w:rFonts w:eastAsia="仿宋_GB2312"/>
                <w:color w:val="000000"/>
                <w:kern w:val="0"/>
                <w:sz w:val="18"/>
                <w:szCs w:val="18"/>
              </w:rPr>
            </w:pPr>
            <w:r>
              <w:rPr>
                <w:rFonts w:eastAsia="仿宋_GB2312"/>
                <w:color w:val="000000"/>
                <w:kern w:val="0"/>
                <w:sz w:val="18"/>
                <w:szCs w:val="18"/>
              </w:rPr>
              <w:t>管理制度</w:t>
            </w:r>
          </w:p>
          <w:p w14:paraId="3EF4D355">
            <w:pPr>
              <w:widowControl/>
              <w:spacing w:line="0" w:lineRule="atLeast"/>
              <w:jc w:val="center"/>
              <w:rPr>
                <w:rFonts w:eastAsia="仿宋_GB2312"/>
                <w:color w:val="000000"/>
                <w:kern w:val="0"/>
                <w:sz w:val="18"/>
                <w:szCs w:val="18"/>
              </w:rPr>
            </w:pPr>
            <w:r>
              <w:rPr>
                <w:rFonts w:eastAsia="仿宋_GB2312"/>
                <w:color w:val="000000"/>
                <w:kern w:val="0"/>
                <w:sz w:val="18"/>
                <w:szCs w:val="18"/>
              </w:rPr>
              <w:t>健全性</w:t>
            </w:r>
          </w:p>
        </w:tc>
        <w:tc>
          <w:tcPr>
            <w:tcW w:w="1726" w:type="dxa"/>
            <w:shd w:val="clear" w:color="000000" w:fill="FFFFFF"/>
            <w:vAlign w:val="center"/>
          </w:tcPr>
          <w:p w14:paraId="77086AE7">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14:paraId="6028988E">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①是否已制定或具有相应的财务和业务管理制度；</w:t>
            </w:r>
            <w:r>
              <w:rPr>
                <w:rFonts w:eastAsia="仿宋_GB2312"/>
                <w:color w:val="000000"/>
                <w:kern w:val="0"/>
                <w:sz w:val="18"/>
                <w:szCs w:val="18"/>
              </w:rPr>
              <w:br w:type="textWrapping"/>
            </w:r>
            <w:r>
              <w:rPr>
                <w:rFonts w:eastAsia="仿宋_GB2312"/>
                <w:color w:val="000000"/>
                <w:kern w:val="0"/>
                <w:sz w:val="18"/>
                <w:szCs w:val="18"/>
              </w:rPr>
              <w:t>②财务和业务管理制度是否合法、合规、完整。</w:t>
            </w:r>
          </w:p>
        </w:tc>
        <w:tc>
          <w:tcPr>
            <w:tcW w:w="1300" w:type="dxa"/>
            <w:shd w:val="clear" w:color="000000" w:fill="FFFFFF"/>
            <w:vAlign w:val="center"/>
          </w:tcPr>
          <w:p w14:paraId="0BB54AA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6" w:type="dxa"/>
            <w:shd w:val="clear" w:color="000000" w:fill="FFFFFF"/>
            <w:vAlign w:val="center"/>
          </w:tcPr>
          <w:p w14:paraId="1BE5F0C2">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0B98A3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14:paraId="70EB78E4">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14:paraId="0BDBA285">
            <w:pPr>
              <w:widowControl/>
              <w:spacing w:line="0" w:lineRule="atLeast"/>
              <w:jc w:val="center"/>
              <w:rPr>
                <w:rFonts w:eastAsia="仿宋_GB2312"/>
                <w:color w:val="000000"/>
                <w:kern w:val="0"/>
                <w:sz w:val="18"/>
                <w:szCs w:val="18"/>
              </w:rPr>
            </w:pPr>
          </w:p>
        </w:tc>
        <w:tc>
          <w:tcPr>
            <w:tcW w:w="1071" w:type="dxa"/>
            <w:shd w:val="clear" w:color="auto" w:fill="FFFFFF"/>
            <w:vAlign w:val="center"/>
          </w:tcPr>
          <w:p w14:paraId="243D4FC0">
            <w:pPr>
              <w:widowControl/>
              <w:spacing w:line="0" w:lineRule="atLeast"/>
              <w:jc w:val="center"/>
              <w:rPr>
                <w:rFonts w:eastAsia="仿宋_GB2312"/>
                <w:color w:val="000000"/>
                <w:kern w:val="0"/>
                <w:sz w:val="18"/>
                <w:szCs w:val="18"/>
              </w:rPr>
            </w:pPr>
            <w:r>
              <w:rPr>
                <w:rFonts w:eastAsia="仿宋_GB2312"/>
                <w:color w:val="000000"/>
                <w:kern w:val="0"/>
                <w:sz w:val="18"/>
                <w:szCs w:val="18"/>
              </w:rPr>
              <w:t>制度执行</w:t>
            </w:r>
          </w:p>
          <w:p w14:paraId="7B815315">
            <w:pPr>
              <w:widowControl/>
              <w:spacing w:line="0" w:lineRule="atLeast"/>
              <w:jc w:val="center"/>
              <w:rPr>
                <w:rFonts w:eastAsia="仿宋_GB2312"/>
                <w:color w:val="000000"/>
                <w:kern w:val="0"/>
                <w:sz w:val="18"/>
                <w:szCs w:val="18"/>
              </w:rPr>
            </w:pPr>
            <w:r>
              <w:rPr>
                <w:rFonts w:eastAsia="仿宋_GB2312"/>
                <w:color w:val="000000"/>
                <w:kern w:val="0"/>
                <w:sz w:val="18"/>
                <w:szCs w:val="18"/>
              </w:rPr>
              <w:t>有效性</w:t>
            </w:r>
          </w:p>
        </w:tc>
        <w:tc>
          <w:tcPr>
            <w:tcW w:w="1726" w:type="dxa"/>
            <w:shd w:val="clear" w:color="000000" w:fill="FFFFFF"/>
            <w:vAlign w:val="center"/>
          </w:tcPr>
          <w:p w14:paraId="706DCBF9">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5216" w:type="dxa"/>
            <w:shd w:val="clear" w:color="000000" w:fill="FFFFFF"/>
            <w:vAlign w:val="center"/>
          </w:tcPr>
          <w:p w14:paraId="2C0692F4">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①是否遵守相关法律法规和相关管理规定；</w:t>
            </w:r>
            <w:r>
              <w:rPr>
                <w:rFonts w:eastAsia="仿宋_GB2312"/>
                <w:color w:val="000000"/>
                <w:kern w:val="0"/>
                <w:sz w:val="18"/>
                <w:szCs w:val="18"/>
              </w:rPr>
              <w:br w:type="textWrapping"/>
            </w:r>
            <w:r>
              <w:rPr>
                <w:rFonts w:eastAsia="仿宋_GB2312"/>
                <w:color w:val="000000"/>
                <w:kern w:val="0"/>
                <w:sz w:val="18"/>
                <w:szCs w:val="18"/>
              </w:rPr>
              <w:t>②项目调整及支出调整手续是否完备；</w:t>
            </w:r>
            <w:r>
              <w:rPr>
                <w:rFonts w:eastAsia="仿宋_GB2312"/>
                <w:color w:val="000000"/>
                <w:kern w:val="0"/>
                <w:sz w:val="18"/>
                <w:szCs w:val="18"/>
              </w:rPr>
              <w:br w:type="textWrapping"/>
            </w:r>
            <w:r>
              <w:rPr>
                <w:rFonts w:eastAsia="仿宋_GB2312"/>
                <w:color w:val="000000"/>
                <w:kern w:val="0"/>
                <w:sz w:val="18"/>
                <w:szCs w:val="18"/>
              </w:rPr>
              <w:t>③项目合同书、验收报告、技术鉴定等资料是否齐全并及时归档；</w:t>
            </w:r>
            <w:r>
              <w:rPr>
                <w:rFonts w:eastAsia="仿宋_GB2312"/>
                <w:color w:val="000000"/>
                <w:kern w:val="0"/>
                <w:sz w:val="18"/>
                <w:szCs w:val="18"/>
              </w:rPr>
              <w:br w:type="textWrapping"/>
            </w:r>
            <w:r>
              <w:rPr>
                <w:rFonts w:eastAsia="仿宋_GB2312"/>
                <w:color w:val="000000"/>
                <w:kern w:val="0"/>
                <w:sz w:val="18"/>
                <w:szCs w:val="18"/>
              </w:rPr>
              <w:t>④项目实施的人员条件、场地设备、信息支撑等是否落实到位。</w:t>
            </w:r>
          </w:p>
        </w:tc>
        <w:tc>
          <w:tcPr>
            <w:tcW w:w="1300" w:type="dxa"/>
            <w:shd w:val="clear" w:color="000000" w:fill="FFFFFF"/>
            <w:vAlign w:val="center"/>
          </w:tcPr>
          <w:p w14:paraId="66534191">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6" w:type="dxa"/>
            <w:shd w:val="clear" w:color="000000" w:fill="FFFFFF"/>
            <w:vAlign w:val="center"/>
          </w:tcPr>
          <w:p w14:paraId="3F5F274F">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6447D3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14:paraId="35110F89">
            <w:pPr>
              <w:widowControl/>
              <w:spacing w:line="0" w:lineRule="atLeast"/>
              <w:jc w:val="center"/>
              <w:rPr>
                <w:rFonts w:eastAsia="仿宋_GB2312"/>
                <w:color w:val="000000"/>
                <w:kern w:val="0"/>
                <w:sz w:val="18"/>
                <w:szCs w:val="18"/>
              </w:rPr>
            </w:pPr>
            <w:r>
              <w:rPr>
                <w:rFonts w:eastAsia="仿宋_GB2312"/>
                <w:color w:val="000000"/>
                <w:kern w:val="0"/>
                <w:sz w:val="18"/>
                <w:szCs w:val="18"/>
              </w:rPr>
              <w:t>产出</w:t>
            </w:r>
          </w:p>
        </w:tc>
        <w:tc>
          <w:tcPr>
            <w:tcW w:w="1000" w:type="dxa"/>
            <w:shd w:val="clear" w:color="auto" w:fill="FFFFFF"/>
            <w:vAlign w:val="center"/>
          </w:tcPr>
          <w:p w14:paraId="76D39A0B">
            <w:pPr>
              <w:widowControl/>
              <w:spacing w:line="0" w:lineRule="atLeast"/>
              <w:jc w:val="center"/>
              <w:rPr>
                <w:rFonts w:eastAsia="仿宋_GB2312"/>
                <w:color w:val="000000"/>
                <w:kern w:val="0"/>
                <w:sz w:val="18"/>
                <w:szCs w:val="18"/>
              </w:rPr>
            </w:pPr>
            <w:r>
              <w:rPr>
                <w:rFonts w:eastAsia="仿宋_GB2312"/>
                <w:color w:val="000000"/>
                <w:kern w:val="0"/>
                <w:sz w:val="18"/>
                <w:szCs w:val="18"/>
              </w:rPr>
              <w:t>产出数量</w:t>
            </w:r>
          </w:p>
        </w:tc>
        <w:tc>
          <w:tcPr>
            <w:tcW w:w="1071" w:type="dxa"/>
            <w:shd w:val="clear" w:color="auto" w:fill="FFFFFF"/>
            <w:vAlign w:val="center"/>
          </w:tcPr>
          <w:p w14:paraId="1F31ADE1">
            <w:pPr>
              <w:widowControl/>
              <w:spacing w:line="0" w:lineRule="atLeast"/>
              <w:jc w:val="center"/>
              <w:rPr>
                <w:rFonts w:eastAsia="仿宋_GB2312"/>
                <w:color w:val="000000"/>
                <w:kern w:val="0"/>
                <w:sz w:val="18"/>
                <w:szCs w:val="18"/>
              </w:rPr>
            </w:pPr>
            <w:r>
              <w:rPr>
                <w:rFonts w:eastAsia="仿宋_GB2312"/>
                <w:color w:val="000000"/>
                <w:kern w:val="0"/>
                <w:sz w:val="18"/>
                <w:szCs w:val="18"/>
              </w:rPr>
              <w:t>实际完成率</w:t>
            </w:r>
          </w:p>
        </w:tc>
        <w:tc>
          <w:tcPr>
            <w:tcW w:w="1726" w:type="dxa"/>
            <w:shd w:val="clear" w:color="000000" w:fill="FFFFFF"/>
            <w:vAlign w:val="center"/>
          </w:tcPr>
          <w:p w14:paraId="17C7ECB7">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14:paraId="2AC3FE36">
            <w:pPr>
              <w:widowControl/>
              <w:spacing w:line="0" w:lineRule="atLeast"/>
              <w:rPr>
                <w:rFonts w:eastAsia="仿宋_GB2312"/>
                <w:color w:val="000000"/>
                <w:kern w:val="0"/>
                <w:sz w:val="18"/>
                <w:szCs w:val="18"/>
              </w:rPr>
            </w:pPr>
            <w:r>
              <w:rPr>
                <w:rFonts w:eastAsia="仿宋_GB2312"/>
                <w:color w:val="000000"/>
                <w:kern w:val="0"/>
                <w:sz w:val="18"/>
                <w:szCs w:val="18"/>
              </w:rPr>
              <w:t>实际完成率=（实际产出数/计划产出数）×100%。</w:t>
            </w:r>
            <w:r>
              <w:rPr>
                <w:rFonts w:eastAsia="仿宋_GB2312"/>
                <w:color w:val="000000"/>
                <w:kern w:val="0"/>
                <w:sz w:val="18"/>
                <w:szCs w:val="18"/>
              </w:rPr>
              <w:br w:type="textWrapping"/>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type="textWrapping"/>
            </w:r>
            <w:r>
              <w:rPr>
                <w:rFonts w:eastAsia="仿宋_GB2312"/>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14:paraId="4A516565">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6" w:type="dxa"/>
            <w:shd w:val="clear" w:color="000000" w:fill="FFFFFF"/>
            <w:vAlign w:val="center"/>
          </w:tcPr>
          <w:p w14:paraId="3EA638BC">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3545A9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14:paraId="5C953FAA">
            <w:pPr>
              <w:widowControl/>
              <w:spacing w:line="0" w:lineRule="atLeast"/>
              <w:jc w:val="center"/>
              <w:rPr>
                <w:rFonts w:eastAsia="仿宋_GB2312"/>
                <w:color w:val="000000"/>
                <w:kern w:val="0"/>
                <w:sz w:val="18"/>
                <w:szCs w:val="18"/>
              </w:rPr>
            </w:pPr>
          </w:p>
        </w:tc>
        <w:tc>
          <w:tcPr>
            <w:tcW w:w="1000" w:type="dxa"/>
            <w:shd w:val="clear" w:color="auto" w:fill="FFFFFF"/>
            <w:vAlign w:val="center"/>
          </w:tcPr>
          <w:p w14:paraId="49FCD5A7">
            <w:pPr>
              <w:widowControl/>
              <w:spacing w:line="0" w:lineRule="atLeast"/>
              <w:jc w:val="center"/>
              <w:rPr>
                <w:rFonts w:eastAsia="仿宋_GB2312"/>
                <w:color w:val="000000"/>
                <w:kern w:val="0"/>
                <w:sz w:val="18"/>
                <w:szCs w:val="18"/>
              </w:rPr>
            </w:pPr>
            <w:r>
              <w:rPr>
                <w:rFonts w:eastAsia="仿宋_GB2312"/>
                <w:color w:val="000000"/>
                <w:kern w:val="0"/>
                <w:sz w:val="18"/>
                <w:szCs w:val="18"/>
              </w:rPr>
              <w:t>产出质量</w:t>
            </w:r>
          </w:p>
        </w:tc>
        <w:tc>
          <w:tcPr>
            <w:tcW w:w="1071" w:type="dxa"/>
            <w:shd w:val="clear" w:color="auto" w:fill="FFFFFF"/>
            <w:vAlign w:val="center"/>
          </w:tcPr>
          <w:p w14:paraId="6F796295">
            <w:pPr>
              <w:widowControl/>
              <w:spacing w:line="0" w:lineRule="atLeast"/>
              <w:jc w:val="center"/>
              <w:rPr>
                <w:rFonts w:eastAsia="仿宋_GB2312"/>
                <w:color w:val="000000"/>
                <w:kern w:val="0"/>
                <w:sz w:val="18"/>
                <w:szCs w:val="18"/>
              </w:rPr>
            </w:pPr>
            <w:r>
              <w:rPr>
                <w:rFonts w:eastAsia="仿宋_GB2312"/>
                <w:color w:val="000000"/>
                <w:kern w:val="0"/>
                <w:sz w:val="18"/>
                <w:szCs w:val="18"/>
              </w:rPr>
              <w:t>质量达标率</w:t>
            </w:r>
          </w:p>
        </w:tc>
        <w:tc>
          <w:tcPr>
            <w:tcW w:w="1726" w:type="dxa"/>
            <w:shd w:val="clear" w:color="000000" w:fill="FFFFFF"/>
            <w:vAlign w:val="center"/>
          </w:tcPr>
          <w:p w14:paraId="2F016952">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14:paraId="6CE65C2D">
            <w:pPr>
              <w:widowControl/>
              <w:spacing w:line="0" w:lineRule="atLeast"/>
              <w:rPr>
                <w:rFonts w:eastAsia="仿宋_GB2312"/>
                <w:color w:val="000000"/>
                <w:kern w:val="0"/>
                <w:sz w:val="18"/>
                <w:szCs w:val="18"/>
              </w:rPr>
            </w:pPr>
            <w:r>
              <w:rPr>
                <w:rFonts w:eastAsia="仿宋_GB2312"/>
                <w:color w:val="000000"/>
                <w:kern w:val="0"/>
                <w:sz w:val="18"/>
                <w:szCs w:val="18"/>
              </w:rPr>
              <w:t>质量达标率=（质量达标产出数/实际产出数）×100%。</w:t>
            </w:r>
          </w:p>
          <w:p w14:paraId="47B422D3">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3D21ECF9">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6" w:type="dxa"/>
            <w:shd w:val="clear" w:color="000000" w:fill="FFFFFF"/>
            <w:vAlign w:val="center"/>
          </w:tcPr>
          <w:p w14:paraId="2CC0AF74">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57DB21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14:paraId="152E4738">
            <w:pPr>
              <w:spacing w:line="0" w:lineRule="atLeast"/>
              <w:jc w:val="center"/>
              <w:rPr>
                <w:rFonts w:eastAsia="仿宋_GB2312"/>
                <w:color w:val="000000"/>
                <w:kern w:val="0"/>
                <w:sz w:val="18"/>
                <w:szCs w:val="18"/>
              </w:rPr>
            </w:pPr>
          </w:p>
        </w:tc>
        <w:tc>
          <w:tcPr>
            <w:tcW w:w="1000" w:type="dxa"/>
            <w:shd w:val="clear" w:color="auto" w:fill="FFFFFF"/>
            <w:vAlign w:val="center"/>
          </w:tcPr>
          <w:p w14:paraId="5A6EA250">
            <w:pPr>
              <w:spacing w:line="0" w:lineRule="atLeast"/>
              <w:jc w:val="center"/>
              <w:rPr>
                <w:rFonts w:eastAsia="仿宋_GB2312"/>
                <w:color w:val="000000"/>
                <w:kern w:val="0"/>
                <w:sz w:val="18"/>
                <w:szCs w:val="18"/>
              </w:rPr>
            </w:pPr>
            <w:r>
              <w:rPr>
                <w:rFonts w:eastAsia="仿宋_GB2312"/>
                <w:color w:val="000000"/>
                <w:kern w:val="0"/>
                <w:sz w:val="18"/>
                <w:szCs w:val="18"/>
              </w:rPr>
              <w:t>产出时效</w:t>
            </w:r>
          </w:p>
        </w:tc>
        <w:tc>
          <w:tcPr>
            <w:tcW w:w="1071" w:type="dxa"/>
            <w:shd w:val="clear" w:color="auto" w:fill="FFFFFF"/>
            <w:vAlign w:val="center"/>
          </w:tcPr>
          <w:p w14:paraId="2D84AACD">
            <w:pPr>
              <w:widowControl/>
              <w:spacing w:line="0" w:lineRule="atLeast"/>
              <w:jc w:val="center"/>
              <w:rPr>
                <w:rFonts w:eastAsia="仿宋_GB2312"/>
                <w:color w:val="000000"/>
                <w:kern w:val="0"/>
                <w:sz w:val="18"/>
                <w:szCs w:val="18"/>
              </w:rPr>
            </w:pPr>
            <w:r>
              <w:rPr>
                <w:rFonts w:eastAsia="仿宋_GB2312"/>
                <w:color w:val="000000"/>
                <w:kern w:val="0"/>
                <w:sz w:val="18"/>
                <w:szCs w:val="18"/>
              </w:rPr>
              <w:t>完成及时性</w:t>
            </w:r>
          </w:p>
        </w:tc>
        <w:tc>
          <w:tcPr>
            <w:tcW w:w="1726" w:type="dxa"/>
            <w:shd w:val="clear" w:color="000000" w:fill="FFFFFF"/>
            <w:vAlign w:val="center"/>
          </w:tcPr>
          <w:p w14:paraId="0EE5D463">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14:paraId="40D31E53">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type="textWrapping"/>
            </w:r>
            <w:r>
              <w:rPr>
                <w:rFonts w:eastAsia="仿宋_GB2312"/>
                <w:color w:val="000000"/>
                <w:kern w:val="0"/>
                <w:sz w:val="18"/>
                <w:szCs w:val="18"/>
              </w:rPr>
              <w:t>计划完成时间：按照项目实施计划或相关规定完成该项目所需的时间。</w:t>
            </w:r>
          </w:p>
        </w:tc>
        <w:tc>
          <w:tcPr>
            <w:tcW w:w="1300" w:type="dxa"/>
            <w:shd w:val="clear" w:color="000000" w:fill="FFFFFF"/>
            <w:vAlign w:val="center"/>
          </w:tcPr>
          <w:p w14:paraId="3034E47E">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6" w:type="dxa"/>
            <w:shd w:val="clear" w:color="000000" w:fill="FFFFFF"/>
            <w:vAlign w:val="center"/>
          </w:tcPr>
          <w:p w14:paraId="2F952C25">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61F360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460F71AE">
            <w:pPr>
              <w:widowControl/>
              <w:spacing w:line="0" w:lineRule="atLeast"/>
              <w:jc w:val="center"/>
              <w:rPr>
                <w:rFonts w:eastAsia="仿宋_GB2312"/>
                <w:color w:val="000000"/>
                <w:kern w:val="0"/>
                <w:sz w:val="18"/>
                <w:szCs w:val="18"/>
              </w:rPr>
            </w:pPr>
          </w:p>
        </w:tc>
        <w:tc>
          <w:tcPr>
            <w:tcW w:w="1000" w:type="dxa"/>
            <w:shd w:val="clear" w:color="auto" w:fill="FFFFFF"/>
            <w:vAlign w:val="center"/>
          </w:tcPr>
          <w:p w14:paraId="5929225B">
            <w:pPr>
              <w:widowControl/>
              <w:spacing w:line="0" w:lineRule="atLeast"/>
              <w:jc w:val="center"/>
              <w:rPr>
                <w:rFonts w:eastAsia="仿宋_GB2312"/>
                <w:color w:val="000000"/>
                <w:kern w:val="0"/>
                <w:sz w:val="18"/>
                <w:szCs w:val="18"/>
              </w:rPr>
            </w:pPr>
            <w:r>
              <w:rPr>
                <w:rFonts w:eastAsia="仿宋_GB2312"/>
                <w:color w:val="000000"/>
                <w:kern w:val="0"/>
                <w:sz w:val="18"/>
                <w:szCs w:val="18"/>
              </w:rPr>
              <w:t>产出成本</w:t>
            </w:r>
          </w:p>
        </w:tc>
        <w:tc>
          <w:tcPr>
            <w:tcW w:w="1071" w:type="dxa"/>
            <w:shd w:val="clear" w:color="auto" w:fill="FFFFFF"/>
            <w:vAlign w:val="center"/>
          </w:tcPr>
          <w:p w14:paraId="07891EAA">
            <w:pPr>
              <w:widowControl/>
              <w:spacing w:line="0" w:lineRule="atLeast"/>
              <w:jc w:val="center"/>
              <w:rPr>
                <w:rFonts w:eastAsia="仿宋_GB2312"/>
                <w:color w:val="000000"/>
                <w:kern w:val="0"/>
                <w:sz w:val="18"/>
                <w:szCs w:val="18"/>
              </w:rPr>
            </w:pPr>
            <w:r>
              <w:rPr>
                <w:rFonts w:eastAsia="仿宋_GB2312"/>
                <w:color w:val="000000"/>
                <w:kern w:val="0"/>
                <w:sz w:val="18"/>
                <w:szCs w:val="18"/>
              </w:rPr>
              <w:t>成本节约率</w:t>
            </w:r>
          </w:p>
        </w:tc>
        <w:tc>
          <w:tcPr>
            <w:tcW w:w="1726" w:type="dxa"/>
            <w:shd w:val="clear" w:color="000000" w:fill="FFFFFF"/>
            <w:vAlign w:val="center"/>
          </w:tcPr>
          <w:p w14:paraId="770112D4">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14:paraId="7F3BFBA0">
            <w:pPr>
              <w:widowControl/>
              <w:spacing w:line="0" w:lineRule="atLeast"/>
              <w:rPr>
                <w:rFonts w:eastAsia="仿宋_GB2312"/>
                <w:color w:val="000000"/>
                <w:kern w:val="0"/>
                <w:sz w:val="18"/>
                <w:szCs w:val="18"/>
              </w:rPr>
            </w:pPr>
            <w:r>
              <w:rPr>
                <w:rFonts w:eastAsia="仿宋_GB2312"/>
                <w:color w:val="000000"/>
                <w:kern w:val="0"/>
                <w:sz w:val="18"/>
                <w:szCs w:val="18"/>
              </w:rPr>
              <w:br w:type="textWrapping"/>
            </w:r>
            <w:r>
              <w:rPr>
                <w:rFonts w:eastAsia="仿宋_GB2312"/>
                <w:color w:val="000000"/>
                <w:kern w:val="0"/>
                <w:sz w:val="18"/>
                <w:szCs w:val="18"/>
              </w:rPr>
              <w:t>成本节约率=[（计划成本-实际成本）/计划成本]×100%。</w:t>
            </w:r>
            <w:r>
              <w:rPr>
                <w:rFonts w:eastAsia="仿宋_GB2312"/>
                <w:color w:val="000000"/>
                <w:kern w:val="0"/>
                <w:sz w:val="18"/>
                <w:szCs w:val="18"/>
              </w:rPr>
              <w:br w:type="textWrapping"/>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type="textWrapping"/>
            </w:r>
            <w:r>
              <w:rPr>
                <w:rFonts w:eastAsia="仿宋_GB2312"/>
                <w:color w:val="000000"/>
                <w:kern w:val="0"/>
                <w:sz w:val="18"/>
                <w:szCs w:val="18"/>
              </w:rPr>
              <w:t>计划成本：项目实施单位为完成工作目标计划安排的支出，一般以项目预算为参考。</w:t>
            </w:r>
          </w:p>
        </w:tc>
        <w:tc>
          <w:tcPr>
            <w:tcW w:w="1300" w:type="dxa"/>
            <w:shd w:val="clear" w:color="000000" w:fill="FFFFFF"/>
            <w:vAlign w:val="center"/>
          </w:tcPr>
          <w:p w14:paraId="55B28EC9">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6" w:type="dxa"/>
            <w:shd w:val="clear" w:color="000000" w:fill="FFFFFF"/>
            <w:vAlign w:val="center"/>
          </w:tcPr>
          <w:p w14:paraId="45D5D2C5">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067B85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14:paraId="2F7E898B">
            <w:pPr>
              <w:widowControl/>
              <w:spacing w:line="0" w:lineRule="atLeast"/>
              <w:jc w:val="center"/>
              <w:rPr>
                <w:rFonts w:eastAsia="仿宋_GB2312"/>
                <w:color w:val="000000"/>
                <w:kern w:val="0"/>
                <w:sz w:val="18"/>
                <w:szCs w:val="18"/>
              </w:rPr>
            </w:pPr>
            <w:r>
              <w:rPr>
                <w:rFonts w:eastAsia="仿宋_GB2312"/>
                <w:color w:val="000000"/>
                <w:kern w:val="0"/>
                <w:sz w:val="18"/>
                <w:szCs w:val="18"/>
              </w:rPr>
              <w:t>效益　</w:t>
            </w:r>
          </w:p>
        </w:tc>
        <w:tc>
          <w:tcPr>
            <w:tcW w:w="1000" w:type="dxa"/>
            <w:vMerge w:val="restart"/>
            <w:shd w:val="clear" w:color="auto" w:fill="FFFFFF"/>
            <w:vAlign w:val="center"/>
          </w:tcPr>
          <w:p w14:paraId="00BAAF46">
            <w:pPr>
              <w:widowControl/>
              <w:spacing w:line="0" w:lineRule="atLeast"/>
              <w:jc w:val="center"/>
              <w:rPr>
                <w:rFonts w:eastAsia="仿宋_GB2312"/>
                <w:color w:val="000000"/>
                <w:kern w:val="0"/>
                <w:sz w:val="18"/>
                <w:szCs w:val="18"/>
              </w:rPr>
            </w:pPr>
            <w:r>
              <w:rPr>
                <w:rFonts w:eastAsia="仿宋_GB2312"/>
                <w:color w:val="000000"/>
                <w:kern w:val="0"/>
                <w:sz w:val="18"/>
                <w:szCs w:val="18"/>
              </w:rPr>
              <w:t>项目效益　</w:t>
            </w:r>
          </w:p>
        </w:tc>
        <w:tc>
          <w:tcPr>
            <w:tcW w:w="1071" w:type="dxa"/>
            <w:shd w:val="clear" w:color="auto" w:fill="FFFFFF"/>
            <w:vAlign w:val="center"/>
          </w:tcPr>
          <w:p w14:paraId="18DBBA2E">
            <w:pPr>
              <w:widowControl/>
              <w:spacing w:line="0" w:lineRule="atLeast"/>
              <w:jc w:val="center"/>
              <w:rPr>
                <w:rFonts w:eastAsia="仿宋_GB2312"/>
                <w:color w:val="000000"/>
                <w:kern w:val="0"/>
                <w:sz w:val="18"/>
                <w:szCs w:val="18"/>
              </w:rPr>
            </w:pPr>
            <w:r>
              <w:rPr>
                <w:rFonts w:eastAsia="仿宋_GB2312"/>
                <w:color w:val="000000"/>
                <w:kern w:val="0"/>
                <w:sz w:val="18"/>
                <w:szCs w:val="18"/>
              </w:rPr>
              <w:t>实施效益</w:t>
            </w:r>
          </w:p>
        </w:tc>
        <w:tc>
          <w:tcPr>
            <w:tcW w:w="1726" w:type="dxa"/>
            <w:shd w:val="clear" w:color="auto" w:fill="FFFFFF"/>
            <w:vAlign w:val="center"/>
          </w:tcPr>
          <w:p w14:paraId="006CA3AA">
            <w:pPr>
              <w:widowControl/>
              <w:spacing w:line="0" w:lineRule="atLeast"/>
              <w:jc w:val="left"/>
              <w:rPr>
                <w:rFonts w:eastAsia="仿宋_GB2312"/>
                <w:color w:val="000000"/>
                <w:kern w:val="0"/>
                <w:sz w:val="18"/>
                <w:szCs w:val="18"/>
              </w:rPr>
            </w:pPr>
            <w:r>
              <w:rPr>
                <w:rFonts w:eastAsia="仿宋_GB2312"/>
                <w:color w:val="000000"/>
                <w:kern w:val="0"/>
                <w:sz w:val="18"/>
                <w:szCs w:val="18"/>
              </w:rPr>
              <w:t>项目实施所产生的效益。</w:t>
            </w:r>
          </w:p>
        </w:tc>
        <w:tc>
          <w:tcPr>
            <w:tcW w:w="5216" w:type="dxa"/>
            <w:shd w:val="clear" w:color="auto" w:fill="FFFFFF"/>
            <w:vAlign w:val="center"/>
          </w:tcPr>
          <w:p w14:paraId="2EDE4617">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14:paraId="117EFB1E">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6" w:type="dxa"/>
            <w:shd w:val="clear" w:color="auto" w:fill="FFFFFF"/>
            <w:vAlign w:val="center"/>
          </w:tcPr>
          <w:p w14:paraId="18519105">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7D49E1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14:paraId="29C90654">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14:paraId="37958448">
            <w:pPr>
              <w:widowControl/>
              <w:spacing w:line="0" w:lineRule="atLeast"/>
              <w:jc w:val="center"/>
              <w:rPr>
                <w:rFonts w:eastAsia="仿宋_GB2312"/>
                <w:color w:val="000000"/>
                <w:kern w:val="0"/>
                <w:sz w:val="18"/>
                <w:szCs w:val="18"/>
              </w:rPr>
            </w:pPr>
          </w:p>
        </w:tc>
        <w:tc>
          <w:tcPr>
            <w:tcW w:w="1071" w:type="dxa"/>
            <w:shd w:val="clear" w:color="auto" w:fill="FFFFFF"/>
            <w:vAlign w:val="center"/>
          </w:tcPr>
          <w:p w14:paraId="1CEEA969">
            <w:pPr>
              <w:widowControl/>
              <w:spacing w:line="0" w:lineRule="atLeast"/>
              <w:jc w:val="center"/>
              <w:rPr>
                <w:rFonts w:eastAsia="仿宋_GB2312"/>
                <w:color w:val="000000"/>
                <w:kern w:val="0"/>
                <w:sz w:val="18"/>
                <w:szCs w:val="18"/>
              </w:rPr>
            </w:pPr>
            <w:r>
              <w:rPr>
                <w:rFonts w:eastAsia="仿宋_GB2312"/>
                <w:color w:val="000000"/>
                <w:kern w:val="0"/>
                <w:sz w:val="18"/>
                <w:szCs w:val="18"/>
              </w:rPr>
              <w:t>满意度</w:t>
            </w:r>
          </w:p>
        </w:tc>
        <w:tc>
          <w:tcPr>
            <w:tcW w:w="1726" w:type="dxa"/>
            <w:shd w:val="clear" w:color="000000" w:fill="FFFFFF"/>
            <w:vAlign w:val="center"/>
          </w:tcPr>
          <w:p w14:paraId="63AD8905">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5216" w:type="dxa"/>
            <w:shd w:val="clear" w:color="000000" w:fill="FFFFFF"/>
            <w:vAlign w:val="center"/>
          </w:tcPr>
          <w:p w14:paraId="1DB18BFE">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14:paraId="3B9E0CC3">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6" w:type="dxa"/>
            <w:shd w:val="clear" w:color="000000" w:fill="FFFFFF"/>
            <w:vAlign w:val="center"/>
          </w:tcPr>
          <w:p w14:paraId="53570E8A">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bl>
    <w:p w14:paraId="2F540A86">
      <w:pPr>
        <w:sectPr>
          <w:footerReference r:id="rId3" w:type="default"/>
          <w:pgSz w:w="16838" w:h="11906" w:orient="landscape"/>
          <w:pgMar w:top="1800" w:right="1440" w:bottom="1558" w:left="1440" w:header="851" w:footer="992" w:gutter="0"/>
          <w:cols w:space="425" w:num="1"/>
          <w:docGrid w:type="lines" w:linePitch="312" w:charSpace="0"/>
        </w:sectPr>
      </w:pPr>
    </w:p>
    <w:tbl>
      <w:tblPr>
        <w:tblStyle w:val="13"/>
        <w:tblpPr w:leftFromText="180" w:rightFromText="180" w:vertAnchor="text" w:horzAnchor="page" w:tblpX="1502" w:tblpY="1192"/>
        <w:tblOverlap w:val="never"/>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30"/>
        <w:gridCol w:w="1165"/>
        <w:gridCol w:w="1591"/>
        <w:gridCol w:w="496"/>
        <w:gridCol w:w="1476"/>
        <w:gridCol w:w="588"/>
        <w:gridCol w:w="1234"/>
        <w:gridCol w:w="1234"/>
        <w:gridCol w:w="669"/>
        <w:gridCol w:w="600"/>
        <w:gridCol w:w="680"/>
        <w:gridCol w:w="473"/>
        <w:gridCol w:w="542"/>
        <w:gridCol w:w="2410"/>
      </w:tblGrid>
      <w:tr w14:paraId="6205A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5" w:hRule="atLeast"/>
        </w:trPr>
        <w:tc>
          <w:tcPr>
            <w:tcW w:w="13988" w:type="dxa"/>
            <w:gridSpan w:val="14"/>
            <w:tcBorders>
              <w:top w:val="nil"/>
              <w:left w:val="nil"/>
              <w:bottom w:val="nil"/>
              <w:right w:val="nil"/>
            </w:tcBorders>
            <w:shd w:val="clear" w:color="auto" w:fill="auto"/>
            <w:tcMar>
              <w:top w:w="15" w:type="dxa"/>
              <w:left w:w="15" w:type="dxa"/>
              <w:bottom w:w="0" w:type="dxa"/>
              <w:right w:w="15" w:type="dxa"/>
            </w:tcMar>
            <w:vAlign w:val="center"/>
          </w:tcPr>
          <w:p w14:paraId="03019CD2">
            <w:pPr>
              <w:spacing w:line="600" w:lineRule="exact"/>
              <w:rPr>
                <w:rFonts w:hint="eastAsia" w:eastAsia="黑体"/>
                <w:sz w:val="32"/>
                <w:szCs w:val="32"/>
                <w:highlight w:val="none"/>
              </w:rPr>
            </w:pPr>
            <w:r>
              <w:rPr>
                <w:rFonts w:hint="eastAsia" w:eastAsia="黑体"/>
                <w:sz w:val="32"/>
                <w:szCs w:val="32"/>
                <w:highlight w:val="none"/>
              </w:rPr>
              <w:t>附件2</w:t>
            </w:r>
          </w:p>
          <w:p w14:paraId="434F19F3">
            <w:pPr>
              <w:spacing w:line="600" w:lineRule="exact"/>
              <w:ind w:firstLine="640" w:firstLineChars="200"/>
              <w:rPr>
                <w:rFonts w:hint="eastAsia" w:eastAsia="黑体"/>
                <w:sz w:val="32"/>
                <w:szCs w:val="32"/>
                <w:highlight w:val="none"/>
              </w:rPr>
            </w:pPr>
          </w:p>
          <w:p w14:paraId="51666EF5">
            <w:pPr>
              <w:keepNext w:val="0"/>
              <w:keepLines w:val="0"/>
              <w:widowControl/>
              <w:suppressLineNumbers w:val="0"/>
              <w:tabs>
                <w:tab w:val="left" w:pos="200"/>
                <w:tab w:val="center" w:pos="7039"/>
              </w:tabs>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highlight w:val="none"/>
                <w:u w:val="none"/>
                <w:lang w:val="en-US" w:eastAsia="zh-CN"/>
              </w:rPr>
              <w:t>项目支出绩效自</w:t>
            </w:r>
            <w:r>
              <w:rPr>
                <w:rFonts w:hint="eastAsia" w:ascii="宋体" w:hAnsi="宋体" w:eastAsia="宋体" w:cs="宋体"/>
                <w:b/>
                <w:i w:val="0"/>
                <w:color w:val="000000"/>
                <w:kern w:val="0"/>
                <w:sz w:val="32"/>
                <w:szCs w:val="32"/>
                <w:u w:val="none"/>
                <w:lang w:val="en-US" w:eastAsia="zh-CN"/>
              </w:rPr>
              <w:t>评表</w:t>
            </w:r>
          </w:p>
        </w:tc>
      </w:tr>
      <w:tr w14:paraId="0ABCD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988" w:type="dxa"/>
            <w:gridSpan w:val="14"/>
            <w:tcBorders>
              <w:top w:val="nil"/>
              <w:left w:val="nil"/>
              <w:bottom w:val="nil"/>
              <w:right w:val="nil"/>
            </w:tcBorders>
            <w:shd w:val="clear" w:color="auto" w:fill="auto"/>
            <w:tcMar>
              <w:top w:w="15" w:type="dxa"/>
              <w:left w:w="15" w:type="dxa"/>
              <w:bottom w:w="0" w:type="dxa"/>
              <w:right w:w="15" w:type="dxa"/>
            </w:tcMar>
            <w:vAlign w:val="center"/>
          </w:tcPr>
          <w:p w14:paraId="30484C7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(2024年度)</w:t>
            </w:r>
          </w:p>
        </w:tc>
      </w:tr>
      <w:tr w14:paraId="2973A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99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9071E9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项目名称</w:t>
            </w:r>
          </w:p>
        </w:tc>
        <w:tc>
          <w:tcPr>
            <w:tcW w:w="11993" w:type="dxa"/>
            <w:gridSpan w:val="1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338E55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城市学前教育幼儿资助伙食、取暖费、幼儿资助公用经费</w:t>
            </w:r>
          </w:p>
        </w:tc>
      </w:tr>
      <w:tr w14:paraId="61E8E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99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DEBD80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主管部门</w:t>
            </w:r>
          </w:p>
        </w:tc>
        <w:tc>
          <w:tcPr>
            <w:tcW w:w="5385"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6C7C61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霍尔果斯市第三幼儿园</w:t>
            </w:r>
          </w:p>
        </w:tc>
        <w:tc>
          <w:tcPr>
            <w:tcW w:w="19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AF2606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实施单位</w:t>
            </w:r>
          </w:p>
        </w:tc>
        <w:tc>
          <w:tcPr>
            <w:tcW w:w="4705"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946BD2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霍尔果斯市第三幼儿园</w:t>
            </w:r>
          </w:p>
        </w:tc>
      </w:tr>
      <w:tr w14:paraId="44B68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995"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CB6630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项目资金</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（万元）</w:t>
            </w: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EB79780">
            <w:pPr>
              <w:jc w:val="center"/>
              <w:rPr>
                <w:rFonts w:hint="eastAsia" w:ascii="宋体" w:hAnsi="宋体" w:eastAsia="宋体" w:cs="宋体"/>
                <w:i w:val="0"/>
                <w:color w:val="000000"/>
                <w:sz w:val="20"/>
                <w:szCs w:val="20"/>
                <w:u w:val="none"/>
              </w:rPr>
            </w:pPr>
          </w:p>
        </w:tc>
        <w:tc>
          <w:tcPr>
            <w:tcW w:w="14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EBE277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年初预算数</w:t>
            </w:r>
          </w:p>
        </w:tc>
        <w:tc>
          <w:tcPr>
            <w:tcW w:w="182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D790FF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全年预算数</w:t>
            </w:r>
          </w:p>
        </w:tc>
        <w:tc>
          <w:tcPr>
            <w:tcW w:w="19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C0C987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全年执行数</w:t>
            </w:r>
          </w:p>
        </w:tc>
        <w:tc>
          <w:tcPr>
            <w:tcW w:w="12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490596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分值</w:t>
            </w:r>
          </w:p>
        </w:tc>
        <w:tc>
          <w:tcPr>
            <w:tcW w:w="101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AA2B0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执行率</w:t>
            </w:r>
          </w:p>
        </w:tc>
        <w:tc>
          <w:tcPr>
            <w:tcW w:w="24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5E463E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得分</w:t>
            </w:r>
          </w:p>
        </w:tc>
      </w:tr>
      <w:tr w14:paraId="1BA51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30" w:hRule="atLeast"/>
        </w:trPr>
        <w:tc>
          <w:tcPr>
            <w:tcW w:w="199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85EFABB">
            <w:pPr>
              <w:jc w:val="center"/>
              <w:rPr>
                <w:rFonts w:hint="eastAsia" w:ascii="宋体" w:hAnsi="宋体" w:eastAsia="宋体" w:cs="宋体"/>
                <w:i w:val="0"/>
                <w:color w:val="000000"/>
                <w:sz w:val="20"/>
                <w:szCs w:val="20"/>
                <w:u w:val="none"/>
              </w:rPr>
            </w:pP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895CFD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年度资金总额</w:t>
            </w:r>
          </w:p>
        </w:tc>
        <w:tc>
          <w:tcPr>
            <w:tcW w:w="14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AEE258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63.80</w:t>
            </w:r>
          </w:p>
        </w:tc>
        <w:tc>
          <w:tcPr>
            <w:tcW w:w="182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9AF294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63.8</w:t>
            </w:r>
          </w:p>
        </w:tc>
        <w:tc>
          <w:tcPr>
            <w:tcW w:w="19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B7779E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63.80</w:t>
            </w:r>
          </w:p>
        </w:tc>
        <w:tc>
          <w:tcPr>
            <w:tcW w:w="12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A70647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101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FDA0F2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100.00%</w:t>
            </w:r>
          </w:p>
        </w:tc>
        <w:tc>
          <w:tcPr>
            <w:tcW w:w="24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3DEC72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10.00</w:t>
            </w:r>
          </w:p>
        </w:tc>
      </w:tr>
      <w:tr w14:paraId="7C962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9" w:hRule="atLeast"/>
        </w:trPr>
        <w:tc>
          <w:tcPr>
            <w:tcW w:w="199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66E1C59">
            <w:pPr>
              <w:jc w:val="center"/>
              <w:rPr>
                <w:rFonts w:hint="eastAsia" w:ascii="宋体" w:hAnsi="宋体" w:eastAsia="宋体" w:cs="宋体"/>
                <w:i w:val="0"/>
                <w:color w:val="000000"/>
                <w:sz w:val="20"/>
                <w:szCs w:val="20"/>
                <w:u w:val="none"/>
              </w:rPr>
            </w:pP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B5C3F3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其中：当年财政拨款</w:t>
            </w:r>
          </w:p>
        </w:tc>
        <w:tc>
          <w:tcPr>
            <w:tcW w:w="14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0D9173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63.80</w:t>
            </w:r>
          </w:p>
        </w:tc>
        <w:tc>
          <w:tcPr>
            <w:tcW w:w="182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1BA8A4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63.80</w:t>
            </w:r>
          </w:p>
        </w:tc>
        <w:tc>
          <w:tcPr>
            <w:tcW w:w="19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81F3896">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rPr>
              <w:t>63.8</w:t>
            </w:r>
            <w:r>
              <w:rPr>
                <w:rFonts w:hint="eastAsia" w:ascii="宋体" w:hAnsi="宋体" w:cs="宋体"/>
                <w:i w:val="0"/>
                <w:color w:val="000000"/>
                <w:kern w:val="0"/>
                <w:sz w:val="20"/>
                <w:szCs w:val="20"/>
                <w:u w:val="none"/>
                <w:lang w:val="en-US" w:eastAsia="zh-CN"/>
              </w:rPr>
              <w:t>0</w:t>
            </w:r>
            <w:bookmarkStart w:id="2" w:name="_GoBack"/>
            <w:bookmarkEnd w:id="2"/>
          </w:p>
        </w:tc>
        <w:tc>
          <w:tcPr>
            <w:tcW w:w="12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2D8975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101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07F814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24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BA4CEE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r>
      <w:tr w14:paraId="12382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9" w:hRule="atLeast"/>
        </w:trPr>
        <w:tc>
          <w:tcPr>
            <w:tcW w:w="199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64DBCC4">
            <w:pPr>
              <w:jc w:val="center"/>
              <w:rPr>
                <w:rFonts w:hint="eastAsia" w:ascii="宋体" w:hAnsi="宋体" w:eastAsia="宋体" w:cs="宋体"/>
                <w:i w:val="0"/>
                <w:color w:val="000000"/>
                <w:sz w:val="20"/>
                <w:szCs w:val="20"/>
                <w:u w:val="none"/>
              </w:rPr>
            </w:pP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9F0D89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 xml:space="preserve">      上年结转资金</w:t>
            </w:r>
          </w:p>
        </w:tc>
        <w:tc>
          <w:tcPr>
            <w:tcW w:w="14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D06E9B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182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2AE7DB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19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2AEF237">
            <w:pPr>
              <w:jc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12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164CB7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101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BB246F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24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0A186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r>
      <w:tr w14:paraId="21DBB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9" w:hRule="atLeast"/>
        </w:trPr>
        <w:tc>
          <w:tcPr>
            <w:tcW w:w="199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F0C9C6B">
            <w:pPr>
              <w:jc w:val="center"/>
              <w:rPr>
                <w:rFonts w:hint="eastAsia" w:ascii="宋体" w:hAnsi="宋体" w:eastAsia="宋体" w:cs="宋体"/>
                <w:i w:val="0"/>
                <w:color w:val="000000"/>
                <w:sz w:val="20"/>
                <w:szCs w:val="20"/>
                <w:u w:val="none"/>
              </w:rPr>
            </w:pP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7EF11A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 xml:space="preserve">  其他资金</w:t>
            </w:r>
          </w:p>
        </w:tc>
        <w:tc>
          <w:tcPr>
            <w:tcW w:w="14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13165A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182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6C2E12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19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CC3231B">
            <w:pPr>
              <w:jc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12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20A693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101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79D0C0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24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ED5D68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r>
      <w:tr w14:paraId="6061C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1704DE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年度总体目标</w:t>
            </w:r>
          </w:p>
        </w:tc>
        <w:tc>
          <w:tcPr>
            <w:tcW w:w="6550" w:type="dxa"/>
            <w:gridSpan w:val="6"/>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39BCAA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预期目标</w:t>
            </w:r>
          </w:p>
        </w:tc>
        <w:tc>
          <w:tcPr>
            <w:tcW w:w="6608"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739710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实际完成情况</w:t>
            </w:r>
          </w:p>
        </w:tc>
      </w:tr>
      <w:tr w14:paraId="1825A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79"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880BE33">
            <w:pPr>
              <w:jc w:val="center"/>
              <w:rPr>
                <w:rFonts w:hint="eastAsia" w:ascii="宋体" w:hAnsi="宋体" w:eastAsia="宋体" w:cs="宋体"/>
                <w:i w:val="0"/>
                <w:color w:val="000000"/>
                <w:sz w:val="20"/>
                <w:szCs w:val="20"/>
                <w:u w:val="none"/>
              </w:rPr>
            </w:pPr>
          </w:p>
        </w:tc>
        <w:tc>
          <w:tcPr>
            <w:tcW w:w="6550" w:type="dxa"/>
            <w:gridSpan w:val="6"/>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top"/>
          </w:tcPr>
          <w:p w14:paraId="265147B4">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《关于建立自治区公办普通高中和城市学前生均公用经费财政拨款制度的通知》(新财教[2020]69号)和有关法律制度规定，制定本办法。</w:t>
            </w:r>
          </w:p>
        </w:tc>
        <w:tc>
          <w:tcPr>
            <w:tcW w:w="6608"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top"/>
          </w:tcPr>
          <w:p w14:paraId="361478D1">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霍尔果斯市第三幼儿园已保障294名农村学前三年适龄幼儿，幼儿伙食费、取暖费、公用经费63.8万元，幼儿园保障性经费投入后，效果显著。他改善了办园条件，师资水平得以提升，能开展专业培训，让教师教学更科学。还丰富了课程资源，为幼儿打造优质成长环境，助力其全面发展。</w:t>
            </w:r>
          </w:p>
        </w:tc>
      </w:tr>
      <w:tr w14:paraId="2D011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2F7DD40">
            <w:pPr>
              <w:jc w:val="center"/>
              <w:rPr>
                <w:rFonts w:hint="eastAsia" w:ascii="宋体" w:hAnsi="宋体" w:eastAsia="宋体" w:cs="宋体"/>
                <w:i w:val="0"/>
                <w:color w:val="000000"/>
                <w:sz w:val="20"/>
                <w:szCs w:val="20"/>
                <w:u w:val="none"/>
              </w:rPr>
            </w:pPr>
          </w:p>
        </w:tc>
        <w:tc>
          <w:tcPr>
            <w:tcW w:w="116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F27AAD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一级指标</w:t>
            </w:r>
          </w:p>
        </w:tc>
        <w:tc>
          <w:tcPr>
            <w:tcW w:w="159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3D5576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二级指标</w:t>
            </w:r>
          </w:p>
        </w:tc>
        <w:tc>
          <w:tcPr>
            <w:tcW w:w="2560" w:type="dxa"/>
            <w:gridSpan w:val="3"/>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313132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三级指标</w:t>
            </w:r>
          </w:p>
        </w:tc>
        <w:tc>
          <w:tcPr>
            <w:tcW w:w="123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A580A2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年度指标值</w:t>
            </w:r>
          </w:p>
        </w:tc>
        <w:tc>
          <w:tcPr>
            <w:tcW w:w="123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C45371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实际完成值</w:t>
            </w:r>
          </w:p>
        </w:tc>
        <w:tc>
          <w:tcPr>
            <w:tcW w:w="1269"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67300F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分值</w:t>
            </w:r>
          </w:p>
        </w:tc>
        <w:tc>
          <w:tcPr>
            <w:tcW w:w="1153"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7F43A8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得分</w:t>
            </w:r>
          </w:p>
        </w:tc>
        <w:tc>
          <w:tcPr>
            <w:tcW w:w="2952"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5839A4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偏差原因分析及改进措施</w:t>
            </w:r>
          </w:p>
        </w:tc>
      </w:tr>
      <w:tr w14:paraId="32FCB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696571D">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23DBD6C">
            <w:pPr>
              <w:jc w:val="center"/>
              <w:rPr>
                <w:rFonts w:hint="eastAsia" w:ascii="宋体" w:hAnsi="宋体" w:eastAsia="宋体" w:cs="宋体"/>
                <w:i w:val="0"/>
                <w:color w:val="000000"/>
                <w:sz w:val="20"/>
                <w:szCs w:val="20"/>
                <w:u w:val="none"/>
              </w:rPr>
            </w:pPr>
          </w:p>
        </w:tc>
        <w:tc>
          <w:tcPr>
            <w:tcW w:w="159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49C74FE">
            <w:pPr>
              <w:jc w:val="center"/>
              <w:rPr>
                <w:rFonts w:hint="eastAsia" w:ascii="宋体" w:hAnsi="宋体" w:eastAsia="宋体" w:cs="宋体"/>
                <w:i w:val="0"/>
                <w:color w:val="000000"/>
                <w:sz w:val="20"/>
                <w:szCs w:val="20"/>
                <w:u w:val="none"/>
              </w:rPr>
            </w:pPr>
          </w:p>
        </w:tc>
        <w:tc>
          <w:tcPr>
            <w:tcW w:w="2560" w:type="dxa"/>
            <w:gridSpan w:val="3"/>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B4ACFCE">
            <w:pPr>
              <w:jc w:val="center"/>
              <w:rPr>
                <w:rFonts w:hint="eastAsia" w:ascii="宋体" w:hAnsi="宋体" w:eastAsia="宋体" w:cs="宋体"/>
                <w:i w:val="0"/>
                <w:color w:val="000000"/>
                <w:sz w:val="20"/>
                <w:szCs w:val="20"/>
                <w:u w:val="none"/>
              </w:rPr>
            </w:pPr>
          </w:p>
        </w:tc>
        <w:tc>
          <w:tcPr>
            <w:tcW w:w="12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3F541D0">
            <w:pPr>
              <w:jc w:val="center"/>
              <w:rPr>
                <w:rFonts w:hint="eastAsia" w:ascii="宋体" w:hAnsi="宋体" w:eastAsia="宋体" w:cs="宋体"/>
                <w:i w:val="0"/>
                <w:color w:val="000000"/>
                <w:sz w:val="20"/>
                <w:szCs w:val="20"/>
                <w:u w:val="none"/>
              </w:rPr>
            </w:pPr>
          </w:p>
        </w:tc>
        <w:tc>
          <w:tcPr>
            <w:tcW w:w="12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3692B14">
            <w:pPr>
              <w:jc w:val="center"/>
              <w:rPr>
                <w:rFonts w:hint="eastAsia" w:ascii="宋体" w:hAnsi="宋体" w:eastAsia="宋体" w:cs="宋体"/>
                <w:i w:val="0"/>
                <w:color w:val="000000"/>
                <w:sz w:val="20"/>
                <w:szCs w:val="20"/>
                <w:u w:val="none"/>
              </w:rPr>
            </w:pPr>
          </w:p>
        </w:tc>
        <w:tc>
          <w:tcPr>
            <w:tcW w:w="1269"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23CFB55">
            <w:pPr>
              <w:jc w:val="center"/>
              <w:rPr>
                <w:rFonts w:hint="eastAsia" w:ascii="宋体" w:hAnsi="宋体" w:eastAsia="宋体" w:cs="宋体"/>
                <w:i w:val="0"/>
                <w:color w:val="000000"/>
                <w:sz w:val="20"/>
                <w:szCs w:val="20"/>
                <w:u w:val="none"/>
              </w:rPr>
            </w:pPr>
          </w:p>
        </w:tc>
        <w:tc>
          <w:tcPr>
            <w:tcW w:w="1153"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AD9EFA6">
            <w:pPr>
              <w:jc w:val="center"/>
              <w:rPr>
                <w:rFonts w:hint="eastAsia" w:ascii="宋体" w:hAnsi="宋体" w:eastAsia="宋体" w:cs="宋体"/>
                <w:i w:val="0"/>
                <w:color w:val="000000"/>
                <w:sz w:val="20"/>
                <w:szCs w:val="20"/>
                <w:u w:val="none"/>
              </w:rPr>
            </w:pPr>
          </w:p>
        </w:tc>
        <w:tc>
          <w:tcPr>
            <w:tcW w:w="2952"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2CF15AF">
            <w:pPr>
              <w:jc w:val="center"/>
              <w:rPr>
                <w:rFonts w:hint="eastAsia" w:ascii="宋体" w:hAnsi="宋体" w:eastAsia="宋体" w:cs="宋体"/>
                <w:i w:val="0"/>
                <w:color w:val="000000"/>
                <w:sz w:val="20"/>
                <w:szCs w:val="20"/>
                <w:u w:val="none"/>
              </w:rPr>
            </w:pPr>
          </w:p>
        </w:tc>
      </w:tr>
      <w:tr w14:paraId="2DD33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8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C80368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年度绩效指标完成情况</w:t>
            </w:r>
          </w:p>
        </w:tc>
        <w:tc>
          <w:tcPr>
            <w:tcW w:w="116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3E2807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产出指标</w:t>
            </w: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DF5B28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数量指标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6518D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保障农村学前三年适龄幼儿人数</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175044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&gt;=294人</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18257C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294人</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57C63E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E88158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5A1C32D">
            <w:pPr>
              <w:jc w:val="center"/>
              <w:rPr>
                <w:rFonts w:hint="eastAsia" w:ascii="宋体" w:hAnsi="宋体" w:eastAsia="宋体" w:cs="宋体"/>
                <w:i w:val="0"/>
                <w:color w:val="000000"/>
                <w:sz w:val="20"/>
                <w:szCs w:val="20"/>
                <w:u w:val="none"/>
              </w:rPr>
            </w:pPr>
          </w:p>
        </w:tc>
      </w:tr>
      <w:tr w14:paraId="196EE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5B2678C">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E998CBB">
            <w:pPr>
              <w:jc w:val="center"/>
              <w:rPr>
                <w:rFonts w:hint="eastAsia" w:ascii="宋体" w:hAnsi="宋体" w:eastAsia="宋体" w:cs="宋体"/>
                <w:i w:val="0"/>
                <w:color w:val="000000"/>
                <w:sz w:val="20"/>
                <w:szCs w:val="20"/>
                <w:u w:val="none"/>
              </w:rPr>
            </w:pP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18FF8E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质量指标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BA45B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学前国语教育覆盖率</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3C0C75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F13924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0D0864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251998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92A0E73">
            <w:pPr>
              <w:jc w:val="center"/>
              <w:rPr>
                <w:rFonts w:hint="eastAsia" w:ascii="宋体" w:hAnsi="宋体" w:eastAsia="宋体" w:cs="宋体"/>
                <w:i w:val="0"/>
                <w:color w:val="000000"/>
                <w:sz w:val="20"/>
                <w:szCs w:val="20"/>
                <w:u w:val="none"/>
              </w:rPr>
            </w:pPr>
          </w:p>
        </w:tc>
      </w:tr>
      <w:tr w14:paraId="78670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7CEB108">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35B5206">
            <w:pPr>
              <w:jc w:val="center"/>
              <w:rPr>
                <w:rFonts w:hint="eastAsia" w:ascii="宋体" w:hAnsi="宋体" w:eastAsia="宋体" w:cs="宋体"/>
                <w:i w:val="0"/>
                <w:color w:val="000000"/>
                <w:sz w:val="20"/>
                <w:szCs w:val="20"/>
                <w:u w:val="none"/>
              </w:rPr>
            </w:pP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36BDD4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时效指标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1AC1F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资金支出情况</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947D2C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=12月底前支出</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92B6EC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12月底支出</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D105FF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EAC476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9FCDD24">
            <w:pPr>
              <w:jc w:val="center"/>
              <w:rPr>
                <w:rFonts w:hint="eastAsia" w:ascii="宋体" w:hAnsi="宋体" w:eastAsia="宋体" w:cs="宋体"/>
                <w:i w:val="0"/>
                <w:color w:val="000000"/>
                <w:sz w:val="20"/>
                <w:szCs w:val="20"/>
                <w:u w:val="none"/>
              </w:rPr>
            </w:pPr>
          </w:p>
        </w:tc>
      </w:tr>
      <w:tr w14:paraId="046BE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5F7A449">
            <w:pPr>
              <w:jc w:val="center"/>
              <w:rPr>
                <w:rFonts w:hint="eastAsia" w:ascii="宋体" w:hAnsi="宋体" w:eastAsia="宋体" w:cs="宋体"/>
                <w:i w:val="0"/>
                <w:color w:val="000000"/>
                <w:sz w:val="20"/>
                <w:szCs w:val="20"/>
                <w:u w:val="none"/>
              </w:rPr>
            </w:pPr>
          </w:p>
        </w:tc>
        <w:tc>
          <w:tcPr>
            <w:tcW w:w="116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70A834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成本指标</w:t>
            </w: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DA5BC0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经济成本指标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0895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幼儿伙食费</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5CC46A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=1450元/生/年</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AE6FC3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1450元/生/年</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EBD0EA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7</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2A26B9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7</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3689BA5">
            <w:pPr>
              <w:jc w:val="center"/>
              <w:rPr>
                <w:rFonts w:hint="eastAsia" w:ascii="宋体" w:hAnsi="宋体" w:eastAsia="宋体" w:cs="宋体"/>
                <w:i w:val="0"/>
                <w:color w:val="000000"/>
                <w:sz w:val="20"/>
                <w:szCs w:val="20"/>
                <w:u w:val="none"/>
              </w:rPr>
            </w:pPr>
          </w:p>
        </w:tc>
      </w:tr>
      <w:tr w14:paraId="632C4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66BFA9C">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4F84C94">
            <w:pPr>
              <w:jc w:val="center"/>
              <w:rPr>
                <w:rFonts w:hint="eastAsia" w:ascii="宋体" w:hAnsi="宋体" w:eastAsia="宋体" w:cs="宋体"/>
                <w:i w:val="0"/>
                <w:color w:val="000000"/>
                <w:sz w:val="20"/>
                <w:szCs w:val="20"/>
                <w:u w:val="none"/>
              </w:rPr>
            </w:pP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0283E4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经济成本指标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837E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幼儿园取暖费</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A45F95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=120元/生/每年</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77DAD3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120元/生/每年</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5990D1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7</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042334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7</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800CEA1">
            <w:pPr>
              <w:jc w:val="center"/>
              <w:rPr>
                <w:rFonts w:hint="eastAsia" w:ascii="宋体" w:hAnsi="宋体" w:eastAsia="宋体" w:cs="宋体"/>
                <w:i w:val="0"/>
                <w:color w:val="000000"/>
                <w:sz w:val="20"/>
                <w:szCs w:val="20"/>
                <w:u w:val="none"/>
              </w:rPr>
            </w:pPr>
          </w:p>
        </w:tc>
      </w:tr>
      <w:tr w14:paraId="198F4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5EDE5D8">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A524BDC">
            <w:pPr>
              <w:jc w:val="center"/>
              <w:rPr>
                <w:rFonts w:hint="eastAsia" w:ascii="宋体" w:hAnsi="宋体" w:eastAsia="宋体" w:cs="宋体"/>
                <w:i w:val="0"/>
                <w:color w:val="000000"/>
                <w:sz w:val="20"/>
                <w:szCs w:val="20"/>
                <w:u w:val="none"/>
              </w:rPr>
            </w:pP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502B2B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经济成本指标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B1C3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公用经费</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0C16C8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=600元/生/年</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DD139F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600元/生/年</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865722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6</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2FA34E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6</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DD90BF5">
            <w:pPr>
              <w:jc w:val="center"/>
              <w:rPr>
                <w:rFonts w:hint="eastAsia" w:ascii="宋体" w:hAnsi="宋体" w:eastAsia="宋体" w:cs="宋体"/>
                <w:i w:val="0"/>
                <w:color w:val="000000"/>
                <w:sz w:val="20"/>
                <w:szCs w:val="20"/>
                <w:u w:val="none"/>
              </w:rPr>
            </w:pPr>
          </w:p>
        </w:tc>
      </w:tr>
      <w:tr w14:paraId="53866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313D9A0">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E13B79B">
            <w:pPr>
              <w:jc w:val="center"/>
              <w:rPr>
                <w:rFonts w:hint="eastAsia" w:ascii="宋体" w:hAnsi="宋体" w:eastAsia="宋体" w:cs="宋体"/>
                <w:i w:val="0"/>
                <w:color w:val="000000"/>
                <w:sz w:val="20"/>
                <w:szCs w:val="20"/>
                <w:u w:val="none"/>
              </w:rPr>
            </w:pP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2CF451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社会成本指标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234201">
            <w:pPr>
              <w:jc w:val="left"/>
              <w:rPr>
                <w:rFonts w:hint="eastAsia" w:ascii="宋体" w:hAnsi="宋体" w:eastAsia="宋体" w:cs="宋体"/>
                <w:i w:val="0"/>
                <w:color w:val="000000"/>
                <w:sz w:val="20"/>
                <w:szCs w:val="20"/>
                <w:u w:val="none"/>
              </w:rPr>
            </w:pP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723F00A">
            <w:pPr>
              <w:jc w:val="center"/>
              <w:rPr>
                <w:rFonts w:hint="eastAsia" w:ascii="宋体" w:hAnsi="宋体" w:eastAsia="宋体" w:cs="宋体"/>
                <w:i w:val="0"/>
                <w:color w:val="000000"/>
                <w:sz w:val="20"/>
                <w:szCs w:val="20"/>
                <w:u w:val="none"/>
              </w:rPr>
            </w:pP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3279A5C">
            <w:pPr>
              <w:jc w:val="center"/>
              <w:rPr>
                <w:rFonts w:hint="eastAsia" w:ascii="宋体" w:hAnsi="宋体" w:eastAsia="宋体" w:cs="宋体"/>
                <w:i w:val="0"/>
                <w:color w:val="000000"/>
                <w:sz w:val="20"/>
                <w:szCs w:val="20"/>
                <w:u w:val="none"/>
              </w:rPr>
            </w:pP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3BB6E57">
            <w:pPr>
              <w:jc w:val="center"/>
              <w:rPr>
                <w:rFonts w:hint="eastAsia" w:ascii="宋体" w:hAnsi="宋体" w:eastAsia="宋体" w:cs="宋体"/>
                <w:i w:val="0"/>
                <w:color w:val="000000"/>
                <w:sz w:val="20"/>
                <w:szCs w:val="20"/>
                <w:u w:val="none"/>
              </w:rPr>
            </w:pP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EE0FF92">
            <w:pPr>
              <w:jc w:val="center"/>
              <w:rPr>
                <w:rFonts w:hint="eastAsia" w:ascii="宋体" w:hAnsi="宋体" w:eastAsia="宋体" w:cs="宋体"/>
                <w:i w:val="0"/>
                <w:color w:val="000000"/>
                <w:sz w:val="20"/>
                <w:szCs w:val="20"/>
                <w:u w:val="none"/>
              </w:rPr>
            </w:pP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D9297F5">
            <w:pPr>
              <w:jc w:val="center"/>
              <w:rPr>
                <w:rFonts w:hint="eastAsia" w:ascii="宋体" w:hAnsi="宋体" w:eastAsia="宋体" w:cs="宋体"/>
                <w:i w:val="0"/>
                <w:color w:val="000000"/>
                <w:sz w:val="20"/>
                <w:szCs w:val="20"/>
                <w:u w:val="none"/>
              </w:rPr>
            </w:pPr>
          </w:p>
        </w:tc>
      </w:tr>
      <w:tr w14:paraId="11348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BDD1861">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4EBE71D">
            <w:pPr>
              <w:jc w:val="center"/>
              <w:rPr>
                <w:rFonts w:hint="eastAsia" w:ascii="宋体" w:hAnsi="宋体" w:eastAsia="宋体" w:cs="宋体"/>
                <w:i w:val="0"/>
                <w:color w:val="000000"/>
                <w:sz w:val="20"/>
                <w:szCs w:val="20"/>
                <w:u w:val="none"/>
              </w:rPr>
            </w:pP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295A6C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生态环境成本指标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7994B3">
            <w:pPr>
              <w:jc w:val="left"/>
              <w:rPr>
                <w:rFonts w:hint="eastAsia" w:ascii="宋体" w:hAnsi="宋体" w:eastAsia="宋体" w:cs="宋体"/>
                <w:i w:val="0"/>
                <w:color w:val="000000"/>
                <w:sz w:val="20"/>
                <w:szCs w:val="20"/>
                <w:u w:val="none"/>
              </w:rPr>
            </w:pP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7C6A20D">
            <w:pPr>
              <w:jc w:val="center"/>
              <w:rPr>
                <w:rFonts w:hint="eastAsia" w:ascii="宋体" w:hAnsi="宋体" w:eastAsia="宋体" w:cs="宋体"/>
                <w:i w:val="0"/>
                <w:color w:val="000000"/>
                <w:sz w:val="20"/>
                <w:szCs w:val="20"/>
                <w:u w:val="none"/>
              </w:rPr>
            </w:pP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EB9C49F">
            <w:pPr>
              <w:jc w:val="center"/>
              <w:rPr>
                <w:rFonts w:hint="eastAsia" w:ascii="宋体" w:hAnsi="宋体" w:eastAsia="宋体" w:cs="宋体"/>
                <w:i w:val="0"/>
                <w:color w:val="000000"/>
                <w:sz w:val="20"/>
                <w:szCs w:val="20"/>
                <w:u w:val="none"/>
              </w:rPr>
            </w:pP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AD40F8B">
            <w:pPr>
              <w:jc w:val="center"/>
              <w:rPr>
                <w:rFonts w:hint="eastAsia" w:ascii="宋体" w:hAnsi="宋体" w:eastAsia="宋体" w:cs="宋体"/>
                <w:i w:val="0"/>
                <w:color w:val="000000"/>
                <w:sz w:val="20"/>
                <w:szCs w:val="20"/>
                <w:u w:val="none"/>
              </w:rPr>
            </w:pP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A7BDBB9">
            <w:pPr>
              <w:jc w:val="center"/>
              <w:rPr>
                <w:rFonts w:hint="eastAsia" w:ascii="宋体" w:hAnsi="宋体" w:eastAsia="宋体" w:cs="宋体"/>
                <w:i w:val="0"/>
                <w:color w:val="000000"/>
                <w:sz w:val="20"/>
                <w:szCs w:val="20"/>
                <w:u w:val="none"/>
              </w:rPr>
            </w:pP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4A2D405">
            <w:pPr>
              <w:jc w:val="center"/>
              <w:rPr>
                <w:rFonts w:hint="eastAsia" w:ascii="宋体" w:hAnsi="宋体" w:eastAsia="宋体" w:cs="宋体"/>
                <w:i w:val="0"/>
                <w:color w:val="000000"/>
                <w:sz w:val="20"/>
                <w:szCs w:val="20"/>
                <w:u w:val="none"/>
              </w:rPr>
            </w:pPr>
          </w:p>
        </w:tc>
      </w:tr>
      <w:tr w14:paraId="39B22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80DEFA7">
            <w:pPr>
              <w:jc w:val="center"/>
              <w:rPr>
                <w:rFonts w:hint="eastAsia" w:ascii="宋体" w:hAnsi="宋体" w:eastAsia="宋体" w:cs="宋体"/>
                <w:i w:val="0"/>
                <w:color w:val="000000"/>
                <w:sz w:val="20"/>
                <w:szCs w:val="20"/>
                <w:u w:val="none"/>
              </w:rPr>
            </w:pPr>
          </w:p>
        </w:tc>
        <w:tc>
          <w:tcPr>
            <w:tcW w:w="116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DD4064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效益指标</w:t>
            </w: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407693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经济效益指标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3B7AE3">
            <w:pPr>
              <w:jc w:val="left"/>
              <w:rPr>
                <w:rFonts w:hint="eastAsia" w:ascii="宋体" w:hAnsi="宋体" w:eastAsia="宋体" w:cs="宋体"/>
                <w:i w:val="0"/>
                <w:color w:val="000000"/>
                <w:sz w:val="20"/>
                <w:szCs w:val="20"/>
                <w:u w:val="none"/>
              </w:rPr>
            </w:pP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69749B2">
            <w:pPr>
              <w:jc w:val="center"/>
              <w:rPr>
                <w:rFonts w:hint="eastAsia" w:ascii="宋体" w:hAnsi="宋体" w:eastAsia="宋体" w:cs="宋体"/>
                <w:i w:val="0"/>
                <w:color w:val="000000"/>
                <w:sz w:val="20"/>
                <w:szCs w:val="20"/>
                <w:u w:val="none"/>
              </w:rPr>
            </w:pP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EFC82A3">
            <w:pPr>
              <w:jc w:val="center"/>
              <w:rPr>
                <w:rFonts w:hint="eastAsia" w:ascii="宋体" w:hAnsi="宋体" w:eastAsia="宋体" w:cs="宋体"/>
                <w:i w:val="0"/>
                <w:color w:val="000000"/>
                <w:sz w:val="20"/>
                <w:szCs w:val="20"/>
                <w:u w:val="none"/>
              </w:rPr>
            </w:pP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F52C4E6">
            <w:pPr>
              <w:jc w:val="center"/>
              <w:rPr>
                <w:rFonts w:hint="eastAsia" w:ascii="宋体" w:hAnsi="宋体" w:eastAsia="宋体" w:cs="宋体"/>
                <w:i w:val="0"/>
                <w:color w:val="000000"/>
                <w:sz w:val="20"/>
                <w:szCs w:val="20"/>
                <w:u w:val="none"/>
              </w:rPr>
            </w:pP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5A7BD2B">
            <w:pPr>
              <w:jc w:val="center"/>
              <w:rPr>
                <w:rFonts w:hint="eastAsia" w:ascii="宋体" w:hAnsi="宋体" w:eastAsia="宋体" w:cs="宋体"/>
                <w:i w:val="0"/>
                <w:color w:val="000000"/>
                <w:sz w:val="20"/>
                <w:szCs w:val="20"/>
                <w:u w:val="none"/>
              </w:rPr>
            </w:pP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34425CA">
            <w:pPr>
              <w:jc w:val="center"/>
              <w:rPr>
                <w:rFonts w:hint="eastAsia" w:ascii="宋体" w:hAnsi="宋体" w:eastAsia="宋体" w:cs="宋体"/>
                <w:i w:val="0"/>
                <w:color w:val="000000"/>
                <w:sz w:val="20"/>
                <w:szCs w:val="20"/>
                <w:u w:val="none"/>
              </w:rPr>
            </w:pPr>
          </w:p>
        </w:tc>
      </w:tr>
      <w:tr w14:paraId="6463F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72831E7">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A7E719D">
            <w:pPr>
              <w:jc w:val="center"/>
              <w:rPr>
                <w:rFonts w:hint="eastAsia" w:ascii="宋体" w:hAnsi="宋体" w:eastAsia="宋体" w:cs="宋体"/>
                <w:i w:val="0"/>
                <w:color w:val="000000"/>
                <w:sz w:val="20"/>
                <w:szCs w:val="20"/>
                <w:u w:val="none"/>
              </w:rPr>
            </w:pP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8ABE6D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社会效益指标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F0EE6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保障适龄幼儿接受学前免费教育</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D201C9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持续加强</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BDA559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持续加强</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F9A7EE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ECA273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54065F9">
            <w:pPr>
              <w:jc w:val="center"/>
              <w:rPr>
                <w:rFonts w:hint="eastAsia" w:ascii="宋体" w:hAnsi="宋体" w:eastAsia="宋体" w:cs="宋体"/>
                <w:i w:val="0"/>
                <w:color w:val="000000"/>
                <w:sz w:val="20"/>
                <w:szCs w:val="20"/>
                <w:u w:val="none"/>
              </w:rPr>
            </w:pPr>
          </w:p>
        </w:tc>
      </w:tr>
      <w:tr w14:paraId="70B34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F41EC33">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68B3EE5">
            <w:pPr>
              <w:jc w:val="center"/>
              <w:rPr>
                <w:rFonts w:hint="eastAsia" w:ascii="宋体" w:hAnsi="宋体" w:eastAsia="宋体" w:cs="宋体"/>
                <w:i w:val="0"/>
                <w:color w:val="000000"/>
                <w:sz w:val="20"/>
                <w:szCs w:val="20"/>
                <w:u w:val="none"/>
              </w:rPr>
            </w:pP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CA8DB3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生态效益指标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64DAF4">
            <w:pPr>
              <w:jc w:val="left"/>
              <w:rPr>
                <w:rFonts w:hint="eastAsia" w:ascii="宋体" w:hAnsi="宋体" w:eastAsia="宋体" w:cs="宋体"/>
                <w:i w:val="0"/>
                <w:color w:val="000000"/>
                <w:sz w:val="20"/>
                <w:szCs w:val="20"/>
                <w:u w:val="none"/>
              </w:rPr>
            </w:pP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16E2C3E">
            <w:pPr>
              <w:jc w:val="center"/>
              <w:rPr>
                <w:rFonts w:hint="eastAsia" w:ascii="宋体" w:hAnsi="宋体" w:eastAsia="宋体" w:cs="宋体"/>
                <w:i w:val="0"/>
                <w:color w:val="000000"/>
                <w:sz w:val="20"/>
                <w:szCs w:val="20"/>
                <w:u w:val="none"/>
              </w:rPr>
            </w:pP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636E921">
            <w:pPr>
              <w:jc w:val="center"/>
              <w:rPr>
                <w:rFonts w:hint="eastAsia" w:ascii="宋体" w:hAnsi="宋体" w:eastAsia="宋体" w:cs="宋体"/>
                <w:i w:val="0"/>
                <w:color w:val="000000"/>
                <w:sz w:val="20"/>
                <w:szCs w:val="20"/>
                <w:u w:val="none"/>
              </w:rPr>
            </w:pP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058F860">
            <w:pPr>
              <w:jc w:val="center"/>
              <w:rPr>
                <w:rFonts w:hint="eastAsia" w:ascii="宋体" w:hAnsi="宋体" w:eastAsia="宋体" w:cs="宋体"/>
                <w:i w:val="0"/>
                <w:color w:val="000000"/>
                <w:sz w:val="20"/>
                <w:szCs w:val="20"/>
                <w:u w:val="none"/>
              </w:rPr>
            </w:pP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C5EE875">
            <w:pPr>
              <w:jc w:val="center"/>
              <w:rPr>
                <w:rFonts w:hint="eastAsia" w:ascii="宋体" w:hAnsi="宋体" w:eastAsia="宋体" w:cs="宋体"/>
                <w:i w:val="0"/>
                <w:color w:val="000000"/>
                <w:sz w:val="20"/>
                <w:szCs w:val="20"/>
                <w:u w:val="none"/>
              </w:rPr>
            </w:pP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926199E">
            <w:pPr>
              <w:jc w:val="center"/>
              <w:rPr>
                <w:rFonts w:hint="eastAsia" w:ascii="宋体" w:hAnsi="宋体" w:eastAsia="宋体" w:cs="宋体"/>
                <w:i w:val="0"/>
                <w:color w:val="000000"/>
                <w:sz w:val="20"/>
                <w:szCs w:val="20"/>
                <w:u w:val="none"/>
              </w:rPr>
            </w:pPr>
          </w:p>
        </w:tc>
      </w:tr>
      <w:tr w14:paraId="3B92D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9018D15">
            <w:pPr>
              <w:jc w:val="center"/>
              <w:rPr>
                <w:rFonts w:hint="eastAsia" w:ascii="宋体" w:hAnsi="宋体" w:eastAsia="宋体" w:cs="宋体"/>
                <w:i w:val="0"/>
                <w:color w:val="000000"/>
                <w:sz w:val="20"/>
                <w:szCs w:val="20"/>
                <w:u w:val="none"/>
              </w:rPr>
            </w:pPr>
          </w:p>
        </w:tc>
        <w:tc>
          <w:tcPr>
            <w:tcW w:w="116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4285D3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满意度指标</w:t>
            </w: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AD0194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满意度指标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8B0A2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学生满意度</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A0E22B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&gt;=95%</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52CFCF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E8D8FB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5</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433BCF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5</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30ADB5D">
            <w:pPr>
              <w:keepNext w:val="0"/>
              <w:keepLines w:val="0"/>
              <w:widowControl/>
              <w:suppressLineNumbers w:val="0"/>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幼儿对此项目满意度较高。</w:t>
            </w:r>
          </w:p>
          <w:p w14:paraId="4F4DC8BF">
            <w:pPr>
              <w:keepNext w:val="0"/>
              <w:keepLines w:val="0"/>
              <w:widowControl/>
              <w:suppressLineNumbers w:val="0"/>
              <w:jc w:val="center"/>
              <w:textAlignment w:val="center"/>
              <w:rPr>
                <w:rFonts w:hint="eastAsia" w:ascii="宋体" w:hAnsi="宋体" w:eastAsia="宋体" w:cs="宋体"/>
                <w:i w:val="0"/>
                <w:color w:val="000000"/>
                <w:sz w:val="20"/>
                <w:szCs w:val="20"/>
                <w:highlight w:val="yellow"/>
                <w:u w:val="none"/>
              </w:rPr>
            </w:pPr>
          </w:p>
        </w:tc>
      </w:tr>
      <w:tr w14:paraId="216B8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5B123C9">
            <w:pPr>
              <w:jc w:val="center"/>
              <w:rPr>
                <w:rFonts w:hint="eastAsia" w:ascii="宋体" w:hAnsi="宋体" w:eastAsia="宋体" w:cs="宋体"/>
                <w:i w:val="0"/>
                <w:color w:val="000000"/>
                <w:sz w:val="20"/>
                <w:szCs w:val="20"/>
                <w:u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144B526">
            <w:pPr>
              <w:jc w:val="center"/>
              <w:rPr>
                <w:rFonts w:hint="eastAsia" w:ascii="宋体" w:hAnsi="宋体" w:eastAsia="宋体" w:cs="宋体"/>
                <w:i w:val="0"/>
                <w:color w:val="000000"/>
                <w:sz w:val="20"/>
                <w:szCs w:val="20"/>
                <w:u w:val="none"/>
              </w:rPr>
            </w:pPr>
          </w:p>
        </w:tc>
        <w:tc>
          <w:tcPr>
            <w:tcW w:w="15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01B4E6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满意度指标</w:t>
            </w:r>
          </w:p>
        </w:tc>
        <w:tc>
          <w:tcPr>
            <w:tcW w:w="2560" w:type="dxa"/>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B639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家长满意度</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AEEE8F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&gt;=95%</w:t>
            </w:r>
          </w:p>
        </w:tc>
        <w:tc>
          <w:tcPr>
            <w:tcW w:w="1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5E279E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F8D3A2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5</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DBA5AF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5</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A23644D">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对于幼儿园环境与膳食</w:t>
            </w:r>
            <w:r>
              <w:rPr>
                <w:rFonts w:hint="eastAsia" w:ascii="宋体" w:hAnsi="宋体" w:eastAsia="宋体" w:cs="宋体"/>
                <w:i w:val="0"/>
                <w:color w:val="000000"/>
                <w:sz w:val="20"/>
                <w:szCs w:val="20"/>
                <w:u w:val="none"/>
                <w:lang w:eastAsia="zh-CN"/>
              </w:rPr>
              <w:t>家长</w:t>
            </w:r>
            <w:r>
              <w:rPr>
                <w:rFonts w:hint="eastAsia" w:ascii="宋体" w:hAnsi="宋体" w:eastAsia="宋体" w:cs="宋体"/>
                <w:i w:val="0"/>
                <w:color w:val="000000"/>
                <w:sz w:val="20"/>
                <w:szCs w:val="20"/>
                <w:u w:val="none"/>
                <w:lang w:val="en-US" w:eastAsia="zh-CN"/>
              </w:rPr>
              <w:t>反馈满意度较高。</w:t>
            </w:r>
          </w:p>
          <w:p w14:paraId="7F04D567">
            <w:pPr>
              <w:keepNext w:val="0"/>
              <w:keepLines w:val="0"/>
              <w:widowControl/>
              <w:suppressLineNumbers w:val="0"/>
              <w:jc w:val="center"/>
              <w:textAlignment w:val="center"/>
              <w:rPr>
                <w:rFonts w:hint="eastAsia" w:ascii="宋体" w:hAnsi="宋体" w:eastAsia="宋体" w:cs="宋体"/>
                <w:i w:val="0"/>
                <w:color w:val="000000"/>
                <w:sz w:val="20"/>
                <w:szCs w:val="20"/>
                <w:highlight w:val="yellow"/>
                <w:u w:val="none"/>
              </w:rPr>
            </w:pPr>
          </w:p>
        </w:tc>
      </w:tr>
      <w:tr w14:paraId="376E6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614"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3EA7A8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总分</w:t>
            </w:r>
          </w:p>
        </w:tc>
        <w:tc>
          <w:tcPr>
            <w:tcW w:w="12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8614A4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115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2CF33E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100分</w:t>
            </w:r>
          </w:p>
        </w:tc>
        <w:tc>
          <w:tcPr>
            <w:tcW w:w="295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E566D9F">
            <w:pPr>
              <w:jc w:val="center"/>
              <w:rPr>
                <w:rFonts w:hint="eastAsia" w:ascii="宋体" w:hAnsi="宋体" w:eastAsia="宋体" w:cs="宋体"/>
                <w:i w:val="0"/>
                <w:color w:val="000000"/>
                <w:sz w:val="20"/>
                <w:szCs w:val="20"/>
                <w:u w:val="none"/>
              </w:rPr>
            </w:pPr>
          </w:p>
        </w:tc>
      </w:tr>
    </w:tbl>
    <w:p w14:paraId="4926605C"/>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0A2BB2A">
        <w:pPr>
          <w:pStyle w:val="7"/>
          <w:jc w:val="center"/>
        </w:pPr>
        <w:r>
          <w:fldChar w:fldCharType="begin"/>
        </w:r>
        <w:r>
          <w:instrText xml:space="preserve">PAGE   \* MERGEFORMAT</w:instrText>
        </w:r>
        <w:r>
          <w:fldChar w:fldCharType="separate"/>
        </w:r>
        <w:r>
          <w:rPr>
            <w:lang w:val="zh-CN"/>
          </w:rPr>
          <w:t>22</w:t>
        </w:r>
        <w:r>
          <w:rPr>
            <w:lang w:val="zh-CN"/>
          </w:rPr>
          <w:fldChar w:fldCharType="end"/>
        </w:r>
      </w:p>
    </w:sdtContent>
  </w:sdt>
  <w:p w14:paraId="5CC17E0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1NzU1ZDE5MWUyOTliZTgzODE4MzZjMzNmODI4OTMifQ=="/>
  </w:docVars>
  <w:rsids>
    <w:rsidRoot w:val="00000000"/>
    <w:rsid w:val="446C1CC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Char"/>
    <w:basedOn w:val="15"/>
    <w:link w:val="6"/>
    <w:qFormat/>
    <w:uiPriority w:val="0"/>
    <w:rPr>
      <w:rFonts w:ascii="Times New Roman" w:hAnsi="Times New Roman" w:eastAsia="宋体" w:cs="Times New Roman"/>
      <w:kern w:val="2"/>
      <w:sz w:val="18"/>
      <w:szCs w:val="18"/>
    </w:rPr>
  </w:style>
  <w:style w:type="character" w:customStyle="1" w:styleId="23">
    <w:name w:val="页眉 Char"/>
    <w:basedOn w:val="15"/>
    <w:link w:val="8"/>
    <w:qFormat/>
    <w:uiPriority w:val="0"/>
    <w:rPr>
      <w:rFonts w:ascii="Times New Roman" w:hAnsi="Times New Roman" w:eastAsia="宋体" w:cs="Times New Roman"/>
      <w:kern w:val="2"/>
      <w:sz w:val="18"/>
      <w:szCs w:val="18"/>
    </w:rPr>
  </w:style>
  <w:style w:type="character" w:customStyle="1" w:styleId="24">
    <w:name w:val="批注文字 Char"/>
    <w:basedOn w:val="15"/>
    <w:link w:val="17"/>
    <w:qFormat/>
    <w:uiPriority w:val="0"/>
    <w:rPr>
      <w:rFonts w:ascii="Times New Roman" w:hAnsi="Times New Roman" w:eastAsia="宋体" w:cs="Times New Roman"/>
      <w:kern w:val="2"/>
      <w:sz w:val="21"/>
      <w:szCs w:val="24"/>
    </w:rPr>
  </w:style>
  <w:style w:type="character" w:customStyle="1" w:styleId="25">
    <w:name w:val="批注主题 Char"/>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9CE9E1B3D5294E60BBAEDE681ED3D346</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cdf8001f-4315-475a-a3ff-d06a5d9b9af8}">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12593</Words>
  <Characters>12956</Characters>
  <Lines>107</Lines>
  <Paragraphs>30</Paragraphs>
  <TotalTime>0</TotalTime>
  <ScaleCrop>false</ScaleCrop>
  <LinksUpToDate>false</LinksUpToDate>
  <CharactersWithSpaces>12999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2025-05-28T08:20:00Z</dcterms:created>
  <dc:creator>审核人</dc:creator>
  <cp:lastModifiedBy>白羊</cp:lastModifiedBy>
  <cp:lastPrinted>2025-05-28T08:31:00Z</cp:lastPrinted>
  <dcterms:modified xsi:type="dcterms:W3CDTF">2025-12-05T07:46:53Z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9CE9E1B3D5294E60BBAEDE681ED3D346</vt:lpwstr>
  </property>
  <property fmtid="{D5CDD505-2E9C-101B-9397-08002B2CF9AE}" pid="4" name="KSOTemplateDocerSaveRecord">
    <vt:lpwstr>eyJoZGlkIjoiN2E1ZDY0MDI5MTE3YjM0ZGMyMzg4N2EwMDI4ZjJiM2YiLCJ1c2VySWQiOiI0MzE2NzY3NzkifQ==</vt:lpwstr>
  </property>
</Properties>
</file>