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霍尔果斯市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财政局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法治政府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2025年度，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霍尔果斯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市财政局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坚持以习近平新时代中国特色社会主义思想为引领，深入学习贯彻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党的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二十大和二十届历次全会精神，全面贯彻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中央、自治区、自治州、霍尔果斯市委述法工作会议精神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紧扣《法治政府建设实施纲要（2021-2025年）》要求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以进位争先的使命感、干事创业的责任感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，构建“依法履职、依法监管、普法宣传”工作矩阵，着力打造“依法理财”工作新标杆。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2025年度霍尔果斯市财政局法治政府建设工作汇报如下：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黑体" w:cs="Times New Roman"/>
          <w:sz w:val="32"/>
          <w:szCs w:val="32"/>
        </w:rPr>
        <w:t>推进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法治政府</w:t>
      </w:r>
      <w:r>
        <w:rPr>
          <w:rFonts w:hint="default" w:ascii="Times New Roman" w:hAnsi="Times New Roman" w:eastAsia="黑体" w:cs="Times New Roman"/>
          <w:sz w:val="32"/>
          <w:szCs w:val="32"/>
        </w:rPr>
        <w:t>建设的主要举措和成效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强化组织领导与制度保障，切实扛起法治建设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主体责任</w:t>
      </w: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一是高度重视。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始终把法治政府建设摆在全局工作突出位置，将法治建设工作纳入年度工作要点，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制定《霍尔果斯市财政局2025年度法治建设工作计划》，将法治建设工作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与业务工作同部署、同推进、同落实。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高位推动。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认真落实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党政一把手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推进法治政府建设第一责任人责任，在党组会、全局干部大会上多次要求要依法行政，并就具体工作分解细化任务，以身作则推动法治建设工作；坚持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民主集中制原则，对财政局“三重一大”事项按“集体领导、民主集中、个别酝酿、会议决定”原则集体讨论决定；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严格落实“第一议题”学习制度，将习近平法治思想篇目纳入理论学习中心组学习、党组会、集体学习等会议必学内容；严格执行“一把手”讲法制度，2025年度，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主要领导讲法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次。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三是完善机制。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构建“党组会统筹部署，主要领导牵头抓总，分管领导督促协调，业务科室执行落实的工作格局，形成一级抓一级、层层抓落实的工作局面。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（二）加强学习与淬炼干部守法作风，拧紧机关干部法治思想之弦。一是开展法治学习，提高干部法律素养。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深入学法，以主要领导讲法治党课和集体学习，学习习近平法治思想篇目、专题法律为抓手，引导全体机关干部学法、用法、守法，拧紧机关全体干部法治思想之弦，提高财政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干部依法履职和文明执法能力。2025年度，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财政大讲堂共开展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次法律专题学习，学习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预算法》《中华人民共和国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会计法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《中华人民共和国政府采购法》《中华人民共和国国有资产法》等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财政、国资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领域法律法规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；理论学习中心组开展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次法律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专题学习，学习习近平法治思想；主要领导讲法治党课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二是狠抓作风建设，强化干部守法意识。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以中央八项规定精神学习教育为抓手，组织党员干部观看警示教育片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部，通报典型案例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次，通过以案说纪、以案说法方式，警醒全体党员干部，让警钟长鸣在心，持续引导干部遵纪守法，做到心中有法、心中畏法，以敬畏之心履职，以边界之尺前行。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（三）构建依法履职、依法监管、普法宣传工作矩阵，展现法治新作为。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对标对表法律要求，严格规范履职程序，保障机关依法履职、依法监管，推动法治政府建设向纵深推进。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一是依法履职。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财政方面：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严格落实《中华人民共和国预算法》，践行零基预算，打破基数依赖，不断优化财政支出结构，强化预算刚性约束，坚持“先预算后支出”的原则，提升预算管理水平。排查拖欠中小企业欠款项目，主动对接督促责任部门完成清偿，督促从事民事活动的政府部门践行《中华人民共和国民法典》，积极构建“法治化”营商环境；持续落实《霍尔果斯经济开发区（市）政府投资项目管理办法》，严格履行评审项目合法性、合规性审查。按照《国务院关于修改和废止部门行政法规的决定》，依法依规严格落实规范性文件合法性审核、公平竞争审查、重大行政决策备案制，将依法行政落实到具体工作之中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国资方面：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修订《霍尔果斯经济开发区（市）属国有企业负责人经营业绩考核办法（试行）》《霍尔果斯经济开发区（市）属国有企业负责人薪酬管理考核办法》《霍尔果斯经济开发区（市）属国有企业领导人管理办法（试行）》，健全完善国有资本经营预算有关制度。全面贯彻《中华人民共和国公司法》，七大集团取消监事会，设立审计委员会，系统构建“权责法定、运行高效”的现代企业制度体系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二是依法监管。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严格落实《中华人民共和国会计法》，财政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联合税务部门、市场监督管理局对我市代理记账机构开展跨部门“双随机、一公开”综合监督检查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次，监督检查中严格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落实行政执法“三项制度”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，完整记录执法全过程，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并在霍尔果斯市人民政府网站公开权责清单、执法人员信息、执法事项清单等信息。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三是普法宣传。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抓住“民法典宣传月”“宪法宣传周”等重要活动时间节点，组织财政干部开展法治宣传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，深入乡村为村民讲解《宪法》《预算法》《会计法》《国有资产法》等法律法规知识，并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发放宣传资料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一百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余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份，以实际行动推动法润人心，营造干部人人讲法治的良好氛围。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年度推进法治政府建设的主要安排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（一）强化政治引领，加强法治学习。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把学习贯彻习近平法治思想作为首要政治任务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。2026年度，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将《宪法》《习近平法治思想学习纲要》《预算法》《会计法》等纳入专题学法必学篇目内容，在“学懂、弄通、会用”上下功夫，构建“精准化、实操性”的法治学习体系。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安排“一把手”讲法活动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，持续每周三财政大讲堂的业务和法治学习。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鼓励干部参加法律职业资格考试，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持续推进财政队伍学法、懂法、用法、守法的意识和能力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（二）完善制度体系，压实工作责任。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落实党政主要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推进法治建设第一责任人职责，将法治建设工作与业务工作同部署、同推进、同落实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；坚持民主集中制原则。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健全普法经费保障机制，持续保障法律顾问、人民调解等经费落实到位，进一步加强和推动法治政府和法治社会一体化建设，提高依法行政的能力。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（三）构建法治矩阵，提升履职质效。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完善依法履职、依法监管、普法宣传工作矩阵，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推动法治机关建设工作向纵深推进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展现法治新作为。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动态更新权责清单与行政执法事项清单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认真梳理财政领域规范性文件，依法依规严格落实规范性文件合法性审核、公平竞争审查、重大行政决策备案制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严格落实</w:t>
      </w:r>
      <w:r>
        <w:rPr>
          <w:rFonts w:hint="eastAsia" w:ascii="仿宋_GB2312" w:eastAsia="仿宋_GB2312"/>
          <w:sz w:val="32"/>
          <w:szCs w:val="32"/>
        </w:rPr>
        <w:t>民生领域重点任务，着力整治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民生</w:t>
      </w:r>
      <w:r>
        <w:rPr>
          <w:rFonts w:hint="eastAsia" w:ascii="仿宋_GB2312" w:eastAsia="仿宋_GB2312"/>
          <w:sz w:val="32"/>
          <w:szCs w:val="32"/>
        </w:rPr>
        <w:t>领域存在的突出问题，提升财政资金使用效益和民生保障水平。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按照</w:t>
      </w:r>
      <w:bookmarkStart w:id="0" w:name="OLE_LINK2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霍尔果斯市法治宣传教育重点工作要求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》，</w:t>
      </w:r>
      <w:bookmarkEnd w:id="0"/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组织开展法治宣传不少于谁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，开展集中宣传活动不少于三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，营造“人人讲法治、事事循法治”的浓厚氛围。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霍尔果斯市财政局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2026年2月28日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60" w:lineRule="exact"/>
      <w:textAlignment w:val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41855"/>
    <w:multiLevelType w:val="singleLevel"/>
    <w:tmpl w:val="9614185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zUwOTdiMzcyNTZjNGIwMTI3YjQwNTFhZTVkMjIifQ=="/>
  </w:docVars>
  <w:rsids>
    <w:rsidRoot w:val="00000000"/>
    <w:rsid w:val="00EB3F03"/>
    <w:rsid w:val="0667409D"/>
    <w:rsid w:val="070D2C45"/>
    <w:rsid w:val="08E6788B"/>
    <w:rsid w:val="09FC57E9"/>
    <w:rsid w:val="0A0D1616"/>
    <w:rsid w:val="0BAE4DF9"/>
    <w:rsid w:val="10042CED"/>
    <w:rsid w:val="12FA03DE"/>
    <w:rsid w:val="134E20A5"/>
    <w:rsid w:val="134F17BC"/>
    <w:rsid w:val="13717EF5"/>
    <w:rsid w:val="17341D26"/>
    <w:rsid w:val="180F7009"/>
    <w:rsid w:val="187C202C"/>
    <w:rsid w:val="1A7A7E07"/>
    <w:rsid w:val="1BDD5A46"/>
    <w:rsid w:val="1E452F24"/>
    <w:rsid w:val="1F2351B0"/>
    <w:rsid w:val="1FAA13F8"/>
    <w:rsid w:val="21A53020"/>
    <w:rsid w:val="21F514CA"/>
    <w:rsid w:val="23901BAA"/>
    <w:rsid w:val="266937D5"/>
    <w:rsid w:val="289D3530"/>
    <w:rsid w:val="29866CF1"/>
    <w:rsid w:val="2A0D6C0A"/>
    <w:rsid w:val="2BB53743"/>
    <w:rsid w:val="2BBE616E"/>
    <w:rsid w:val="2EA7199A"/>
    <w:rsid w:val="323864EB"/>
    <w:rsid w:val="32EC10A5"/>
    <w:rsid w:val="33136202"/>
    <w:rsid w:val="346138DA"/>
    <w:rsid w:val="3639481A"/>
    <w:rsid w:val="38171F5A"/>
    <w:rsid w:val="3B492564"/>
    <w:rsid w:val="40040E53"/>
    <w:rsid w:val="42764AD5"/>
    <w:rsid w:val="44174342"/>
    <w:rsid w:val="47F25430"/>
    <w:rsid w:val="4AC15AC0"/>
    <w:rsid w:val="4DAF747C"/>
    <w:rsid w:val="4F293234"/>
    <w:rsid w:val="501664CD"/>
    <w:rsid w:val="5145529E"/>
    <w:rsid w:val="54041EFF"/>
    <w:rsid w:val="547817B8"/>
    <w:rsid w:val="568B2B6D"/>
    <w:rsid w:val="574127B6"/>
    <w:rsid w:val="57F16C8D"/>
    <w:rsid w:val="59783214"/>
    <w:rsid w:val="5CA86551"/>
    <w:rsid w:val="5D0A5B35"/>
    <w:rsid w:val="60A10B65"/>
    <w:rsid w:val="613144C8"/>
    <w:rsid w:val="64FD177A"/>
    <w:rsid w:val="666A3B93"/>
    <w:rsid w:val="6B8F4205"/>
    <w:rsid w:val="6C3F5B3F"/>
    <w:rsid w:val="6C9E7ACA"/>
    <w:rsid w:val="6E8C24E3"/>
    <w:rsid w:val="6E9C791F"/>
    <w:rsid w:val="6F3C5191"/>
    <w:rsid w:val="6F6066CE"/>
    <w:rsid w:val="72DE616E"/>
    <w:rsid w:val="73846894"/>
    <w:rsid w:val="76770F95"/>
    <w:rsid w:val="7694779E"/>
    <w:rsid w:val="7997772C"/>
    <w:rsid w:val="7A6A05A9"/>
    <w:rsid w:val="7AF0415D"/>
    <w:rsid w:val="7B1033F5"/>
    <w:rsid w:val="7C214BB4"/>
    <w:rsid w:val="7CBB67ED"/>
    <w:rsid w:val="7DB7244E"/>
    <w:rsid w:val="7FC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asciiTheme="minorAscii" w:hAnsiTheme="minorAscii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8">
    <w:name w:val="BodyText1I2"/>
    <w:basedOn w:val="9"/>
    <w:qFormat/>
    <w:uiPriority w:val="0"/>
    <w:pPr>
      <w:spacing w:after="120"/>
      <w:ind w:left="420" w:leftChars="200" w:firstLine="420"/>
      <w:jc w:val="both"/>
      <w:textAlignment w:val="baseline"/>
    </w:p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2181</Words>
  <Characters>2215</Characters>
  <Lines>0</Lines>
  <Paragraphs>0</Paragraphs>
  <TotalTime>11</TotalTime>
  <ScaleCrop>false</ScaleCrop>
  <LinksUpToDate>false</LinksUpToDate>
  <CharactersWithSpaces>2220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2024-04-09T08:31:00Z</dcterms:created>
  <dc:creator>Administrator</dc:creator>
  <cp:lastModifiedBy>Administrator</cp:lastModifiedBy>
  <cp:lastPrinted>2026-03-25T06:04:21Z</cp:lastPrinted>
  <dcterms:modified xsi:type="dcterms:W3CDTF">2026-03-25T06:04:30Z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CCABA85EE09C4042B8E3257C93B7CE71_12</vt:lpwstr>
  </property>
</Properties>
</file>