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600" w:lineRule="exact"/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</w:rPr>
        <w:t>霍尔果斯市公安局2023年政府信息公开工作年度报告</w:t>
      </w:r>
    </w:p>
    <w:p>
      <w:pPr>
        <w:spacing w:line="560" w:lineRule="exact"/>
        <w:jc w:val="center"/>
        <w:rPr>
          <w:rFonts w:ascii="方正小标宋_GBK" w:hAnsi="仿宋_GB2312" w:eastAsia="方正小标宋_GBK" w:cs="仿宋_GB2312"/>
          <w:sz w:val="44"/>
          <w:szCs w:val="44"/>
        </w:rPr>
      </w:pPr>
    </w:p>
    <w:p>
      <w:pPr>
        <w:spacing w:line="560" w:lineRule="exact"/>
        <w:ind w:firstLine="640" w:firstLineChars="200"/>
        <w:jc w:val="left"/>
        <w:rPr>
          <w:rFonts w:ascii="宋体" w:hAnsi="宋体" w:eastAsia="黑体" w:cs="宋体"/>
          <w:sz w:val="32"/>
          <w:szCs w:val="32"/>
        </w:rPr>
      </w:pPr>
      <w:r>
        <w:rPr>
          <w:rFonts w:ascii="宋体" w:hAnsi="宋体" w:eastAsia="方正仿宋简体"/>
          <w:sz w:val="32"/>
          <w:szCs w:val="32"/>
          <w:shd w:val="clear" w:color="auto" w:fill="FFFFFF"/>
        </w:rPr>
        <w:t>本报告包括</w:t>
      </w:r>
      <w:r>
        <w:rPr>
          <w:rFonts w:hint="eastAsia" w:ascii="宋体" w:hAnsi="宋体" w:eastAsia="方正仿宋简体"/>
          <w:sz w:val="32"/>
          <w:szCs w:val="32"/>
          <w:shd w:val="clear" w:color="auto" w:fill="FFFFFF"/>
        </w:rPr>
        <w:t>霍尔果斯市公安局</w:t>
      </w:r>
      <w:r>
        <w:rPr>
          <w:rFonts w:ascii="宋体" w:hAnsi="宋体" w:eastAsia="方正仿宋简体"/>
          <w:sz w:val="32"/>
          <w:szCs w:val="32"/>
          <w:shd w:val="clear" w:color="auto" w:fill="FFFFFF"/>
        </w:rPr>
        <w:t>总体</w:t>
      </w:r>
      <w:r>
        <w:rPr>
          <w:rFonts w:hint="eastAsia" w:ascii="宋体" w:hAnsi="宋体" w:eastAsia="方正仿宋简体"/>
          <w:sz w:val="32"/>
          <w:szCs w:val="32"/>
          <w:shd w:val="clear" w:color="auto" w:fill="FFFFFF"/>
        </w:rPr>
        <w:t>工作</w:t>
      </w:r>
      <w:r>
        <w:rPr>
          <w:rFonts w:ascii="宋体" w:hAnsi="宋体" w:eastAsia="方正仿宋简体"/>
          <w:sz w:val="32"/>
          <w:szCs w:val="32"/>
          <w:shd w:val="clear" w:color="auto" w:fill="FFFFFF"/>
        </w:rPr>
        <w:t>情况、主动公开政府信息情况、收到和处理政府信息公开申请情况、政府信息公开行政复议和行政诉讼情况、</w:t>
      </w:r>
      <w:r>
        <w:rPr>
          <w:rFonts w:hint="eastAsia" w:ascii="宋体" w:hAnsi="宋体" w:eastAsia="方正仿宋简体"/>
          <w:sz w:val="32"/>
          <w:szCs w:val="32"/>
          <w:shd w:val="clear" w:color="auto" w:fill="FFFFFF"/>
        </w:rPr>
        <w:t>下一步工作</w:t>
      </w:r>
      <w:r>
        <w:rPr>
          <w:rFonts w:ascii="宋体" w:hAnsi="宋体" w:eastAsia="方正仿宋简体"/>
          <w:sz w:val="32"/>
          <w:szCs w:val="32"/>
          <w:shd w:val="clear" w:color="auto" w:fill="FFFFFF"/>
        </w:rPr>
        <w:t>、其他需要报告的事项等六个部分。本年报中所列数据的统计期限自202</w:t>
      </w:r>
      <w:r>
        <w:rPr>
          <w:rFonts w:hint="eastAsia" w:ascii="宋体" w:hAnsi="宋体" w:eastAsia="方正仿宋简体"/>
          <w:sz w:val="32"/>
          <w:szCs w:val="32"/>
          <w:shd w:val="clear" w:color="auto" w:fill="FFFFFF"/>
        </w:rPr>
        <w:t>3</w:t>
      </w:r>
      <w:r>
        <w:rPr>
          <w:rFonts w:ascii="宋体" w:hAnsi="宋体" w:eastAsia="方正仿宋简体"/>
          <w:sz w:val="32"/>
          <w:szCs w:val="32"/>
          <w:shd w:val="clear" w:color="auto" w:fill="FFFFFF"/>
        </w:rPr>
        <w:t>年1月1日起至202</w:t>
      </w:r>
      <w:r>
        <w:rPr>
          <w:rFonts w:hint="eastAsia" w:ascii="宋体" w:hAnsi="宋体" w:eastAsia="方正仿宋简体"/>
          <w:sz w:val="32"/>
          <w:szCs w:val="32"/>
          <w:shd w:val="clear" w:color="auto" w:fill="FFFFFF"/>
        </w:rPr>
        <w:t>3</w:t>
      </w:r>
      <w:r>
        <w:rPr>
          <w:rFonts w:ascii="宋体" w:hAnsi="宋体" w:eastAsia="方正仿宋简体"/>
          <w:sz w:val="32"/>
          <w:szCs w:val="32"/>
          <w:shd w:val="clear" w:color="auto" w:fill="FFFFFF"/>
        </w:rPr>
        <w:t>年12月31日止。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rFonts w:ascii="宋体" w:hAnsi="宋体" w:eastAsia="黑体" w:cs="宋体"/>
          <w:sz w:val="32"/>
          <w:szCs w:val="32"/>
        </w:rPr>
      </w:pPr>
      <w:r>
        <w:rPr>
          <w:rFonts w:hint="eastAsia" w:ascii="宋体" w:hAnsi="宋体" w:eastAsia="黑体" w:cs="宋体"/>
          <w:sz w:val="32"/>
          <w:szCs w:val="32"/>
        </w:rPr>
        <w:t>总体情况</w:t>
      </w:r>
    </w:p>
    <w:p>
      <w:pPr>
        <w:pStyle w:val="5"/>
        <w:widowControl/>
        <w:spacing w:before="0" w:beforeAutospacing="0" w:after="0" w:afterAutospacing="0" w:line="560" w:lineRule="exact"/>
        <w:ind w:firstLine="640" w:firstLineChars="200"/>
        <w:rPr>
          <w:rFonts w:ascii="宋体" w:hAnsi="宋体" w:eastAsia="方正仿宋简体"/>
          <w:sz w:val="32"/>
          <w:szCs w:val="32"/>
          <w:shd w:val="clear" w:color="auto" w:fill="FFFFFF"/>
        </w:rPr>
      </w:pPr>
      <w:r>
        <w:rPr>
          <w:rFonts w:ascii="宋体" w:hAnsi="宋体" w:eastAsia="方正仿宋简体"/>
          <w:sz w:val="32"/>
          <w:szCs w:val="32"/>
          <w:shd w:val="clear" w:color="auto" w:fill="FFFFFF"/>
        </w:rPr>
        <w:t>202</w:t>
      </w:r>
      <w:r>
        <w:rPr>
          <w:rFonts w:hint="eastAsia" w:ascii="宋体" w:hAnsi="宋体" w:eastAsia="方正仿宋简体"/>
          <w:sz w:val="32"/>
          <w:szCs w:val="32"/>
          <w:shd w:val="clear" w:color="auto" w:fill="FFFFFF"/>
        </w:rPr>
        <w:t>3</w:t>
      </w:r>
      <w:r>
        <w:rPr>
          <w:rFonts w:ascii="宋体" w:hAnsi="宋体" w:eastAsia="方正仿宋简体"/>
          <w:sz w:val="32"/>
          <w:szCs w:val="32"/>
          <w:shd w:val="clear" w:color="auto" w:fill="FFFFFF"/>
        </w:rPr>
        <w:t>年，</w:t>
      </w:r>
      <w:r>
        <w:rPr>
          <w:rFonts w:hint="eastAsia" w:ascii="宋体" w:hAnsi="宋体" w:eastAsia="方正仿宋简体"/>
          <w:sz w:val="32"/>
          <w:szCs w:val="32"/>
          <w:shd w:val="clear" w:color="auto" w:fill="FFFFFF"/>
        </w:rPr>
        <w:t>霍尔果斯市公安</w:t>
      </w:r>
      <w:r>
        <w:rPr>
          <w:rFonts w:ascii="宋体" w:hAnsi="宋体" w:eastAsia="方正仿宋简体"/>
          <w:sz w:val="32"/>
          <w:szCs w:val="32"/>
          <w:shd w:val="clear" w:color="auto" w:fill="FFFFFF"/>
        </w:rPr>
        <w:t>局严格执行《条例》规定，按照自治区</w:t>
      </w:r>
      <w:r>
        <w:rPr>
          <w:rFonts w:hint="eastAsia" w:ascii="宋体" w:hAnsi="宋体" w:eastAsia="方正仿宋简体"/>
          <w:sz w:val="32"/>
          <w:szCs w:val="32"/>
          <w:shd w:val="clear" w:color="auto" w:fill="FFFFFF"/>
        </w:rPr>
        <w:t>、自治州</w:t>
      </w:r>
      <w:r>
        <w:rPr>
          <w:rFonts w:ascii="宋体" w:hAnsi="宋体" w:eastAsia="方正仿宋简体"/>
          <w:sz w:val="32"/>
          <w:szCs w:val="32"/>
          <w:shd w:val="clear" w:color="auto" w:fill="FFFFFF"/>
        </w:rPr>
        <w:t>202</w:t>
      </w:r>
      <w:r>
        <w:rPr>
          <w:rFonts w:hint="eastAsia" w:ascii="宋体" w:hAnsi="宋体" w:eastAsia="方正仿宋简体"/>
          <w:sz w:val="32"/>
          <w:szCs w:val="32"/>
          <w:shd w:val="clear" w:color="auto" w:fill="FFFFFF"/>
        </w:rPr>
        <w:t>3</w:t>
      </w:r>
      <w:r>
        <w:rPr>
          <w:rFonts w:ascii="宋体" w:hAnsi="宋体" w:eastAsia="方正仿宋简体"/>
          <w:sz w:val="32"/>
          <w:szCs w:val="32"/>
          <w:shd w:val="clear" w:color="auto" w:fill="FFFFFF"/>
        </w:rPr>
        <w:t>年政务公开要点有关安排认真开展政府信息公开工作</w:t>
      </w:r>
      <w:r>
        <w:rPr>
          <w:rFonts w:hint="eastAsia" w:ascii="宋体" w:hAnsi="宋体" w:eastAsia="方正仿宋简体"/>
          <w:sz w:val="32"/>
          <w:szCs w:val="32"/>
          <w:shd w:val="clear" w:color="auto" w:fill="FFFFFF"/>
        </w:rPr>
        <w:t>。</w:t>
      </w:r>
    </w:p>
    <w:p>
      <w:pPr>
        <w:numPr>
          <w:ilvl w:val="0"/>
          <w:numId w:val="2"/>
        </w:numPr>
        <w:spacing w:line="560" w:lineRule="exact"/>
        <w:ind w:firstLine="643" w:firstLineChars="200"/>
        <w:rPr>
          <w:rFonts w:ascii="宋体" w:hAnsi="宋体" w:eastAsia="方正仿宋简体"/>
          <w:sz w:val="32"/>
          <w:szCs w:val="32"/>
          <w:shd w:val="clear" w:color="auto" w:fill="FFFFFF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shd w:val="clear" w:color="auto" w:fill="FFFFFF"/>
        </w:rPr>
        <w:t>主动公开。</w:t>
      </w:r>
      <w:r>
        <w:rPr>
          <w:rFonts w:hint="eastAsia" w:ascii="宋体" w:hAnsi="宋体" w:eastAsia="方正仿宋简体"/>
          <w:sz w:val="32"/>
          <w:szCs w:val="32"/>
          <w:shd w:val="clear" w:color="auto" w:fill="FFFFFF"/>
        </w:rPr>
        <w:t>市公安</w:t>
      </w:r>
      <w:r>
        <w:rPr>
          <w:rFonts w:ascii="宋体" w:hAnsi="宋体" w:eastAsia="方正仿宋简体"/>
          <w:sz w:val="32"/>
          <w:szCs w:val="32"/>
          <w:shd w:val="clear" w:color="auto" w:fill="FFFFFF"/>
        </w:rPr>
        <w:t>局严格按照《中华人民共和国政府信息公开条例》主动公开本部门的政府信息，</w:t>
      </w:r>
      <w:r>
        <w:rPr>
          <w:rFonts w:hint="eastAsia" w:ascii="宋体" w:hAnsi="宋体" w:eastAsia="方正仿宋简体" w:cs="方正仿宋简体"/>
          <w:sz w:val="32"/>
          <w:szCs w:val="32"/>
        </w:rPr>
        <w:t>结合我局工作实际，紧紧围绕公安工作决策、执行、监督程序等，开展政务公开内容。对市局权责清单、户政管理、工作信息、政策解读、安全生产等方面的内容向社会公开。公开与户政业务相关的法律政策，</w:t>
      </w:r>
      <w:r>
        <w:rPr>
          <w:rFonts w:ascii="宋体" w:hAnsi="宋体" w:eastAsia="方正仿宋简体"/>
          <w:sz w:val="32"/>
          <w:szCs w:val="32"/>
          <w:shd w:val="clear" w:color="auto" w:fill="FFFFFF"/>
        </w:rPr>
        <w:t>不断提升政府信息公开工作的质量。</w:t>
      </w:r>
    </w:p>
    <w:p>
      <w:pPr>
        <w:numPr>
          <w:ilvl w:val="0"/>
          <w:numId w:val="2"/>
        </w:numPr>
        <w:spacing w:line="560" w:lineRule="exact"/>
        <w:ind w:firstLine="643" w:firstLineChars="200"/>
        <w:rPr>
          <w:rFonts w:ascii="宋体" w:hAnsi="宋体" w:eastAsia="方正仿宋简体"/>
          <w:sz w:val="32"/>
          <w:szCs w:val="32"/>
          <w:shd w:val="clear" w:color="auto" w:fill="FFFFFF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shd w:val="clear" w:color="auto" w:fill="FFFFFF"/>
        </w:rPr>
        <w:t>依申请公开。</w:t>
      </w:r>
      <w:r>
        <w:rPr>
          <w:rFonts w:ascii="宋体" w:hAnsi="宋体" w:eastAsia="方正仿宋简体"/>
          <w:sz w:val="32"/>
          <w:szCs w:val="32"/>
          <w:shd w:val="clear" w:color="auto" w:fill="FFFFFF"/>
        </w:rPr>
        <w:t>对照新修订的《中华人民共和国信息公开条例》，修改完善政府信息公开指南、依申请公开说明、依申请公开表格。截至202</w:t>
      </w:r>
      <w:r>
        <w:rPr>
          <w:rFonts w:hint="eastAsia" w:ascii="宋体" w:hAnsi="宋体" w:eastAsia="方正仿宋简体"/>
          <w:sz w:val="32"/>
          <w:szCs w:val="32"/>
          <w:shd w:val="clear" w:color="auto" w:fill="FFFFFF"/>
        </w:rPr>
        <w:t>3</w:t>
      </w:r>
      <w:r>
        <w:rPr>
          <w:rFonts w:ascii="宋体" w:hAnsi="宋体" w:eastAsia="方正仿宋简体"/>
          <w:sz w:val="32"/>
          <w:szCs w:val="32"/>
          <w:shd w:val="clear" w:color="auto" w:fill="FFFFFF"/>
        </w:rPr>
        <w:t>年12月31日，</w:t>
      </w:r>
      <w:r>
        <w:rPr>
          <w:rFonts w:hint="eastAsia" w:ascii="宋体" w:hAnsi="宋体" w:eastAsia="方正仿宋简体"/>
          <w:sz w:val="32"/>
          <w:szCs w:val="32"/>
          <w:shd w:val="clear" w:color="auto" w:fill="FFFFFF"/>
        </w:rPr>
        <w:t>市公安</w:t>
      </w:r>
      <w:r>
        <w:rPr>
          <w:rFonts w:ascii="宋体" w:hAnsi="宋体" w:eastAsia="方正仿宋简体"/>
          <w:sz w:val="32"/>
          <w:szCs w:val="32"/>
          <w:shd w:val="clear" w:color="auto" w:fill="FFFFFF"/>
        </w:rPr>
        <w:t>局未收到依申请公开信件。</w:t>
      </w:r>
    </w:p>
    <w:p>
      <w:pPr>
        <w:pStyle w:val="5"/>
        <w:widowControl/>
        <w:spacing w:before="0" w:beforeAutospacing="0" w:after="0" w:afterAutospacing="0" w:line="560" w:lineRule="exact"/>
        <w:ind w:firstLine="643" w:firstLineChars="200"/>
        <w:rPr>
          <w:rFonts w:ascii="宋体" w:hAnsi="宋体" w:eastAsia="方正仿宋简体"/>
          <w:sz w:val="32"/>
          <w:szCs w:val="32"/>
          <w:shd w:val="clear" w:color="auto" w:fill="FFFFFF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shd w:val="clear" w:color="auto" w:fill="FFFFFF"/>
        </w:rPr>
        <w:t>（三）政府信息管理。</w:t>
      </w:r>
      <w:r>
        <w:rPr>
          <w:rFonts w:ascii="宋体" w:hAnsi="宋体" w:eastAsia="方正仿宋简体"/>
          <w:sz w:val="32"/>
          <w:szCs w:val="32"/>
          <w:shd w:val="clear" w:color="auto" w:fill="FFFFFF"/>
        </w:rPr>
        <w:t>结合工作实际制定了《</w:t>
      </w:r>
      <w:r>
        <w:rPr>
          <w:rFonts w:hint="eastAsia" w:ascii="宋体" w:hAnsi="宋体" w:eastAsia="方正仿宋简体"/>
          <w:sz w:val="32"/>
          <w:szCs w:val="32"/>
          <w:shd w:val="clear" w:color="auto" w:fill="FFFFFF"/>
        </w:rPr>
        <w:t>市</w:t>
      </w:r>
      <w:r>
        <w:rPr>
          <w:rFonts w:ascii="宋体" w:hAnsi="宋体" w:eastAsia="方正仿宋简体"/>
          <w:sz w:val="32"/>
          <w:szCs w:val="32"/>
          <w:shd w:val="clear" w:color="auto" w:fill="FFFFFF"/>
        </w:rPr>
        <w:t>局202</w:t>
      </w:r>
      <w:r>
        <w:rPr>
          <w:rFonts w:hint="eastAsia" w:ascii="宋体" w:hAnsi="宋体" w:eastAsia="方正仿宋简体"/>
          <w:sz w:val="32"/>
          <w:szCs w:val="32"/>
          <w:shd w:val="clear" w:color="auto" w:fill="FFFFFF"/>
        </w:rPr>
        <w:t>3</w:t>
      </w:r>
      <w:r>
        <w:rPr>
          <w:rFonts w:ascii="宋体" w:hAnsi="宋体" w:eastAsia="方正仿宋简体"/>
          <w:sz w:val="32"/>
          <w:szCs w:val="32"/>
          <w:shd w:val="clear" w:color="auto" w:fill="FFFFFF"/>
        </w:rPr>
        <w:t>年度政务公开工作实施方案》，进一步明确了信息公开的公开主体、公开内容、公开时限以及依申请公开办理流程，将政务公开工作细化分解到各</w:t>
      </w:r>
      <w:r>
        <w:rPr>
          <w:rFonts w:hint="eastAsia" w:ascii="宋体" w:hAnsi="宋体" w:eastAsia="方正仿宋简体"/>
          <w:sz w:val="32"/>
          <w:szCs w:val="32"/>
          <w:shd w:val="clear" w:color="auto" w:fill="FFFFFF"/>
        </w:rPr>
        <w:t>部门</w:t>
      </w:r>
      <w:r>
        <w:rPr>
          <w:rFonts w:ascii="宋体" w:hAnsi="宋体" w:eastAsia="方正仿宋简体"/>
          <w:sz w:val="32"/>
          <w:szCs w:val="32"/>
          <w:shd w:val="clear" w:color="auto" w:fill="FFFFFF"/>
        </w:rPr>
        <w:t>，明确专人负责政务公开工作，充分保障了信息公开的全面性、准确性和规范性。推进</w:t>
      </w:r>
      <w:r>
        <w:rPr>
          <w:rFonts w:hint="eastAsia" w:ascii="宋体" w:hAnsi="宋体" w:eastAsia="方正仿宋简体"/>
          <w:sz w:val="32"/>
          <w:szCs w:val="32"/>
          <w:shd w:val="clear" w:color="auto" w:fill="FFFFFF"/>
        </w:rPr>
        <w:t>117</w:t>
      </w:r>
      <w:r>
        <w:rPr>
          <w:rFonts w:ascii="宋体" w:hAnsi="宋体" w:eastAsia="方正仿宋简体"/>
          <w:sz w:val="32"/>
          <w:szCs w:val="32"/>
          <w:shd w:val="clear" w:color="auto" w:fill="FFFFFF"/>
        </w:rPr>
        <w:t>项政务服务事项。</w:t>
      </w:r>
    </w:p>
    <w:p>
      <w:pPr>
        <w:spacing w:line="560" w:lineRule="exact"/>
        <w:ind w:firstLine="643" w:firstLineChars="200"/>
        <w:rPr>
          <w:rFonts w:ascii="宋体" w:hAnsi="宋体" w:eastAsia="方正仿宋简体"/>
          <w:sz w:val="32"/>
          <w:szCs w:val="32"/>
          <w:shd w:val="clear" w:color="auto" w:fill="FFFFFF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shd w:val="clear" w:color="auto" w:fill="FFFFFF"/>
        </w:rPr>
        <w:t>（四）平台建设。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shd w:val="clear" w:color="auto" w:fill="FFFFFF"/>
        </w:rPr>
        <w:t>一是</w:t>
      </w:r>
      <w:r>
        <w:rPr>
          <w:rFonts w:hint="eastAsia" w:ascii="宋体" w:hAnsi="宋体" w:eastAsia="方正仿宋简体" w:cs="方正仿宋简体"/>
          <w:sz w:val="32"/>
          <w:szCs w:val="32"/>
        </w:rPr>
        <w:t>积极推进政务公开建设，规范和完善安全生产和户政管理政务信息公开，加强政务服务中心公安窗口建设，重新梳理公安窗口业务，积极推行行政审批权改革，优化审批流程，提升服务效能。公安窗口有告知单、服务指南、格式文本资料、经办流程图等。二</w:t>
      </w:r>
      <w:r>
        <w:rPr>
          <w:rFonts w:ascii="宋体" w:hAnsi="宋体" w:eastAsia="方正仿宋简体"/>
          <w:b/>
          <w:bCs/>
          <w:sz w:val="32"/>
          <w:szCs w:val="32"/>
          <w:shd w:val="clear" w:color="auto" w:fill="FFFFFF"/>
        </w:rPr>
        <w:t>是</w:t>
      </w:r>
      <w:r>
        <w:rPr>
          <w:rFonts w:ascii="宋体" w:hAnsi="宋体" w:eastAsia="方正仿宋简体"/>
          <w:sz w:val="32"/>
          <w:szCs w:val="32"/>
          <w:shd w:val="clear" w:color="auto" w:fill="FFFFFF"/>
        </w:rPr>
        <w:t>认真做好网民留言、咨询的受理，及时处理答复。202</w:t>
      </w:r>
      <w:r>
        <w:rPr>
          <w:rFonts w:hint="eastAsia" w:ascii="宋体" w:hAnsi="宋体" w:eastAsia="方正仿宋简体"/>
          <w:sz w:val="32"/>
          <w:szCs w:val="32"/>
          <w:shd w:val="clear" w:color="auto" w:fill="FFFFFF"/>
        </w:rPr>
        <w:t>3</w:t>
      </w:r>
      <w:r>
        <w:rPr>
          <w:rFonts w:ascii="宋体" w:hAnsi="宋体" w:eastAsia="方正仿宋简体"/>
          <w:sz w:val="32"/>
          <w:szCs w:val="32"/>
          <w:shd w:val="clear" w:color="auto" w:fill="FFFFFF"/>
        </w:rPr>
        <w:t>年，我局依托“12345”政务服务便民热线，政务服务大厅，设立政策咨询综合柜台，为群众提供“一站式”政策咨询服务。</w:t>
      </w:r>
      <w:r>
        <w:rPr>
          <w:rFonts w:hint="eastAsia" w:ascii="宋体" w:hAnsi="宋体" w:eastAsia="方正仿宋简体"/>
          <w:sz w:val="32"/>
          <w:szCs w:val="32"/>
          <w:shd w:val="clear" w:color="auto" w:fill="FFFFFF"/>
        </w:rPr>
        <w:t>三</w:t>
      </w:r>
      <w:r>
        <w:rPr>
          <w:rFonts w:ascii="宋体" w:hAnsi="宋体" w:eastAsia="方正仿宋简体"/>
          <w:b/>
          <w:bCs/>
          <w:sz w:val="32"/>
          <w:szCs w:val="32"/>
          <w:shd w:val="clear" w:color="auto" w:fill="FFFFFF"/>
        </w:rPr>
        <w:t>是</w:t>
      </w:r>
      <w:r>
        <w:rPr>
          <w:rFonts w:ascii="宋体" w:hAnsi="宋体" w:eastAsia="方正仿宋简体"/>
          <w:sz w:val="32"/>
          <w:szCs w:val="32"/>
          <w:shd w:val="clear" w:color="auto" w:fill="FFFFFF"/>
        </w:rPr>
        <w:t>及时通过</w:t>
      </w:r>
      <w:r>
        <w:rPr>
          <w:rFonts w:hint="eastAsia" w:ascii="宋体" w:hAnsi="宋体" w:eastAsia="方正仿宋简体"/>
          <w:sz w:val="32"/>
          <w:szCs w:val="32"/>
          <w:shd w:val="clear" w:color="auto" w:fill="FFFFFF"/>
        </w:rPr>
        <w:t>霍尔果斯市</w:t>
      </w:r>
      <w:r>
        <w:rPr>
          <w:rFonts w:ascii="宋体" w:hAnsi="宋体" w:eastAsia="方正仿宋简体"/>
          <w:sz w:val="32"/>
          <w:szCs w:val="32"/>
          <w:shd w:val="clear" w:color="auto" w:fill="FFFFFF"/>
        </w:rPr>
        <w:t>零距离平台公开发布</w:t>
      </w:r>
      <w:r>
        <w:rPr>
          <w:rFonts w:hint="eastAsia" w:ascii="宋体" w:hAnsi="宋体" w:eastAsia="方正仿宋简体"/>
          <w:sz w:val="32"/>
          <w:szCs w:val="32"/>
          <w:shd w:val="clear" w:color="auto" w:fill="FFFFFF"/>
        </w:rPr>
        <w:t>公安</w:t>
      </w:r>
      <w:r>
        <w:rPr>
          <w:rFonts w:ascii="宋体" w:hAnsi="宋体" w:eastAsia="方正仿宋简体"/>
          <w:sz w:val="32"/>
          <w:szCs w:val="32"/>
          <w:shd w:val="clear" w:color="auto" w:fill="FFFFFF"/>
        </w:rPr>
        <w:t>工作动态、相关政策解读等信息。</w:t>
      </w:r>
    </w:p>
    <w:p>
      <w:pPr>
        <w:pStyle w:val="5"/>
        <w:widowControl/>
        <w:spacing w:before="0" w:beforeAutospacing="0" w:after="0" w:afterAutospacing="0" w:line="560" w:lineRule="exact"/>
        <w:ind w:firstLine="643" w:firstLineChars="200"/>
        <w:rPr>
          <w:rFonts w:ascii="宋体" w:hAnsi="宋体" w:eastAsia="黑体" w:cs="宋体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shd w:val="clear" w:color="auto" w:fill="FFFFFF"/>
        </w:rPr>
        <w:t>（五）监督保障。</w:t>
      </w:r>
      <w:r>
        <w:rPr>
          <w:rFonts w:ascii="宋体" w:hAnsi="宋体" w:eastAsia="方正仿宋简体"/>
          <w:b/>
          <w:bCs/>
          <w:sz w:val="32"/>
          <w:szCs w:val="32"/>
          <w:shd w:val="clear" w:color="auto" w:fill="FFFFFF"/>
        </w:rPr>
        <w:t>一是</w:t>
      </w:r>
      <w:r>
        <w:rPr>
          <w:rFonts w:hint="eastAsia" w:ascii="宋体" w:hAnsi="宋体" w:eastAsia="方正仿宋简体"/>
          <w:sz w:val="32"/>
          <w:szCs w:val="32"/>
          <w:shd w:val="clear" w:color="auto" w:fill="FFFFFF"/>
        </w:rPr>
        <w:t>严格落实霍尔果斯互联网信息发布审批表</w:t>
      </w:r>
      <w:r>
        <w:rPr>
          <w:rFonts w:ascii="宋体" w:hAnsi="宋体" w:eastAsia="方正仿宋简体"/>
          <w:sz w:val="32"/>
          <w:szCs w:val="32"/>
          <w:shd w:val="clear" w:color="auto" w:fill="FFFFFF"/>
        </w:rPr>
        <w:t>，规范网站、新媒体平台信息发布，严把公开质量关。</w:t>
      </w:r>
      <w:r>
        <w:rPr>
          <w:rFonts w:ascii="宋体" w:hAnsi="宋体" w:eastAsia="方正仿宋简体"/>
          <w:b/>
          <w:bCs/>
          <w:sz w:val="32"/>
          <w:szCs w:val="32"/>
          <w:shd w:val="clear" w:color="auto" w:fill="FFFFFF"/>
        </w:rPr>
        <w:t>二是</w:t>
      </w:r>
      <w:r>
        <w:rPr>
          <w:rFonts w:ascii="宋体" w:hAnsi="宋体" w:eastAsia="方正仿宋简体"/>
          <w:sz w:val="32"/>
          <w:szCs w:val="32"/>
          <w:shd w:val="clear" w:color="auto" w:fill="FFFFFF"/>
        </w:rPr>
        <w:t>将信息公开工作纳入年度目标考核，加强对各</w:t>
      </w:r>
      <w:r>
        <w:rPr>
          <w:rFonts w:hint="eastAsia" w:ascii="宋体" w:hAnsi="宋体" w:eastAsia="方正仿宋简体"/>
          <w:sz w:val="32"/>
          <w:szCs w:val="32"/>
          <w:shd w:val="clear" w:color="auto" w:fill="FFFFFF"/>
        </w:rPr>
        <w:t>部门</w:t>
      </w:r>
      <w:r>
        <w:rPr>
          <w:rFonts w:ascii="宋体" w:hAnsi="宋体" w:eastAsia="方正仿宋简体"/>
          <w:sz w:val="32"/>
          <w:szCs w:val="32"/>
          <w:shd w:val="clear" w:color="auto" w:fill="FFFFFF"/>
        </w:rPr>
        <w:t>政务公开工作的日常指导和监督检查。</w:t>
      </w:r>
      <w:r>
        <w:rPr>
          <w:rFonts w:ascii="宋体" w:hAnsi="宋体" w:eastAsia="方正仿宋简体"/>
          <w:b/>
          <w:bCs/>
          <w:sz w:val="32"/>
          <w:szCs w:val="32"/>
          <w:shd w:val="clear" w:color="auto" w:fill="FFFFFF"/>
        </w:rPr>
        <w:t>三是</w:t>
      </w:r>
      <w:r>
        <w:rPr>
          <w:rFonts w:ascii="宋体" w:hAnsi="宋体" w:eastAsia="方正仿宋简体"/>
          <w:sz w:val="32"/>
          <w:szCs w:val="32"/>
          <w:shd w:val="clear" w:color="auto" w:fill="FFFFFF"/>
        </w:rPr>
        <w:t>组织全</w:t>
      </w:r>
      <w:r>
        <w:rPr>
          <w:rFonts w:hint="eastAsia" w:ascii="宋体" w:hAnsi="宋体" w:eastAsia="方正仿宋简体"/>
          <w:sz w:val="32"/>
          <w:szCs w:val="32"/>
          <w:shd w:val="clear" w:color="auto" w:fill="FFFFFF"/>
        </w:rPr>
        <w:t>局民辅警</w:t>
      </w:r>
      <w:r>
        <w:rPr>
          <w:rFonts w:ascii="宋体" w:hAnsi="宋体" w:eastAsia="方正仿宋简体"/>
          <w:sz w:val="32"/>
          <w:szCs w:val="32"/>
          <w:shd w:val="clear" w:color="auto" w:fill="FFFFFF"/>
        </w:rPr>
        <w:t>学习政务公开新条例，积极参加州</w:t>
      </w:r>
      <w:r>
        <w:rPr>
          <w:rFonts w:hint="eastAsia" w:ascii="宋体" w:hAnsi="宋体" w:eastAsia="方正仿宋简体"/>
          <w:sz w:val="32"/>
          <w:szCs w:val="32"/>
          <w:shd w:val="clear" w:color="auto" w:fill="FFFFFF"/>
        </w:rPr>
        <w:t>政务服务管理局及市政务服务中心</w:t>
      </w:r>
      <w:r>
        <w:rPr>
          <w:rFonts w:ascii="宋体" w:hAnsi="宋体" w:eastAsia="方正仿宋简体"/>
          <w:sz w:val="32"/>
          <w:szCs w:val="32"/>
          <w:shd w:val="clear" w:color="auto" w:fill="FFFFFF"/>
        </w:rPr>
        <w:t>组织的政务公开工作培训，确保规范办理信息公开工作。</w:t>
      </w:r>
    </w:p>
    <w:p>
      <w:pPr>
        <w:spacing w:line="560" w:lineRule="exact"/>
        <w:ind w:firstLine="640" w:firstLineChars="200"/>
        <w:jc w:val="left"/>
        <w:rPr>
          <w:rFonts w:ascii="宋体" w:hAnsi="宋体" w:eastAsia="黑体" w:cs="宋体"/>
          <w:sz w:val="32"/>
          <w:szCs w:val="32"/>
        </w:rPr>
      </w:pPr>
      <w:r>
        <w:rPr>
          <w:rFonts w:hint="eastAsia" w:ascii="宋体" w:hAnsi="宋体" w:eastAsia="黑体" w:cs="宋体"/>
          <w:sz w:val="32"/>
          <w:szCs w:val="32"/>
        </w:rPr>
        <w:t>二、主动公开政府信息情况</w:t>
      </w:r>
    </w:p>
    <w:p>
      <w:pPr>
        <w:pStyle w:val="5"/>
        <w:widowControl/>
        <w:spacing w:before="0" w:beforeAutospacing="0" w:after="0" w:afterAutospacing="0" w:line="560" w:lineRule="exact"/>
        <w:ind w:firstLine="640" w:firstLineChars="200"/>
        <w:jc w:val="both"/>
        <w:rPr>
          <w:rFonts w:ascii="宋体" w:hAnsi="宋体" w:eastAsia="仿宋_GB2312" w:cs="宋体"/>
          <w:sz w:val="32"/>
          <w:szCs w:val="32"/>
        </w:rPr>
      </w:pPr>
      <w:r>
        <w:rPr>
          <w:rFonts w:hint="eastAsia" w:ascii="宋体" w:hAnsi="宋体" w:eastAsia="仿宋_GB2312" w:cs="宋体"/>
          <w:sz w:val="32"/>
          <w:szCs w:val="32"/>
        </w:rPr>
        <w:t>该部分以表格形式报告。表格如下：</w:t>
      </w:r>
    </w:p>
    <w:tbl>
      <w:tblPr>
        <w:tblStyle w:val="6"/>
        <w:tblW w:w="81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8"/>
        <w:gridCol w:w="2185"/>
        <w:gridCol w:w="1559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8140" w:type="dxa"/>
            <w:gridSpan w:val="4"/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708" w:type="dxa"/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信息内容</w:t>
            </w:r>
          </w:p>
        </w:tc>
        <w:tc>
          <w:tcPr>
            <w:tcW w:w="2185" w:type="dxa"/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本年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kern w:val="0"/>
                <w:sz w:val="24"/>
              </w:rPr>
              <w:t>制</w:t>
            </w:r>
            <w:r>
              <w:rPr>
                <w:rFonts w:hint="eastAsia"/>
                <w:kern w:val="0"/>
                <w:sz w:val="24"/>
              </w:rPr>
              <w:t>发件数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本年废止件数</w:t>
            </w:r>
          </w:p>
        </w:tc>
        <w:tc>
          <w:tcPr>
            <w:tcW w:w="1688" w:type="dxa"/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708" w:type="dxa"/>
            <w:shd w:val="clear" w:color="auto" w:fill="auto"/>
          </w:tcPr>
          <w:p>
            <w:pPr>
              <w:widowControl/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规章</w:t>
            </w:r>
          </w:p>
        </w:tc>
        <w:tc>
          <w:tcPr>
            <w:tcW w:w="2185" w:type="dxa"/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688" w:type="dxa"/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2708" w:type="dxa"/>
            <w:shd w:val="clear" w:color="auto" w:fill="auto"/>
          </w:tcPr>
          <w:p>
            <w:pPr>
              <w:widowControl/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规范性文件</w:t>
            </w:r>
          </w:p>
        </w:tc>
        <w:tc>
          <w:tcPr>
            <w:tcW w:w="2185" w:type="dxa"/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688" w:type="dxa"/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  <w:jc w:val="center"/>
        </w:trPr>
        <w:tc>
          <w:tcPr>
            <w:tcW w:w="2708" w:type="dxa"/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信息内容</w:t>
            </w:r>
          </w:p>
        </w:tc>
        <w:tc>
          <w:tcPr>
            <w:tcW w:w="5432" w:type="dxa"/>
            <w:gridSpan w:val="3"/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2708" w:type="dxa"/>
            <w:shd w:val="clear" w:color="auto" w:fill="auto"/>
          </w:tcPr>
          <w:p>
            <w:pPr>
              <w:widowControl/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行政许可</w:t>
            </w:r>
          </w:p>
        </w:tc>
        <w:tc>
          <w:tcPr>
            <w:tcW w:w="5432" w:type="dxa"/>
            <w:gridSpan w:val="3"/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4"/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2708" w:type="dxa"/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信息内容</w:t>
            </w:r>
          </w:p>
        </w:tc>
        <w:tc>
          <w:tcPr>
            <w:tcW w:w="5432" w:type="dxa"/>
            <w:gridSpan w:val="3"/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708" w:type="dxa"/>
            <w:shd w:val="clear" w:color="auto" w:fill="auto"/>
          </w:tcPr>
          <w:p>
            <w:pPr>
              <w:widowControl/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行政处罚</w:t>
            </w:r>
          </w:p>
        </w:tc>
        <w:tc>
          <w:tcPr>
            <w:tcW w:w="5432" w:type="dxa"/>
            <w:gridSpan w:val="3"/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2708" w:type="dxa"/>
            <w:shd w:val="clear" w:color="auto" w:fill="auto"/>
          </w:tcPr>
          <w:p>
            <w:pPr>
              <w:widowControl/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行政强制</w:t>
            </w:r>
          </w:p>
        </w:tc>
        <w:tc>
          <w:tcPr>
            <w:tcW w:w="5432" w:type="dxa"/>
            <w:gridSpan w:val="3"/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2708" w:type="dxa"/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信息内容</w:t>
            </w:r>
          </w:p>
        </w:tc>
        <w:tc>
          <w:tcPr>
            <w:tcW w:w="5432" w:type="dxa"/>
            <w:gridSpan w:val="3"/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  <w:jc w:val="center"/>
        </w:trPr>
        <w:tc>
          <w:tcPr>
            <w:tcW w:w="2708" w:type="dxa"/>
            <w:shd w:val="clear" w:color="auto" w:fill="auto"/>
          </w:tcPr>
          <w:p>
            <w:pPr>
              <w:widowControl/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行政事业性收费</w:t>
            </w:r>
          </w:p>
        </w:tc>
        <w:tc>
          <w:tcPr>
            <w:tcW w:w="5432" w:type="dxa"/>
            <w:gridSpan w:val="3"/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</w:tr>
    </w:tbl>
    <w:p>
      <w:pPr>
        <w:pStyle w:val="5"/>
        <w:widowControl/>
        <w:spacing w:before="0" w:beforeAutospacing="0" w:after="0" w:afterAutospacing="0" w:line="560" w:lineRule="exact"/>
        <w:ind w:firstLine="640" w:firstLineChars="200"/>
        <w:jc w:val="both"/>
        <w:rPr>
          <w:rFonts w:ascii="黑体" w:hAnsi="黑体" w:eastAsia="黑体" w:cs="宋体"/>
          <w:sz w:val="32"/>
          <w:szCs w:val="30"/>
        </w:rPr>
      </w:pPr>
      <w:r>
        <w:rPr>
          <w:rFonts w:hint="eastAsia" w:ascii="黑体" w:hAnsi="黑体" w:eastAsia="黑体" w:cs="宋体"/>
          <w:sz w:val="32"/>
          <w:szCs w:val="30"/>
        </w:rPr>
        <w:t>三、收到和处理政府信息公开申请情况</w:t>
      </w:r>
    </w:p>
    <w:p>
      <w:pPr>
        <w:pStyle w:val="5"/>
        <w:widowControl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该部分以表格形式报告。表格如下：</w:t>
      </w:r>
    </w:p>
    <w:tbl>
      <w:tblPr>
        <w:tblStyle w:val="6"/>
        <w:tblW w:w="92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7"/>
        <w:gridCol w:w="936"/>
        <w:gridCol w:w="3377"/>
        <w:gridCol w:w="456"/>
        <w:gridCol w:w="707"/>
        <w:gridCol w:w="707"/>
        <w:gridCol w:w="706"/>
        <w:gridCol w:w="707"/>
        <w:gridCol w:w="465"/>
        <w:gridCol w:w="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010" w:type="dxa"/>
            <w:gridSpan w:val="3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（本列数据的勾稽关系为：第一项加第二项之和，等于第三项加第四项之和）</w:t>
            </w:r>
          </w:p>
        </w:tc>
        <w:tc>
          <w:tcPr>
            <w:tcW w:w="4204" w:type="dxa"/>
            <w:gridSpan w:val="7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10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456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自然人</w:t>
            </w:r>
          </w:p>
        </w:tc>
        <w:tc>
          <w:tcPr>
            <w:tcW w:w="3292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法人或其他组织</w:t>
            </w:r>
          </w:p>
        </w:tc>
        <w:tc>
          <w:tcPr>
            <w:tcW w:w="456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5010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45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商业企业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科研机构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社会公益组织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法律服务机构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其他</w:t>
            </w:r>
          </w:p>
        </w:tc>
        <w:tc>
          <w:tcPr>
            <w:tcW w:w="45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5010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一、本年新收政府信息公开申请数量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</w:rPr>
              <w:t>0</w:t>
            </w:r>
            <w:r>
              <w:rPr>
                <w:rFonts w:cs="Calibri"/>
                <w:kern w:val="0"/>
                <w:sz w:val="24"/>
              </w:rPr>
              <w:t> 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</w:rPr>
              <w:t>0</w:t>
            </w:r>
            <w:r>
              <w:rPr>
                <w:rFonts w:cs="Calibri"/>
                <w:kern w:val="0"/>
                <w:sz w:val="24"/>
              </w:rPr>
              <w:t> 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10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二、上年结转政府信息公开申请数量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</w:rPr>
              <w:t>0</w:t>
            </w:r>
            <w:r>
              <w:rPr>
                <w:rFonts w:cs="Calibri"/>
                <w:kern w:val="0"/>
                <w:sz w:val="24"/>
              </w:rPr>
              <w:t> 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</w:rPr>
              <w:t>0</w:t>
            </w:r>
            <w:r>
              <w:rPr>
                <w:rFonts w:cs="Calibri"/>
                <w:kern w:val="0"/>
                <w:sz w:val="24"/>
              </w:rPr>
              <w:t> 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</w:rPr>
              <w:t>0</w:t>
            </w:r>
            <w:r>
              <w:rPr>
                <w:rFonts w:cs="Calibri"/>
                <w:kern w:val="0"/>
                <w:sz w:val="24"/>
              </w:rPr>
              <w:t> 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</w:rPr>
              <w:t>0</w:t>
            </w:r>
            <w:r>
              <w:rPr>
                <w:rFonts w:cs="Calibri"/>
                <w:kern w:val="0"/>
                <w:sz w:val="24"/>
              </w:rPr>
              <w:t> 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</w:rPr>
              <w:t>0</w:t>
            </w:r>
            <w:r>
              <w:rPr>
                <w:rFonts w:cs="Calibri"/>
                <w:kern w:val="0"/>
                <w:sz w:val="24"/>
              </w:rPr>
              <w:t> 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697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三、本年度办理结果</w:t>
            </w:r>
          </w:p>
        </w:tc>
        <w:tc>
          <w:tcPr>
            <w:tcW w:w="4313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（一）予以公开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</w:rPr>
              <w:t>0</w:t>
            </w:r>
            <w:r>
              <w:rPr>
                <w:rFonts w:cs="Calibri"/>
                <w:kern w:val="0"/>
                <w:sz w:val="24"/>
              </w:rPr>
              <w:t> 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</w:rPr>
              <w:t>0</w:t>
            </w:r>
            <w:r>
              <w:rPr>
                <w:rFonts w:cs="Calibri"/>
                <w:kern w:val="0"/>
                <w:sz w:val="24"/>
              </w:rPr>
              <w:t> 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6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4313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</w:rPr>
              <w:t>0</w:t>
            </w:r>
            <w:r>
              <w:rPr>
                <w:rFonts w:cs="Calibri"/>
                <w:kern w:val="0"/>
                <w:sz w:val="24"/>
              </w:rPr>
              <w:t> 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</w:rPr>
              <w:t>0</w:t>
            </w:r>
            <w:r>
              <w:rPr>
                <w:rFonts w:cs="Calibri"/>
                <w:kern w:val="0"/>
                <w:sz w:val="24"/>
              </w:rPr>
              <w:t> 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</w:rPr>
              <w:t>0</w:t>
            </w:r>
            <w:r>
              <w:rPr>
                <w:rFonts w:cs="Calibri"/>
                <w:kern w:val="0"/>
                <w:sz w:val="24"/>
              </w:rPr>
              <w:t> 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</w:rPr>
              <w:t>0</w:t>
            </w:r>
            <w:r>
              <w:rPr>
                <w:rFonts w:cs="Calibri"/>
                <w:kern w:val="0"/>
                <w:sz w:val="24"/>
              </w:rPr>
              <w:t> 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</w:rPr>
              <w:t>0</w:t>
            </w:r>
            <w:r>
              <w:rPr>
                <w:rFonts w:cs="Calibri"/>
                <w:kern w:val="0"/>
                <w:sz w:val="24"/>
              </w:rPr>
              <w:t> 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</w:rPr>
              <w:t>0</w:t>
            </w:r>
            <w:r>
              <w:rPr>
                <w:rFonts w:cs="Calibri"/>
                <w:kern w:val="0"/>
                <w:sz w:val="24"/>
              </w:rPr>
              <w:t> 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</w:rPr>
              <w:t>0</w:t>
            </w:r>
            <w:r>
              <w:rPr>
                <w:rFonts w:cs="Calibri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936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（三）不予</w:t>
            </w:r>
          </w:p>
          <w:p>
            <w:pPr>
              <w:widowControl/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公开</w:t>
            </w: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1.属于国家秘密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</w:rPr>
              <w:t>0</w:t>
            </w:r>
            <w:r>
              <w:rPr>
                <w:rFonts w:cs="Calibri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6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9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2.其他法律行政法规禁止公开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</w:rPr>
              <w:t>0</w:t>
            </w:r>
            <w:r>
              <w:rPr>
                <w:rFonts w:cs="Calibri"/>
                <w:kern w:val="0"/>
                <w:sz w:val="24"/>
              </w:rPr>
              <w:t> 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</w:rPr>
              <w:t>0</w:t>
            </w:r>
            <w:r>
              <w:rPr>
                <w:rFonts w:cs="Calibri"/>
                <w:kern w:val="0"/>
                <w:sz w:val="24"/>
              </w:rPr>
              <w:t> 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</w:rPr>
              <w:t>0</w:t>
            </w:r>
            <w:r>
              <w:rPr>
                <w:rFonts w:cs="Calibri"/>
                <w:kern w:val="0"/>
                <w:sz w:val="24"/>
              </w:rPr>
              <w:t> 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</w:rPr>
              <w:t>0</w:t>
            </w:r>
            <w:r>
              <w:rPr>
                <w:rFonts w:cs="Calibri"/>
                <w:kern w:val="0"/>
                <w:sz w:val="24"/>
              </w:rPr>
              <w:t> 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</w:rPr>
              <w:t>0</w:t>
            </w:r>
            <w:r>
              <w:rPr>
                <w:rFonts w:cs="Calibri"/>
                <w:kern w:val="0"/>
                <w:sz w:val="24"/>
              </w:rPr>
              <w:t> 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</w:rPr>
              <w:t>0</w:t>
            </w:r>
            <w:r>
              <w:rPr>
                <w:rFonts w:cs="Calibri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9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3.危及“三安全一稳定”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</w:rPr>
              <w:t>0</w:t>
            </w:r>
            <w:r>
              <w:rPr>
                <w:rFonts w:cs="Calibri"/>
                <w:kern w:val="0"/>
                <w:sz w:val="24"/>
              </w:rPr>
              <w:t> 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9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4.保护第三方合法权益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</w:rPr>
              <w:t>0</w:t>
            </w:r>
            <w:r>
              <w:rPr>
                <w:rFonts w:cs="Calibri"/>
                <w:kern w:val="0"/>
                <w:sz w:val="24"/>
              </w:rPr>
              <w:t> 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</w:rPr>
              <w:t>0</w:t>
            </w:r>
            <w:r>
              <w:rPr>
                <w:rFonts w:cs="Calibri"/>
                <w:kern w:val="0"/>
                <w:sz w:val="24"/>
              </w:rPr>
              <w:t> 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</w:rPr>
              <w:t>0</w:t>
            </w:r>
            <w:r>
              <w:rPr>
                <w:rFonts w:cs="Calibri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9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5.属于三类内部事务信息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</w:rPr>
              <w:t>0</w:t>
            </w:r>
            <w:r>
              <w:rPr>
                <w:rFonts w:cs="Calibri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9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6.属于四类过程性信息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</w:rPr>
              <w:t>0</w:t>
            </w:r>
            <w:r>
              <w:rPr>
                <w:rFonts w:cs="Calibri"/>
                <w:kern w:val="0"/>
                <w:sz w:val="24"/>
              </w:rPr>
              <w:t> 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9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7.属于行政执法案卷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jc w:val="center"/>
        </w:trPr>
        <w:tc>
          <w:tcPr>
            <w:tcW w:w="6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9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8.属于行政查询事项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</w:rPr>
              <w:t>0</w:t>
            </w:r>
            <w:r>
              <w:rPr>
                <w:rFonts w:cs="Calibri"/>
                <w:kern w:val="0"/>
                <w:sz w:val="24"/>
              </w:rPr>
              <w:t> 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</w:rPr>
              <w:t>0</w:t>
            </w:r>
            <w:r>
              <w:rPr>
                <w:rFonts w:cs="Calibri"/>
                <w:kern w:val="0"/>
                <w:sz w:val="24"/>
              </w:rPr>
              <w:t> 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</w:rPr>
              <w:t>0</w:t>
            </w:r>
            <w:r>
              <w:rPr>
                <w:rFonts w:cs="Calibri"/>
                <w:kern w:val="0"/>
                <w:sz w:val="24"/>
              </w:rPr>
              <w:t> 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6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936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（四）无法提供</w:t>
            </w: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1.本机关不掌握相关政府信息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</w:rPr>
              <w:t>0</w:t>
            </w:r>
            <w:r>
              <w:rPr>
                <w:rFonts w:cs="Calibri"/>
                <w:kern w:val="0"/>
                <w:sz w:val="24"/>
              </w:rPr>
              <w:t> 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</w:rPr>
              <w:t>0</w:t>
            </w:r>
            <w:r>
              <w:rPr>
                <w:rFonts w:cs="Calibri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9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2.没有现成信息需要另行制作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9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3.补正后申请内容仍不明确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936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（五）不予处理</w:t>
            </w: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1.信访举报投诉类申请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9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2.重复申请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9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3.要求提供公开出版物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</w:rPr>
              <w:t>0</w:t>
            </w:r>
            <w:r>
              <w:rPr>
                <w:rFonts w:cs="Calibri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9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4.无正当理由大量反复申请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</w:rPr>
              <w:t>0</w:t>
            </w:r>
            <w:r>
              <w:rPr>
                <w:rFonts w:cs="Calibri"/>
                <w:kern w:val="0"/>
                <w:sz w:val="24"/>
              </w:rPr>
              <w:t> 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9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5.要求行政机关确认或重新出具已获取信息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cs="Calibri"/>
                <w:kern w:val="0"/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936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（六）其他处理</w:t>
            </w: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1.申请人无正当理由逾期不补正、行政机关不再处理其政府信息公开申请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cs="Calibri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cs="Calibri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cs="Calibri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cs="Calibri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cs="Calibri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cs="Calibri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cs="Calibri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9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2.申请人逾期未按收费通知要求缴纳费用、行政机关不再处理其政府信息公开申请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cs="Calibri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cs="Calibri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cs="Calibri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cs="Calibri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cs="Calibri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cs="Calibri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cs="Calibri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9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3.其他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cs="Calibri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cs="Calibri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cs="Calibri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cs="Calibri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cs="Calibri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cs="Calibri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cs="Calibri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 w:hRule="atLeast"/>
          <w:jc w:val="center"/>
        </w:trPr>
        <w:tc>
          <w:tcPr>
            <w:tcW w:w="6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4313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（七）总计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10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四、结转下年度继续办理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</w:rPr>
              <w:t> </w:t>
            </w:r>
            <w:r>
              <w:rPr>
                <w:rFonts w:hint="eastAsia" w:cs="Calibri"/>
                <w:kern w:val="0"/>
                <w:sz w:val="24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</w:t>
            </w:r>
          </w:p>
        </w:tc>
      </w:tr>
    </w:tbl>
    <w:p>
      <w:pPr>
        <w:spacing w:line="560" w:lineRule="exact"/>
        <w:ind w:firstLine="636" w:firstLineChars="199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四、政府信息公开行政复议、行政诉讼情况</w:t>
      </w:r>
    </w:p>
    <w:p>
      <w:pPr>
        <w:pStyle w:val="5"/>
        <w:widowControl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该部分以表格形式报告。表格如下：</w:t>
      </w:r>
    </w:p>
    <w:tbl>
      <w:tblPr>
        <w:tblStyle w:val="6"/>
        <w:tblW w:w="94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851"/>
        <w:gridCol w:w="836"/>
        <w:gridCol w:w="706"/>
        <w:gridCol w:w="456"/>
        <w:gridCol w:w="706"/>
        <w:gridCol w:w="706"/>
        <w:gridCol w:w="711"/>
        <w:gridCol w:w="789"/>
        <w:gridCol w:w="456"/>
        <w:gridCol w:w="456"/>
        <w:gridCol w:w="527"/>
        <w:gridCol w:w="456"/>
        <w:gridCol w:w="469"/>
        <w:gridCol w:w="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95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行政复议</w:t>
            </w:r>
          </w:p>
        </w:tc>
        <w:tc>
          <w:tcPr>
            <w:tcW w:w="5732" w:type="dxa"/>
            <w:gridSpan w:val="1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6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结果维持</w:t>
            </w:r>
          </w:p>
        </w:tc>
        <w:tc>
          <w:tcPr>
            <w:tcW w:w="851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结果纠正</w:t>
            </w:r>
          </w:p>
        </w:tc>
        <w:tc>
          <w:tcPr>
            <w:tcW w:w="836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其他结果</w:t>
            </w:r>
          </w:p>
        </w:tc>
        <w:tc>
          <w:tcPr>
            <w:tcW w:w="706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尚未审结</w:t>
            </w:r>
          </w:p>
        </w:tc>
        <w:tc>
          <w:tcPr>
            <w:tcW w:w="456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总计</w:t>
            </w:r>
          </w:p>
        </w:tc>
        <w:tc>
          <w:tcPr>
            <w:tcW w:w="3368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未经复议直接起诉</w:t>
            </w:r>
          </w:p>
        </w:tc>
        <w:tc>
          <w:tcPr>
            <w:tcW w:w="2364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6" w:type="dxa"/>
            <w:vMerge w:val="continue"/>
            <w:tcBorders>
              <w:top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结果维持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结果纠正</w:t>
            </w:r>
          </w:p>
        </w:tc>
        <w:tc>
          <w:tcPr>
            <w:tcW w:w="71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其他结果</w:t>
            </w:r>
          </w:p>
        </w:tc>
        <w:tc>
          <w:tcPr>
            <w:tcW w:w="78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尚未审结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总计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结果维持</w:t>
            </w:r>
          </w:p>
        </w:tc>
        <w:tc>
          <w:tcPr>
            <w:tcW w:w="52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结果纠正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其他结果</w:t>
            </w:r>
          </w:p>
        </w:tc>
        <w:tc>
          <w:tcPr>
            <w:tcW w:w="46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尚未审结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83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71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78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52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46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</w:p>
        </w:tc>
      </w:tr>
    </w:tbl>
    <w:p>
      <w:pPr>
        <w:spacing w:line="560" w:lineRule="exact"/>
        <w:ind w:firstLine="636" w:firstLineChars="199"/>
        <w:rPr>
          <w:rFonts w:ascii="宋体" w:hAnsi="宋体" w:eastAsia="黑体" w:cs="宋体"/>
          <w:sz w:val="32"/>
          <w:szCs w:val="32"/>
        </w:rPr>
      </w:pPr>
      <w:r>
        <w:rPr>
          <w:rFonts w:hint="eastAsia" w:ascii="宋体" w:hAnsi="宋体" w:eastAsia="黑体" w:cs="宋体"/>
          <w:sz w:val="32"/>
          <w:szCs w:val="32"/>
        </w:rPr>
        <w:t>五、存在的主要问题及改进情况</w:t>
      </w:r>
    </w:p>
    <w:p>
      <w:pPr>
        <w:spacing w:line="560" w:lineRule="exact"/>
        <w:ind w:firstLine="640"/>
        <w:rPr>
          <w:rFonts w:ascii="宋体" w:hAnsi="宋体" w:eastAsia="方正仿宋简体" w:cs="方正仿宋简体"/>
          <w:sz w:val="32"/>
          <w:szCs w:val="32"/>
        </w:rPr>
      </w:pPr>
      <w:r>
        <w:rPr>
          <w:rFonts w:hint="eastAsia" w:ascii="宋体" w:hAnsi="宋体" w:eastAsia="方正楷体简体"/>
          <w:b/>
          <w:bCs/>
          <w:sz w:val="32"/>
          <w:szCs w:val="32"/>
        </w:rPr>
        <w:t>（一）</w:t>
      </w:r>
      <w:r>
        <w:rPr>
          <w:rFonts w:hint="eastAsia" w:ascii="宋体" w:hAnsi="宋体" w:eastAsia="方正仿宋简体"/>
          <w:sz w:val="32"/>
          <w:szCs w:val="32"/>
        </w:rPr>
        <w:t>市局对政策</w:t>
      </w:r>
      <w:r>
        <w:rPr>
          <w:rFonts w:ascii="宋体" w:hAnsi="宋体" w:eastAsia="方正仿宋简体"/>
          <w:sz w:val="32"/>
          <w:szCs w:val="32"/>
        </w:rPr>
        <w:t>法律法规宣传力度还不够，群众对部分</w:t>
      </w:r>
      <w:r>
        <w:rPr>
          <w:rFonts w:hint="eastAsia" w:ascii="宋体" w:hAnsi="宋体" w:eastAsia="方正仿宋简体"/>
          <w:sz w:val="32"/>
          <w:szCs w:val="32"/>
        </w:rPr>
        <w:t>户政</w:t>
      </w:r>
      <w:r>
        <w:rPr>
          <w:rFonts w:ascii="宋体" w:hAnsi="宋体" w:eastAsia="方正仿宋简体"/>
          <w:sz w:val="32"/>
          <w:szCs w:val="32"/>
        </w:rPr>
        <w:t>业务的办理时限存在</w:t>
      </w:r>
      <w:r>
        <w:rPr>
          <w:rFonts w:hint="eastAsia" w:ascii="宋体" w:hAnsi="宋体" w:eastAsia="方正仿宋简体"/>
          <w:sz w:val="32"/>
          <w:szCs w:val="32"/>
        </w:rPr>
        <w:t>知晓率不高的问题</w:t>
      </w:r>
      <w:r>
        <w:rPr>
          <w:rFonts w:ascii="宋体" w:hAnsi="宋体" w:eastAsia="方正仿宋简体"/>
          <w:sz w:val="32"/>
          <w:szCs w:val="32"/>
        </w:rPr>
        <w:t>。</w:t>
      </w:r>
      <w:r>
        <w:rPr>
          <w:rFonts w:hint="eastAsia" w:ascii="宋体" w:hAnsi="宋体" w:eastAsia="方正仿宋简体"/>
          <w:b/>
          <w:bCs/>
          <w:sz w:val="32"/>
          <w:szCs w:val="32"/>
          <w:shd w:val="clear" w:color="auto" w:fill="FFFFFF"/>
        </w:rPr>
        <w:t>改进方法：</w:t>
      </w:r>
      <w:r>
        <w:rPr>
          <w:rFonts w:ascii="宋体" w:hAnsi="宋体" w:eastAsia="方正仿宋简体"/>
          <w:sz w:val="32"/>
          <w:szCs w:val="32"/>
          <w:shd w:val="clear" w:color="auto" w:fill="FFFFFF"/>
        </w:rPr>
        <w:t>扩大信息公开的范围，提高信息更新频率，及时准确发布上级</w:t>
      </w:r>
      <w:r>
        <w:rPr>
          <w:rFonts w:hint="eastAsia" w:ascii="宋体" w:hAnsi="宋体" w:eastAsia="方正仿宋简体"/>
          <w:sz w:val="32"/>
          <w:szCs w:val="32"/>
          <w:shd w:val="clear" w:color="auto" w:fill="FFFFFF"/>
        </w:rPr>
        <w:t>公安机关</w:t>
      </w:r>
      <w:r>
        <w:rPr>
          <w:rFonts w:ascii="宋体" w:hAnsi="宋体" w:eastAsia="方正仿宋简体"/>
          <w:sz w:val="32"/>
          <w:szCs w:val="32"/>
          <w:shd w:val="clear" w:color="auto" w:fill="FFFFFF"/>
        </w:rPr>
        <w:t>制定的政策法规，并提供相应的政策解读，及时解答群众有关</w:t>
      </w:r>
      <w:r>
        <w:rPr>
          <w:rFonts w:hint="eastAsia" w:ascii="宋体" w:hAnsi="宋体" w:eastAsia="方正仿宋简体"/>
          <w:sz w:val="32"/>
          <w:szCs w:val="32"/>
          <w:shd w:val="clear" w:color="auto" w:fill="FFFFFF"/>
        </w:rPr>
        <w:t>户籍</w:t>
      </w:r>
      <w:r>
        <w:rPr>
          <w:rFonts w:ascii="宋体" w:hAnsi="宋体" w:eastAsia="方正仿宋简体"/>
          <w:sz w:val="32"/>
          <w:szCs w:val="32"/>
          <w:shd w:val="clear" w:color="auto" w:fill="FFFFFF"/>
        </w:rPr>
        <w:t>政策的咨询等。</w:t>
      </w:r>
    </w:p>
    <w:p>
      <w:pPr>
        <w:pStyle w:val="5"/>
        <w:widowControl/>
        <w:spacing w:before="0" w:beforeAutospacing="0" w:after="0" w:afterAutospacing="0" w:line="560" w:lineRule="exact"/>
        <w:ind w:firstLine="643" w:firstLineChars="200"/>
        <w:rPr>
          <w:rFonts w:ascii="宋体" w:hAnsi="宋体" w:eastAsia="方正仿宋简体" w:cs="方正仿宋简体"/>
          <w:sz w:val="32"/>
          <w:szCs w:val="32"/>
        </w:rPr>
      </w:pPr>
      <w:r>
        <w:rPr>
          <w:rFonts w:hint="eastAsia" w:ascii="宋体" w:hAnsi="宋体" w:eastAsia="方正楷体简体"/>
          <w:b/>
          <w:bCs/>
          <w:sz w:val="32"/>
          <w:szCs w:val="32"/>
        </w:rPr>
        <w:t>（二）</w:t>
      </w:r>
      <w:r>
        <w:rPr>
          <w:rFonts w:hint="eastAsia" w:ascii="宋体" w:hAnsi="宋体" w:eastAsia="方正仿宋简体" w:cs="方正仿宋简体"/>
          <w:sz w:val="32"/>
          <w:szCs w:val="32"/>
        </w:rPr>
        <w:t>政务公开内容缺乏各类政策解答、工作总结、信息公布等必要内容。</w:t>
      </w:r>
      <w:r>
        <w:rPr>
          <w:rFonts w:hint="eastAsia" w:ascii="宋体" w:hAnsi="宋体" w:eastAsia="方正仿宋简体"/>
          <w:b/>
          <w:bCs/>
          <w:sz w:val="32"/>
          <w:szCs w:val="32"/>
          <w:shd w:val="clear" w:color="auto" w:fill="FFFFFF"/>
        </w:rPr>
        <w:t>改进方法：</w:t>
      </w:r>
      <w:r>
        <w:rPr>
          <w:rFonts w:ascii="宋体" w:hAnsi="宋体" w:eastAsia="方正仿宋简体"/>
          <w:sz w:val="32"/>
          <w:szCs w:val="32"/>
          <w:shd w:val="clear" w:color="auto" w:fill="FFFFFF"/>
        </w:rPr>
        <w:t>进一步完善政务公开工作机制，强化</w:t>
      </w:r>
      <w:r>
        <w:rPr>
          <w:rFonts w:hint="eastAsia" w:ascii="宋体" w:hAnsi="宋体" w:eastAsia="方正仿宋简体"/>
          <w:sz w:val="32"/>
          <w:szCs w:val="32"/>
          <w:shd w:val="clear" w:color="auto" w:fill="FFFFFF"/>
        </w:rPr>
        <w:t>指挥中心工作</w:t>
      </w:r>
      <w:r>
        <w:rPr>
          <w:rFonts w:ascii="宋体" w:hAnsi="宋体" w:eastAsia="方正仿宋简体"/>
          <w:sz w:val="32"/>
          <w:szCs w:val="32"/>
          <w:shd w:val="clear" w:color="auto" w:fill="FFFFFF"/>
        </w:rPr>
        <w:t>职责，建立完善的政务信息审查、发布机制，形成职责分明、分工合理、各负其责、齐抓共管的工作局面。</w:t>
      </w:r>
    </w:p>
    <w:p>
      <w:pPr>
        <w:numPr>
          <w:ilvl w:val="0"/>
          <w:numId w:val="3"/>
        </w:numPr>
        <w:spacing w:line="560" w:lineRule="exact"/>
        <w:ind w:firstLine="636" w:firstLineChars="199"/>
        <w:rPr>
          <w:rFonts w:ascii="宋体" w:hAnsi="宋体" w:eastAsia="黑体" w:cs="宋体"/>
          <w:sz w:val="32"/>
          <w:szCs w:val="32"/>
        </w:rPr>
      </w:pPr>
      <w:r>
        <w:rPr>
          <w:rFonts w:hint="eastAsia" w:ascii="宋体" w:hAnsi="宋体" w:eastAsia="黑体" w:cs="宋体"/>
          <w:sz w:val="32"/>
          <w:szCs w:val="32"/>
        </w:rPr>
        <w:t>其他需要报告的事项</w:t>
      </w:r>
    </w:p>
    <w:p>
      <w:pPr>
        <w:spacing w:line="560" w:lineRule="exact"/>
        <w:rPr>
          <w:rFonts w:ascii="宋体" w:hAnsi="宋体" w:eastAsia="方正仿宋简体" w:cs="方正仿宋简体"/>
          <w:sz w:val="32"/>
          <w:szCs w:val="32"/>
        </w:rPr>
      </w:pPr>
      <w:r>
        <w:rPr>
          <w:rFonts w:hint="eastAsia" w:ascii="宋体" w:hAnsi="宋体" w:eastAsia="黑体" w:cs="宋体"/>
          <w:sz w:val="32"/>
          <w:szCs w:val="32"/>
        </w:rPr>
        <w:t xml:space="preserve">  </w:t>
      </w:r>
      <w:r>
        <w:rPr>
          <w:rFonts w:hint="eastAsia" w:ascii="宋体" w:hAnsi="宋体" w:eastAsia="方正仿宋简体" w:cs="方正仿宋简体"/>
          <w:sz w:val="32"/>
          <w:szCs w:val="32"/>
        </w:rPr>
        <w:t xml:space="preserve">  本机关按照《国务院办公厅关于印发&lt;政府信息公开信息处理费管理办法&gt;的通知》（国办函〔2020〕109号）规定的按件、按量收费标准，本年度没有产生信息公开处理费。</w:t>
      </w:r>
    </w:p>
    <w:p>
      <w:pPr>
        <w:spacing w:line="560" w:lineRule="exact"/>
        <w:rPr>
          <w:rFonts w:ascii="宋体" w:hAnsi="宋体"/>
        </w:rPr>
      </w:pPr>
    </w:p>
    <w:p>
      <w:pPr>
        <w:spacing w:line="560" w:lineRule="exact"/>
        <w:ind w:firstLine="4800" w:firstLineChars="1500"/>
        <w:rPr>
          <w:rFonts w:ascii="宋体" w:hAnsi="宋体" w:eastAsia="方正仿宋简体" w:cs="方正仿宋简体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098" w:right="1531" w:bottom="198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 w:eastAsia="宋体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t>- 6 -</w: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 w:eastAsia="宋体" w:cs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- 6 -</w: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5F2D72"/>
    <w:multiLevelType w:val="singleLevel"/>
    <w:tmpl w:val="A35F2D72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CD055BB"/>
    <w:multiLevelType w:val="singleLevel"/>
    <w:tmpl w:val="DCD055B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763CACDD"/>
    <w:multiLevelType w:val="singleLevel"/>
    <w:tmpl w:val="763CACD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2NGQ4NTMxOTMwMzA4MzliMmFjMzAwMTc4OGYwZWYifQ=="/>
  </w:docVars>
  <w:rsids>
    <w:rsidRoot w:val="0D2A2B98"/>
    <w:rsid w:val="00113BF8"/>
    <w:rsid w:val="00320899"/>
    <w:rsid w:val="0062755C"/>
    <w:rsid w:val="00C6201D"/>
    <w:rsid w:val="00E90E0B"/>
    <w:rsid w:val="00FB36A8"/>
    <w:rsid w:val="02A22EF9"/>
    <w:rsid w:val="0375245E"/>
    <w:rsid w:val="069E1391"/>
    <w:rsid w:val="08084C87"/>
    <w:rsid w:val="0D2A2B98"/>
    <w:rsid w:val="0E206D34"/>
    <w:rsid w:val="1A296D43"/>
    <w:rsid w:val="1F6D4FA8"/>
    <w:rsid w:val="1FB63935"/>
    <w:rsid w:val="240D0518"/>
    <w:rsid w:val="282E4ADB"/>
    <w:rsid w:val="2E601984"/>
    <w:rsid w:val="33BA20C8"/>
    <w:rsid w:val="399B4503"/>
    <w:rsid w:val="3C177690"/>
    <w:rsid w:val="40BC2400"/>
    <w:rsid w:val="4DAD5B2E"/>
    <w:rsid w:val="50432439"/>
    <w:rsid w:val="53156D61"/>
    <w:rsid w:val="5ADE798F"/>
    <w:rsid w:val="5B5419FF"/>
    <w:rsid w:val="600439E1"/>
    <w:rsid w:val="60BA67A8"/>
    <w:rsid w:val="63DE27AE"/>
    <w:rsid w:val="6E883137"/>
    <w:rsid w:val="6F993367"/>
    <w:rsid w:val="722E04AB"/>
    <w:rsid w:val="73255FB3"/>
    <w:rsid w:val="75EF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425</Words>
  <Characters>2425</Characters>
  <Lines>20</Lines>
  <Paragraphs>5</Paragraphs>
  <TotalTime>262</TotalTime>
  <ScaleCrop>false</ScaleCrop>
  <LinksUpToDate>false</LinksUpToDate>
  <CharactersWithSpaces>2845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2021-12-23T10:31:00Z</dcterms:created>
  <dc:creator>李静</dc:creator>
  <cp:lastModifiedBy>Administrator</cp:lastModifiedBy>
  <cp:lastPrinted>2024-01-08T02:39:00Z</cp:lastPrinted>
  <dcterms:modified xsi:type="dcterms:W3CDTF">2024-04-13T06:03:32Z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92C691C280C94DA68B05C31A8B6149ED_13</vt:lpwstr>
  </property>
</Properties>
</file>