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BC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关于起草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《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关于促进霍尔果斯经济开发区（市）网络游戏高质量发展的七条政策措施（试行）</w:t>
      </w:r>
    </w:p>
    <w:p w14:paraId="0222D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pacing w:val="-6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决策草案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）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》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说明</w:t>
      </w:r>
    </w:p>
    <w:p w14:paraId="6F71E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</w:p>
    <w:p w14:paraId="6659F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一、决策背景</w:t>
      </w:r>
    </w:p>
    <w:p w14:paraId="5DF46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方正仿宋简体" w:cs="Times New Roman"/>
          <w:color w:val="auto"/>
          <w:sz w:val="32"/>
          <w:szCs w:val="32"/>
          <w:lang w:val="en-US" w:eastAsia="zh-CN"/>
        </w:rPr>
        <w:t>为</w:t>
      </w: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加快推动霍尔果斯文化领域新质生产力，大力培育新业态，提升我市网络游戏企业竞争力，增强企业发展信心，</w:t>
      </w:r>
      <w:r>
        <w:rPr>
          <w:rFonts w:hint="eastAsia" w:ascii="宋体" w:hAnsi="宋体" w:eastAsia="方正仿宋简体" w:cs="Times New Roman"/>
          <w:color w:val="auto"/>
          <w:sz w:val="32"/>
          <w:szCs w:val="32"/>
          <w:lang w:val="en-US" w:eastAsia="zh-CN"/>
        </w:rPr>
        <w:t>助力霍尔果斯经济高质量发展，霍尔果斯市科技局根据市委领导指示要求，起草了《关于促进霍尔果斯经济开发区（市）网络游戏高质量发展的七条政策措施（试行）》</w:t>
      </w: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 w14:paraId="73BAB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二、实施主体</w:t>
      </w:r>
    </w:p>
    <w:p w14:paraId="77E7D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市科技局负责政策的组织实施，包括方案制定、组织实施、协调各方等工作。</w:t>
      </w:r>
    </w:p>
    <w:p w14:paraId="54610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三、决策依据</w:t>
      </w:r>
    </w:p>
    <w:p w14:paraId="34C03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本《措施》，充分参考了国家、自治区、自治州相关且现行有效的文件，主要依据《国务院关于促进服务消费高质量发展的意见》国发【2024】18号、《提振消费专项行动方案》、</w:t>
      </w: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《中国 (新疆) 自由贸易试验区条例》第二条、第十五条</w:t>
      </w: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数字经济领域立法相关指导精神，包括党的二十届三中全会《中共中央关于进一步全面深化改革、推进中国式现代化的决定》中 “加快构建促进数字经济发展体制机制” 的要求等法律法规和政策性文件，并结合实际而制定。</w:t>
      </w:r>
    </w:p>
    <w:p w14:paraId="260C5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四、实施期限</w:t>
      </w:r>
    </w:p>
    <w:p w14:paraId="4352C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整个决策实施过程将按照既定的程序和时间节点推进,预计在2025年8月初印发。</w:t>
      </w:r>
    </w:p>
    <w:p w14:paraId="1548B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五、经费预算</w:t>
      </w:r>
    </w:p>
    <w:p w14:paraId="4EB5E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Songti SC" w:hAnsi="Songti SC" w:eastAsia="方正仿宋简体" w:cs="Times New Roman"/>
          <w:color w:val="auto"/>
          <w:kern w:val="0"/>
          <w:sz w:val="32"/>
          <w:szCs w:val="32"/>
          <w:highlight w:val="none"/>
          <w:lang w:val="en-US" w:eastAsia="zh-CN"/>
        </w:rPr>
        <w:t>《政策措施》所需的经费主要为奖励资金。经费来源由市财政拨款支持。</w:t>
      </w:r>
    </w:p>
    <w:p w14:paraId="1F7E0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六、管理机制</w:t>
      </w:r>
    </w:p>
    <w:p w14:paraId="70E46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（一）</w:t>
      </w:r>
      <w:r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申报主体对申报材料的真实性负责，需提供诚实信用承诺书。对弄虚作假、骗取资金的，予以追回，情节严重的，将依法追究相关单位和人员责任；</w:t>
      </w:r>
    </w:p>
    <w:p w14:paraId="2AA12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（二）项目审核通过后，统一由市科技局上报市委、市政府上会研究，由市财政局通过国库集中支付方式拨付至企业账户；</w:t>
      </w:r>
    </w:p>
    <w:p w14:paraId="40933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（三）市科技局、市财政局每年对资金使用情况开展专项审计，结果向社会公开。</w:t>
      </w:r>
    </w:p>
    <w:p w14:paraId="29A71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 w14:paraId="31965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</w:p>
    <w:p w14:paraId="09F2291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right"/>
        <w:textAlignment w:val="auto"/>
        <w:rPr>
          <w:rFonts w:hint="default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 xml:space="preserve">霍尔果斯市科学技术局    </w:t>
      </w:r>
    </w:p>
    <w:p w14:paraId="1A832E93">
      <w:pPr>
        <w:pStyle w:val="10"/>
        <w:keepNext w:val="0"/>
        <w:keepLines w:val="0"/>
        <w:pageBreakBefore w:val="0"/>
        <w:widowControl w:val="0"/>
        <w:tabs>
          <w:tab w:val="left" w:pos="4813"/>
          <w:tab w:val="center" w:pos="6162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after="0" w:line="520" w:lineRule="exact"/>
        <w:ind w:left="3360" w:leftChars="1600" w:firstLine="0" w:firstLineChars="0"/>
        <w:jc w:val="center"/>
        <w:textAlignment w:val="auto"/>
        <w:rPr>
          <w:rFonts w:hint="default" w:ascii="宋体" w:hAnsi="宋体" w:eastAsia="方正仿宋简体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 xml:space="preserve">            2025年7月1</w:t>
      </w:r>
      <w:bookmarkStart w:id="0" w:name="_GoBack"/>
      <w:bookmarkEnd w:id="0"/>
      <w:r>
        <w:rPr>
          <w:rFonts w:hint="eastAsia" w:ascii="宋体" w:hAnsi="宋体" w:eastAsia="方正仿宋简体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 xml:space="preserve">日   </w:t>
      </w:r>
    </w:p>
    <w:sectPr>
      <w:footerReference r:id="rId3" w:type="default"/>
      <w:pgSz w:w="11906" w:h="16838"/>
      <w:pgMar w:top="2098" w:right="1531" w:bottom="1984" w:left="1531" w:header="1134" w:footer="158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简体">
    <w:altName w:val="汉仪楷体简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9976C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AB5F0B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AB5F0B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C1F131A"/>
    <w:rsid w:val="00CF5381"/>
    <w:rsid w:val="170610F8"/>
    <w:rsid w:val="30ED658F"/>
    <w:rsid w:val="3CE415D3"/>
    <w:rsid w:val="3FD1DCE0"/>
    <w:rsid w:val="507F2073"/>
    <w:rsid w:val="5F79477A"/>
    <w:rsid w:val="5FF71E9F"/>
    <w:rsid w:val="735DB2CA"/>
    <w:rsid w:val="7AB9ABEE"/>
    <w:rsid w:val="7EEF1927"/>
    <w:rsid w:val="7EFFCE97"/>
    <w:rsid w:val="7FF3B14F"/>
    <w:rsid w:val="7FFFB63C"/>
    <w:rsid w:val="AFDF6E63"/>
    <w:rsid w:val="BC36F347"/>
    <w:rsid w:val="BCBDB7B3"/>
    <w:rsid w:val="DF95EC45"/>
    <w:rsid w:val="DFB7E4F1"/>
    <w:rsid w:val="DFED7F2D"/>
    <w:rsid w:val="E77E5972"/>
    <w:rsid w:val="F6FE54FB"/>
    <w:rsid w:val="F7CFAE3B"/>
    <w:rsid w:val="F8FF4938"/>
    <w:rsid w:val="FC1F131A"/>
    <w:rsid w:val="FD7FAB13"/>
    <w:rsid w:val="FDFCB551"/>
    <w:rsid w:val="FEFCABB6"/>
    <w:rsid w:val="FF52D090"/>
    <w:rsid w:val="FFD162F0"/>
    <w:rsid w:val="FFFDD8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方正楷体简体"/>
      <w:b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  <w:rPr>
      <w:rFonts w:ascii="Calibri" w:hAnsi="Calibri" w:eastAsia="仿宋"/>
      <w:sz w:val="32"/>
    </w:rPr>
  </w:style>
  <w:style w:type="paragraph" w:styleId="6">
    <w:name w:val="Body Text"/>
    <w:basedOn w:val="1"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7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Body Text First Indent 2"/>
    <w:basedOn w:val="7"/>
    <w:next w:val="1"/>
    <w:qFormat/>
    <w:uiPriority w:val="0"/>
    <w:pPr>
      <w:ind w:firstLine="420" w:firstLineChars="200"/>
    </w:pPr>
  </w:style>
  <w:style w:type="character" w:styleId="13">
    <w:name w:val="Strong"/>
    <w:basedOn w:val="12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692</Words>
  <Characters>698</Characters>
  <Lines>0</Lines>
  <Paragraphs>0</Paragraphs>
  <TotalTime>0</TotalTime>
  <ScaleCrop>false</ScaleCrop>
  <LinksUpToDate>false</LinksUpToDate>
  <CharactersWithSpaces>699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2024-10-03T00:01:00Z</dcterms:created>
  <dc:creator>suma</dc:creator>
  <cp:lastModifiedBy>两块雪糕</cp:lastModifiedBy>
  <cp:lastPrinted>2025-07-28T18:39:00Z</cp:lastPrinted>
  <dcterms:modified xsi:type="dcterms:W3CDTF">2025-12-17T15:58:45Z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17F2071EB5DD40449B5A23F914549D8F_13</vt:lpwstr>
  </property>
  <property fmtid="{D5CDD505-2E9C-101B-9397-08002B2CF9AE}" pid="4" name="KSOTemplateDocerSaveRecord">
    <vt:lpwstr>eyJoZGlkIjoiZjA2MjBlOTIwMTgyNzcwYWY0OGM5MDc1MjkwZTY5ODciLCJ1c2VySWQiOiIzODU3MzM2ODIifQ==</vt:lpwstr>
  </property>
</Properties>
</file>