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1A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</w:p>
    <w:p w14:paraId="2A2EB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关于《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关于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促进霍尔果斯经济开发区（市）网络游戏高质量发展的七条政策措施（试行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》的决策草案</w:t>
      </w:r>
    </w:p>
    <w:p w14:paraId="0D2D5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宋体" w:hAnsi="宋体" w:eastAsia="方正仿宋简体" w:cs="Times New Roman"/>
          <w:color w:val="auto"/>
          <w:sz w:val="32"/>
          <w:szCs w:val="32"/>
          <w:lang w:val="en-US" w:eastAsia="zh-CN"/>
        </w:rPr>
      </w:pPr>
    </w:p>
    <w:p w14:paraId="6659F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一、决策背景</w:t>
      </w:r>
    </w:p>
    <w:p w14:paraId="5DF46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仿宋简体" w:cs="Times New Roman"/>
          <w:color w:val="auto"/>
          <w:sz w:val="32"/>
          <w:szCs w:val="32"/>
          <w:lang w:val="en-US" w:eastAsia="zh-CN"/>
        </w:rPr>
        <w:t>为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加快推动霍尔果斯文化领域新质生产力，大力培育新业态，提升我市网络游戏企业竞争力，增强企业发展信心，</w:t>
      </w:r>
      <w:r>
        <w:rPr>
          <w:rFonts w:hint="eastAsia" w:ascii="宋体" w:hAnsi="宋体" w:eastAsia="方正仿宋简体" w:cs="Times New Roman"/>
          <w:color w:val="auto"/>
          <w:sz w:val="32"/>
          <w:szCs w:val="32"/>
          <w:lang w:val="en-US" w:eastAsia="zh-CN"/>
        </w:rPr>
        <w:t>助力霍尔果斯经济高质量发展，霍尔果斯市科技局根据市委领导指示要求，起草了《关于促进霍尔果斯经济开发区（市）网络游戏高质量发展的七条政策措施（试行）》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 w14:paraId="73BAB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二、实施主体</w:t>
      </w:r>
    </w:p>
    <w:p w14:paraId="77E7D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市科技局负责政策的组织实施，包括方案制定、组织实施、协调各方等工作。</w:t>
      </w:r>
    </w:p>
    <w:p w14:paraId="54610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三、决策依据</w:t>
      </w:r>
    </w:p>
    <w:p w14:paraId="34C03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本《措施》，充分参考了国家、自治区、自治州相关且现行有效的文件，主要依据《国务院关于促进服务消费高质量发展的意见》国发【2024】18号、《提振消费专项行动方案》、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《中国 (新疆) 自由贸易试验区条例》第二条、第十五条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数字经济领域立法相关指导精神，包括党的二十届三中全会《中共中央关于进一步全面深化改革、推进中国式现代化的决定》中 “加快构建促进数字经济发展体制机制” 的要求等法律法规和政策性文件，并结合实际而制定。</w:t>
      </w:r>
    </w:p>
    <w:p w14:paraId="4491F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四、制定过程</w:t>
      </w:r>
    </w:p>
    <w:p w14:paraId="50CBD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2025年6月26日科技局初步拟定《关于促进霍尔果斯经济开发区（市）网络游戏高质量发展的七条政策措施（征求意见稿）》。</w:t>
      </w:r>
    </w:p>
    <w:p w14:paraId="1A842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2025年7月1日通过在各街道公示栏张贴的方式，广泛征求了社会公众的意见。</w:t>
      </w:r>
    </w:p>
    <w:p w14:paraId="5FA45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2025年7月4日对文件进行合规性审查。</w:t>
      </w:r>
    </w:p>
    <w:p w14:paraId="69DF36B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default" w:ascii="宋体" w:hAnsi="宋体" w:eastAsia="方正仿宋简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2025年7月23日对文件提请开展公平竞争审查，同步通过0A向霍尔果斯市各委、办、局发出意见征求函10份，收到回函10份，无意见3个，7个部门提出意见建议9个。</w:t>
      </w:r>
      <w:r>
        <w:rPr>
          <w:rFonts w:hint="eastAsia" w:ascii="宋体" w:hAnsi="宋体" w:eastAsia="方正仿宋简体" w:cs="Times New Roman"/>
          <w:color w:val="auto"/>
          <w:kern w:val="2"/>
          <w:sz w:val="32"/>
          <w:szCs w:val="32"/>
          <w:lang w:val="en-US" w:eastAsia="zh-CN" w:bidi="ar-SA"/>
        </w:rPr>
        <w:t>如：七条措施中第二条完善版权服务机制（三）版权纠纷服务中的“依托驿路国际法务区提供风险评估报告及维权方案”修改为“依托霍尔果斯驿路国际法务，充分发挥入驻机构作用，为企业提供风险评估、维权保护等专业服务”，</w:t>
      </w:r>
      <w:r>
        <w:rPr>
          <w:rFonts w:hint="eastAsia" w:ascii="宋体" w:hAnsi="宋体" w:eastAsia="方正仿宋简体" w:cs="Times New Roman"/>
          <w:color w:val="auto"/>
          <w:spacing w:val="-6"/>
          <w:kern w:val="2"/>
          <w:sz w:val="32"/>
          <w:szCs w:val="32"/>
          <w:lang w:val="en-US" w:eastAsia="zh-CN" w:bidi="ar-SA"/>
        </w:rPr>
        <w:t>其中吸收采纳 8项意见建议后修改完善。</w:t>
      </w:r>
    </w:p>
    <w:p w14:paraId="3B49A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2025年7月25日文件通过工信局、科技局第14次党组（扩大）会议，同意报送市委。</w:t>
      </w:r>
    </w:p>
    <w:p w14:paraId="6B9DA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2025年7月28日提请市委常委会研究审议。</w:t>
      </w:r>
    </w:p>
    <w:p w14:paraId="55E50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2025年7月29日市委常委会研究通过，同意印发。</w:t>
      </w:r>
    </w:p>
    <w:p w14:paraId="708A1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default" w:ascii="Songti SC" w:hAnsi="Songti SC" w:eastAsia="方正仿宋简体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2025年8月8日，联合新闻出版局、文旅局、市监局联合印发。</w:t>
      </w:r>
    </w:p>
    <w:p w14:paraId="260C5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五、实施期限</w:t>
      </w:r>
    </w:p>
    <w:p w14:paraId="4352C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整个决策实施过程将按照既定的程序和时间节点推进,预计在</w:t>
      </w:r>
      <w:bookmarkStart w:id="0" w:name="_GoBack"/>
      <w:bookmarkEnd w:id="0"/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2025年8月初印发。</w:t>
      </w:r>
    </w:p>
    <w:p w14:paraId="1548B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六、经费预算</w:t>
      </w:r>
    </w:p>
    <w:p w14:paraId="4EB5E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《政策措施》所需的经费主要为奖励资金。经费来源由市财政拨款支持。</w:t>
      </w:r>
    </w:p>
    <w:p w14:paraId="1F7E0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七、管理机制</w:t>
      </w:r>
    </w:p>
    <w:p w14:paraId="70E46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（一）</w:t>
      </w: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申报主体对申报材料的真实性负责，需提供诚实信用承诺书。对弄虚作假、骗取资金的，予以追回，情节严重的，将依法追究相关单位和人员责任；</w:t>
      </w:r>
    </w:p>
    <w:p w14:paraId="2AA12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（二）项目审核通过后，统一由市科技局上报市委、市政府上会研究，由市财政局通过国库集中支付方式拨付至企业账户；</w:t>
      </w:r>
    </w:p>
    <w:p w14:paraId="40933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（三）市科技局、市财政局每年对资金使用情况开展专项审计，结果向社会公开。</w:t>
      </w:r>
    </w:p>
    <w:p w14:paraId="29A71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 w14:paraId="31965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 w14:paraId="09F229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rPr>
          <w:rFonts w:hint="default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 xml:space="preserve">霍尔果斯市科学技术局    </w:t>
      </w:r>
    </w:p>
    <w:p w14:paraId="5AD361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rPr>
          <w:rFonts w:hint="default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 xml:space="preserve">2025年7月25日     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F6F81"/>
    <w:rsid w:val="62EEC7B8"/>
    <w:rsid w:val="637BFA22"/>
    <w:rsid w:val="BF37FC28"/>
    <w:rsid w:val="CEFE1E10"/>
    <w:rsid w:val="EF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5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6">
    <w:name w:val="Body Text First Indent 2"/>
    <w:basedOn w:val="5"/>
    <w:next w:val="1"/>
    <w:qFormat/>
    <w:uiPriority w:val="0"/>
    <w:pPr>
      <w:ind w:firstLine="420" w:firstLineChars="200"/>
    </w:p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2025-12-04T08:32:00Z</dcterms:created>
  <dc:creator>两块雪糕</dc:creator>
  <cp:lastModifiedBy>两块雪糕</cp:lastModifiedBy>
  <dcterms:modified xsi:type="dcterms:W3CDTF">2025-12-03T18:16:09Z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86CBC1470B10C0D6B8F52F697C564419_41</vt:lpwstr>
  </property>
</Properties>
</file>