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974C07A">
      <w:pPr>
        <w:jc w:val="center"/>
        <w:rPr>
          <w:rFonts w:hint="eastAsia" w:ascii="Times New Roman" w:hAnsi="Times New Roman" w:eastAsia="方正小标宋简体" w:cs="Times New Roman"/>
          <w:sz w:val="44"/>
          <w:szCs w:val="44"/>
          <w:lang w:val="en-US" w:eastAsia="zh-CN"/>
        </w:rPr>
      </w:pPr>
    </w:p>
    <w:p w14:paraId="37001083">
      <w:pPr>
        <w:jc w:val="center"/>
        <w:rPr>
          <w:rFonts w:hint="default" w:ascii="Times New Roman" w:hAnsi="Times New Roman" w:eastAsia="方正小标宋简体" w:cs="Times New Roman"/>
          <w:sz w:val="44"/>
          <w:szCs w:val="44"/>
          <w:lang w:val="en-US" w:eastAsia="zh-CN"/>
        </w:rPr>
      </w:pPr>
      <w:r>
        <w:rPr>
          <w:rFonts w:hint="eastAsia" w:ascii="Times New Roman" w:hAnsi="Times New Roman" w:eastAsia="方正小标宋简体" w:cs="Times New Roman"/>
          <w:sz w:val="44"/>
          <w:szCs w:val="44"/>
          <w:lang w:val="en-US" w:eastAsia="zh-CN"/>
        </w:rPr>
        <w:t>《关于促进霍尔果斯经济开发区（市）网络游戏高质量发展的七条政策措施》的决策依据</w:t>
      </w:r>
    </w:p>
    <w:p w14:paraId="1D975F0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黑体" w:hAnsi="黑体" w:eastAsia="黑体" w:cs="黑体"/>
          <w:color w:val="auto"/>
          <w:kern w:val="0"/>
          <w:sz w:val="32"/>
          <w:szCs w:val="32"/>
          <w:highlight w:val="none"/>
          <w:lang w:val="en-US" w:eastAsia="zh-CN"/>
        </w:rPr>
      </w:pPr>
    </w:p>
    <w:p w14:paraId="7317F90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黑体" w:hAnsi="黑体" w:eastAsia="黑体" w:cs="黑体"/>
          <w:color w:val="auto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color w:val="auto"/>
          <w:kern w:val="0"/>
          <w:sz w:val="32"/>
          <w:szCs w:val="32"/>
          <w:highlight w:val="none"/>
          <w:lang w:val="en-US" w:eastAsia="zh-CN"/>
        </w:rPr>
        <w:t>一、审查依据​</w:t>
      </w:r>
    </w:p>
    <w:p w14:paraId="7401492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1" w:firstLineChars="200"/>
        <w:jc w:val="left"/>
        <w:textAlignment w:val="auto"/>
        <w:rPr>
          <w:rFonts w:hint="default" w:ascii="Songti SC" w:hAnsi="Songti SC" w:eastAsia="方正仿宋简体" w:cs="Times New Roman"/>
          <w:color w:val="auto"/>
          <w:kern w:val="0"/>
          <w:sz w:val="32"/>
          <w:szCs w:val="32"/>
          <w:highlight w:val="none"/>
          <w:lang w:val="en-US" w:eastAsia="zh-CN"/>
        </w:rPr>
      </w:pPr>
      <w:r>
        <w:rPr>
          <w:rFonts w:hint="default" w:ascii="方正楷体简体" w:hAnsi="方正楷体简体" w:eastAsia="方正楷体简体" w:cs="方正楷体简体"/>
          <w:b/>
          <w:bCs/>
          <w:color w:val="000000"/>
          <w:kern w:val="2"/>
          <w:sz w:val="32"/>
          <w:szCs w:val="32"/>
          <w:highlight w:val="none"/>
          <w:lang w:val="en-US" w:eastAsia="zh-CN" w:bidi="ar-SA"/>
        </w:rPr>
        <w:t>（一）法律</w:t>
      </w:r>
      <w:r>
        <w:rPr>
          <w:rFonts w:hint="eastAsia" w:ascii="方正楷体简体" w:hAnsi="方正楷体简体" w:eastAsia="方正楷体简体" w:cs="方正楷体简体"/>
          <w:b/>
          <w:bCs/>
          <w:color w:val="000000"/>
          <w:kern w:val="2"/>
          <w:sz w:val="32"/>
          <w:szCs w:val="32"/>
          <w:highlight w:val="none"/>
          <w:lang w:val="en-US" w:eastAsia="zh-CN" w:bidi="ar-SA"/>
        </w:rPr>
        <w:t>法规</w:t>
      </w:r>
      <w:r>
        <w:rPr>
          <w:rFonts w:hint="default" w:ascii="方正楷体简体" w:hAnsi="方正楷体简体" w:eastAsia="方正楷体简体" w:cs="方正楷体简体"/>
          <w:b/>
          <w:bCs/>
          <w:color w:val="000000"/>
          <w:kern w:val="2"/>
          <w:sz w:val="32"/>
          <w:szCs w:val="32"/>
          <w:highlight w:val="none"/>
          <w:lang w:val="en-US" w:eastAsia="zh-CN" w:bidi="ar-SA"/>
        </w:rPr>
        <w:t>依据</w:t>
      </w:r>
      <w:r>
        <w:rPr>
          <w:rFonts w:hint="default" w:ascii="Songti SC" w:hAnsi="Songti SC" w:eastAsia="方正仿宋简体" w:cs="Times New Roman"/>
          <w:color w:val="auto"/>
          <w:kern w:val="0"/>
          <w:sz w:val="32"/>
          <w:szCs w:val="32"/>
          <w:highlight w:val="none"/>
          <w:lang w:val="en-US" w:eastAsia="zh-CN"/>
        </w:rPr>
        <w:t>​</w:t>
      </w:r>
    </w:p>
    <w:p w14:paraId="60B09FF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Songti SC" w:hAnsi="Songti SC" w:eastAsia="方正仿宋简体" w:cs="Times New Roman"/>
          <w:color w:val="auto"/>
          <w:kern w:val="0"/>
          <w:sz w:val="32"/>
          <w:szCs w:val="32"/>
          <w:highlight w:val="none"/>
          <w:lang w:val="en-US" w:eastAsia="zh-CN"/>
        </w:rPr>
      </w:pPr>
      <w:r>
        <w:rPr>
          <w:rFonts w:hint="default" w:ascii="Songti SC" w:hAnsi="Songti SC" w:eastAsia="方正仿宋简体" w:cs="Times New Roman"/>
          <w:color w:val="auto"/>
          <w:kern w:val="0"/>
          <w:sz w:val="32"/>
          <w:szCs w:val="32"/>
          <w:highlight w:val="none"/>
          <w:lang w:val="en-US" w:eastAsia="zh-CN"/>
        </w:rPr>
        <w:t>数字经济领域立法相关指导精神，包括党</w:t>
      </w:r>
      <w:bookmarkStart w:id="0" w:name="_GoBack"/>
      <w:bookmarkEnd w:id="0"/>
      <w:r>
        <w:rPr>
          <w:rFonts w:hint="default" w:ascii="Songti SC" w:hAnsi="Songti SC" w:eastAsia="方正仿宋简体" w:cs="Times New Roman"/>
          <w:color w:val="auto"/>
          <w:kern w:val="0"/>
          <w:sz w:val="32"/>
          <w:szCs w:val="32"/>
          <w:highlight w:val="none"/>
          <w:lang w:val="en-US" w:eastAsia="zh-CN"/>
        </w:rPr>
        <w:t>的二十届三中全会《中共中央关于进一步全面深化改革、推进中国式现代化的决定》中</w:t>
      </w:r>
      <w:r>
        <w:rPr>
          <w:rFonts w:hint="eastAsia" w:ascii="Songti SC" w:hAnsi="Songti SC" w:eastAsia="方正仿宋简体" w:cs="Times New Roman"/>
          <w:color w:val="auto"/>
          <w:kern w:val="0"/>
          <w:sz w:val="32"/>
          <w:szCs w:val="32"/>
          <w:highlight w:val="none"/>
          <w:lang w:val="en-US" w:eastAsia="zh-CN"/>
        </w:rPr>
        <w:t>“</w:t>
      </w:r>
      <w:r>
        <w:rPr>
          <w:rFonts w:hint="default" w:ascii="Songti SC" w:hAnsi="Songti SC" w:eastAsia="方正仿宋简体" w:cs="Times New Roman"/>
          <w:color w:val="auto"/>
          <w:kern w:val="0"/>
          <w:sz w:val="32"/>
          <w:szCs w:val="32"/>
          <w:highlight w:val="none"/>
          <w:lang w:val="en-US" w:eastAsia="zh-CN"/>
        </w:rPr>
        <w:t>加快构建促进数字经济发展体制机制</w:t>
      </w:r>
      <w:r>
        <w:rPr>
          <w:rFonts w:hint="eastAsia" w:ascii="Songti SC" w:hAnsi="Songti SC" w:eastAsia="方正仿宋简体" w:cs="Times New Roman"/>
          <w:color w:val="auto"/>
          <w:kern w:val="0"/>
          <w:sz w:val="32"/>
          <w:szCs w:val="32"/>
          <w:highlight w:val="none"/>
          <w:lang w:val="en-US" w:eastAsia="zh-CN"/>
        </w:rPr>
        <w:t>”</w:t>
      </w:r>
      <w:r>
        <w:rPr>
          <w:rFonts w:hint="default" w:ascii="Songti SC" w:hAnsi="Songti SC" w:eastAsia="方正仿宋简体" w:cs="Times New Roman"/>
          <w:color w:val="auto"/>
          <w:kern w:val="0"/>
          <w:sz w:val="32"/>
          <w:szCs w:val="32"/>
          <w:highlight w:val="none"/>
          <w:lang w:val="en-US" w:eastAsia="zh-CN"/>
        </w:rPr>
        <w:t>的要求，以及数字经济立法需遵循的创新与安全平衡、公平竞争等原则。​</w:t>
      </w:r>
    </w:p>
    <w:p w14:paraId="32C42B2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1" w:firstLineChars="200"/>
        <w:jc w:val="left"/>
        <w:textAlignment w:val="auto"/>
        <w:rPr>
          <w:rFonts w:hint="default" w:ascii="方正楷体简体" w:hAnsi="方正楷体简体" w:eastAsia="方正楷体简体" w:cs="方正楷体简体"/>
          <w:b/>
          <w:bCs/>
          <w:color w:val="000000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default" w:ascii="方正楷体简体" w:hAnsi="方正楷体简体" w:eastAsia="方正楷体简体" w:cs="方正楷体简体"/>
          <w:b/>
          <w:bCs/>
          <w:color w:val="000000"/>
          <w:kern w:val="2"/>
          <w:sz w:val="32"/>
          <w:szCs w:val="32"/>
          <w:highlight w:val="none"/>
          <w:lang w:val="en-US" w:eastAsia="zh-CN" w:bidi="ar-SA"/>
        </w:rPr>
        <w:t>（二）</w:t>
      </w:r>
      <w:r>
        <w:rPr>
          <w:rFonts w:hint="eastAsia" w:ascii="方正楷体简体" w:hAnsi="方正楷体简体" w:eastAsia="方正楷体简体" w:cs="方正楷体简体"/>
          <w:b/>
          <w:bCs/>
          <w:color w:val="000000"/>
          <w:kern w:val="2"/>
          <w:sz w:val="32"/>
          <w:szCs w:val="32"/>
          <w:highlight w:val="none"/>
          <w:lang w:val="en-US" w:eastAsia="zh-CN" w:bidi="ar-SA"/>
        </w:rPr>
        <w:t>政策依据</w:t>
      </w:r>
    </w:p>
    <w:p w14:paraId="5378F02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Songti SC" w:hAnsi="Songti SC" w:eastAsia="方正仿宋简体" w:cs="Times New Roman"/>
          <w:color w:val="auto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Songti SC" w:hAnsi="Songti SC" w:eastAsia="方正仿宋简体" w:cs="Times New Roman"/>
          <w:color w:val="auto"/>
          <w:kern w:val="0"/>
          <w:sz w:val="32"/>
          <w:szCs w:val="32"/>
          <w:highlight w:val="none"/>
          <w:lang w:val="en-US" w:eastAsia="zh-CN"/>
        </w:rPr>
        <w:t>《国务院关于促进服务消费高质量发展的意见》 国发【2024】18号</w:t>
      </w:r>
    </w:p>
    <w:p w14:paraId="7F30B2D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Songti SC" w:hAnsi="Songti SC" w:eastAsia="方正仿宋简体" w:cs="Times New Roman"/>
          <w:color w:val="auto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Songti SC" w:hAnsi="Songti SC" w:eastAsia="方正仿宋简体" w:cs="Times New Roman"/>
          <w:color w:val="auto"/>
          <w:kern w:val="0"/>
          <w:sz w:val="32"/>
          <w:szCs w:val="32"/>
          <w:highlight w:val="none"/>
          <w:lang w:val="en-US" w:eastAsia="zh-CN"/>
        </w:rPr>
        <w:t>《提振消费专项行动方案》</w:t>
      </w:r>
    </w:p>
    <w:p w14:paraId="34C03B6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Songti SC" w:hAnsi="Songti SC" w:eastAsia="方正仿宋简体" w:cs="Times New Roman"/>
          <w:color w:val="auto"/>
          <w:kern w:val="0"/>
          <w:sz w:val="32"/>
          <w:szCs w:val="32"/>
          <w:highlight w:val="none"/>
          <w:lang w:val="en-US" w:eastAsia="zh-CN"/>
        </w:rPr>
      </w:pPr>
      <w:r>
        <w:rPr>
          <w:rFonts w:hint="default" w:ascii="Songti SC" w:hAnsi="Songti SC" w:eastAsia="方正仿宋简体" w:cs="Times New Roman"/>
          <w:color w:val="auto"/>
          <w:kern w:val="0"/>
          <w:sz w:val="32"/>
          <w:szCs w:val="32"/>
          <w:highlight w:val="none"/>
          <w:lang w:val="en-US" w:eastAsia="zh-CN"/>
        </w:rPr>
        <w:t>《中国 (新疆) 自由贸易试验区条例》第二条、第十五条</w:t>
      </w:r>
    </w:p>
    <w:p w14:paraId="4A2159A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Songti SC" w:hAnsi="Songti SC" w:eastAsia="方正仿宋简体" w:cs="Times New Roman"/>
          <w:color w:val="auto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color w:val="auto"/>
          <w:kern w:val="0"/>
          <w:sz w:val="32"/>
          <w:szCs w:val="32"/>
          <w:highlight w:val="none"/>
          <w:lang w:val="en-US" w:eastAsia="zh-CN"/>
        </w:rPr>
        <w:t>二、合法性审查内容</w:t>
      </w:r>
      <w:r>
        <w:rPr>
          <w:rFonts w:hint="default" w:ascii="Songti SC" w:hAnsi="Songti SC" w:eastAsia="方正仿宋简体" w:cs="Times New Roman"/>
          <w:color w:val="auto"/>
          <w:kern w:val="0"/>
          <w:sz w:val="32"/>
          <w:szCs w:val="32"/>
          <w:highlight w:val="none"/>
          <w:lang w:val="en-US" w:eastAsia="zh-CN"/>
        </w:rPr>
        <w:t>​</w:t>
      </w:r>
    </w:p>
    <w:p w14:paraId="32983A1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1" w:firstLineChars="200"/>
        <w:jc w:val="left"/>
        <w:textAlignment w:val="auto"/>
        <w:rPr>
          <w:rFonts w:hint="default" w:ascii="Songti SC" w:hAnsi="Songti SC" w:eastAsia="方正仿宋简体" w:cs="Times New Roman"/>
          <w:color w:val="auto"/>
          <w:kern w:val="0"/>
          <w:sz w:val="32"/>
          <w:szCs w:val="32"/>
          <w:highlight w:val="none"/>
          <w:lang w:val="en-US" w:eastAsia="zh-CN"/>
        </w:rPr>
      </w:pPr>
      <w:r>
        <w:rPr>
          <w:rFonts w:hint="default" w:ascii="方正楷体简体" w:hAnsi="方正楷体简体" w:eastAsia="方正楷体简体" w:cs="方正楷体简体"/>
          <w:b/>
          <w:bCs/>
          <w:color w:val="000000"/>
          <w:kern w:val="2"/>
          <w:sz w:val="32"/>
          <w:szCs w:val="32"/>
          <w:highlight w:val="none"/>
          <w:lang w:val="en-US" w:eastAsia="zh-CN" w:bidi="ar-SA"/>
        </w:rPr>
        <w:t>（一）制定主体及权限合法性审查</w:t>
      </w:r>
      <w:r>
        <w:rPr>
          <w:rFonts w:hint="default" w:ascii="Songti SC" w:hAnsi="Songti SC" w:eastAsia="方正仿宋简体" w:cs="Times New Roman"/>
          <w:color w:val="auto"/>
          <w:kern w:val="0"/>
          <w:sz w:val="32"/>
          <w:szCs w:val="32"/>
          <w:highlight w:val="none"/>
          <w:lang w:val="en-US" w:eastAsia="zh-CN"/>
        </w:rPr>
        <w:t>​</w:t>
      </w:r>
    </w:p>
    <w:p w14:paraId="3F78059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Songti SC" w:hAnsi="Songti SC" w:eastAsia="方正仿宋简体" w:cs="Times New Roman"/>
          <w:color w:val="auto"/>
          <w:kern w:val="0"/>
          <w:sz w:val="32"/>
          <w:szCs w:val="32"/>
          <w:highlight w:val="none"/>
          <w:lang w:val="en-US" w:eastAsia="zh-CN"/>
        </w:rPr>
      </w:pPr>
      <w:r>
        <w:rPr>
          <w:rFonts w:hint="default" w:ascii="Songti SC" w:hAnsi="Songti SC" w:eastAsia="方正仿宋简体" w:cs="Times New Roman"/>
          <w:color w:val="auto"/>
          <w:kern w:val="0"/>
          <w:sz w:val="32"/>
          <w:szCs w:val="32"/>
          <w:highlight w:val="none"/>
          <w:lang w:val="en-US" w:eastAsia="zh-CN"/>
        </w:rPr>
        <w:t>主体适格性：霍尔果斯经济开发区（市）作为政策制定主体，依据《中国 (新疆) 自由贸易试验区条例》第十五条 “片区可依法申请行使有关经济社会管理权限” 的规定，具备制定网络游戏产业专项促进政策的主体资格，符合自治区对自贸试验区的授权原则；​</w:t>
      </w:r>
    </w:p>
    <w:p w14:paraId="36621BD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Songti SC" w:hAnsi="Songti SC" w:eastAsia="方正仿宋简体" w:cs="Times New Roman"/>
          <w:color w:val="auto"/>
          <w:kern w:val="0"/>
          <w:sz w:val="32"/>
          <w:szCs w:val="32"/>
          <w:highlight w:val="none"/>
          <w:lang w:val="en-US" w:eastAsia="zh-CN"/>
        </w:rPr>
      </w:pPr>
      <w:r>
        <w:rPr>
          <w:rFonts w:hint="default" w:ascii="Songti SC" w:hAnsi="Songti SC" w:eastAsia="方正仿宋简体" w:cs="Times New Roman"/>
          <w:color w:val="auto"/>
          <w:kern w:val="0"/>
          <w:sz w:val="32"/>
          <w:szCs w:val="32"/>
          <w:highlight w:val="none"/>
          <w:lang w:val="en-US" w:eastAsia="zh-CN"/>
        </w:rPr>
        <w:t>权限边界合规性：《政策措施》聚焦产业促进、服务优化、合规引导等内容，未超出经济社会管理权限范围，不涉及增设行政许可、行政处罚等法定职权事项，符合《霍尔果斯经济开发区条例》关于 “先行先试权” 的行使边界，未突破上位法对地方政府产业政策制定权的限制。​</w:t>
      </w:r>
    </w:p>
    <w:p w14:paraId="32A8217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1" w:firstLineChars="200"/>
        <w:jc w:val="left"/>
        <w:textAlignment w:val="auto"/>
        <w:rPr>
          <w:rFonts w:hint="default" w:ascii="方正楷体简体" w:hAnsi="方正楷体简体" w:eastAsia="方正楷体简体" w:cs="方正楷体简体"/>
          <w:b/>
          <w:bCs/>
          <w:color w:val="000000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default" w:ascii="方正楷体简体" w:hAnsi="方正楷体简体" w:eastAsia="方正楷体简体" w:cs="方正楷体简体"/>
          <w:b/>
          <w:bCs/>
          <w:color w:val="000000"/>
          <w:kern w:val="2"/>
          <w:sz w:val="32"/>
          <w:szCs w:val="32"/>
          <w:highlight w:val="none"/>
          <w:lang w:val="en-US" w:eastAsia="zh-CN" w:bidi="ar-SA"/>
        </w:rPr>
        <w:t>（二）政策内容合法性审查​</w:t>
      </w:r>
    </w:p>
    <w:p w14:paraId="65EABFD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Songti SC" w:hAnsi="Songti SC" w:eastAsia="方正仿宋简体" w:cs="Times New Roman"/>
          <w:color w:val="auto"/>
          <w:kern w:val="0"/>
          <w:sz w:val="32"/>
          <w:szCs w:val="32"/>
          <w:highlight w:val="none"/>
          <w:lang w:val="en-US" w:eastAsia="zh-CN"/>
        </w:rPr>
      </w:pPr>
      <w:r>
        <w:rPr>
          <w:rFonts w:hint="default" w:ascii="Songti SC" w:hAnsi="Songti SC" w:eastAsia="方正仿宋简体" w:cs="Times New Roman"/>
          <w:color w:val="auto"/>
          <w:kern w:val="0"/>
          <w:sz w:val="32"/>
          <w:szCs w:val="32"/>
          <w:highlight w:val="none"/>
          <w:lang w:val="en-US" w:eastAsia="zh-CN"/>
        </w:rPr>
        <w:t>符合宪法及上位法原则：《政策措施》旨在促进网络游戏高质量发展，契合宪法保障经济发展、市场主体合法权益的基本原则，与《个人信息保护法》《数据安全法》关于数据合规的要求一致，未出现与国家法律强制性规定冲突的内容；​</w:t>
      </w:r>
    </w:p>
    <w:p w14:paraId="0C78D5B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Songti SC" w:hAnsi="Songti SC" w:eastAsia="方正仿宋简体" w:cs="Times New Roman"/>
          <w:color w:val="auto"/>
          <w:kern w:val="0"/>
          <w:sz w:val="32"/>
          <w:szCs w:val="32"/>
          <w:highlight w:val="none"/>
          <w:lang w:val="en-US" w:eastAsia="zh-CN"/>
        </w:rPr>
      </w:pPr>
      <w:r>
        <w:rPr>
          <w:rFonts w:hint="default" w:ascii="Songti SC" w:hAnsi="Songti SC" w:eastAsia="方正仿宋简体" w:cs="Times New Roman"/>
          <w:color w:val="auto"/>
          <w:kern w:val="0"/>
          <w:sz w:val="32"/>
          <w:szCs w:val="32"/>
          <w:highlight w:val="none"/>
          <w:lang w:val="en-US" w:eastAsia="zh-CN"/>
        </w:rPr>
        <w:t>契合行业监管要求：政策内容充分吸纳网络游戏行业合规标准，包括强调内容审核合规、落实未成年人防沉迷措施、建立数据安全管理制度等，与国家新闻出版署、网信办等部门的监管要求衔接统一，未设置低于国家强制性标准的合规门槛；​</w:t>
      </w:r>
    </w:p>
    <w:p w14:paraId="6EB72D8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Songti SC" w:hAnsi="Songti SC" w:eastAsia="方正仿宋简体" w:cs="Times New Roman"/>
          <w:color w:val="auto"/>
          <w:kern w:val="0"/>
          <w:sz w:val="32"/>
          <w:szCs w:val="32"/>
          <w:highlight w:val="none"/>
          <w:lang w:val="en-US" w:eastAsia="zh-CN"/>
        </w:rPr>
      </w:pPr>
      <w:r>
        <w:rPr>
          <w:rFonts w:hint="default" w:ascii="Songti SC" w:hAnsi="Songti SC" w:eastAsia="方正仿宋简体" w:cs="Times New Roman"/>
          <w:color w:val="auto"/>
          <w:kern w:val="0"/>
          <w:sz w:val="32"/>
          <w:szCs w:val="32"/>
          <w:highlight w:val="none"/>
          <w:lang w:val="en-US" w:eastAsia="zh-CN"/>
        </w:rPr>
        <w:t>遵循数字经济立法价值导向：政策既鼓励元宇宙、VR/AR 等创新技术在游戏产业的应用，又明确合规经营义务，实现了</w:t>
      </w:r>
      <w:r>
        <w:rPr>
          <w:rFonts w:hint="eastAsia" w:ascii="Songti SC" w:hAnsi="Songti SC" w:eastAsia="方正仿宋简体" w:cs="Times New Roman"/>
          <w:color w:val="auto"/>
          <w:kern w:val="0"/>
          <w:sz w:val="32"/>
          <w:szCs w:val="32"/>
          <w:highlight w:val="none"/>
          <w:lang w:val="en-US" w:eastAsia="zh-CN"/>
        </w:rPr>
        <w:t>“</w:t>
      </w:r>
      <w:r>
        <w:rPr>
          <w:rFonts w:hint="default" w:ascii="Songti SC" w:hAnsi="Songti SC" w:eastAsia="方正仿宋简体" w:cs="Times New Roman"/>
          <w:color w:val="auto"/>
          <w:kern w:val="0"/>
          <w:sz w:val="32"/>
          <w:szCs w:val="32"/>
          <w:highlight w:val="none"/>
          <w:lang w:val="en-US" w:eastAsia="zh-CN"/>
        </w:rPr>
        <w:t>创新活力与安全秩序的动态平衡</w:t>
      </w:r>
      <w:r>
        <w:rPr>
          <w:rFonts w:hint="eastAsia" w:ascii="Songti SC" w:hAnsi="Songti SC" w:eastAsia="方正仿宋简体" w:cs="Times New Roman"/>
          <w:color w:val="auto"/>
          <w:kern w:val="0"/>
          <w:sz w:val="32"/>
          <w:szCs w:val="32"/>
          <w:highlight w:val="none"/>
          <w:lang w:val="en-US" w:eastAsia="zh-CN"/>
        </w:rPr>
        <w:t>”</w:t>
      </w:r>
      <w:r>
        <w:rPr>
          <w:rFonts w:hint="default" w:ascii="Songti SC" w:hAnsi="Songti SC" w:eastAsia="方正仿宋简体" w:cs="Times New Roman"/>
          <w:color w:val="auto"/>
          <w:kern w:val="0"/>
          <w:sz w:val="32"/>
          <w:szCs w:val="32"/>
          <w:highlight w:val="none"/>
          <w:lang w:val="en-US" w:eastAsia="zh-CN"/>
        </w:rPr>
        <w:t>；同时未设置排除、限制竞争的</w:t>
      </w:r>
      <w:r>
        <w:rPr>
          <w:rFonts w:hint="default" w:ascii="Songti SC" w:hAnsi="Songti SC" w:eastAsia="方正仿宋简体" w:cs="Times New Roman"/>
          <w:color w:val="auto"/>
          <w:spacing w:val="-6"/>
          <w:kern w:val="0"/>
          <w:sz w:val="32"/>
          <w:szCs w:val="32"/>
          <w:highlight w:val="none"/>
          <w:lang w:val="en-US" w:eastAsia="zh-CN"/>
        </w:rPr>
        <w:t>条款，符合数字经济立法</w:t>
      </w:r>
      <w:r>
        <w:rPr>
          <w:rFonts w:hint="eastAsia" w:ascii="Songti SC" w:hAnsi="Songti SC" w:eastAsia="方正仿宋简体" w:cs="Times New Roman"/>
          <w:color w:val="auto"/>
          <w:spacing w:val="-6"/>
          <w:kern w:val="0"/>
          <w:sz w:val="32"/>
          <w:szCs w:val="32"/>
          <w:highlight w:val="none"/>
          <w:lang w:val="en-US" w:eastAsia="zh-CN"/>
        </w:rPr>
        <w:t>“</w:t>
      </w:r>
      <w:r>
        <w:rPr>
          <w:rFonts w:hint="default" w:ascii="Songti SC" w:hAnsi="Songti SC" w:eastAsia="方正仿宋简体" w:cs="Times New Roman"/>
          <w:color w:val="auto"/>
          <w:spacing w:val="-6"/>
          <w:kern w:val="0"/>
          <w:sz w:val="32"/>
          <w:szCs w:val="32"/>
          <w:highlight w:val="none"/>
          <w:lang w:val="en-US" w:eastAsia="zh-CN"/>
        </w:rPr>
        <w:t>公平竞争与适度干预有机统一</w:t>
      </w:r>
      <w:r>
        <w:rPr>
          <w:rFonts w:hint="eastAsia" w:ascii="Songti SC" w:hAnsi="Songti SC" w:eastAsia="方正仿宋简体" w:cs="Times New Roman"/>
          <w:color w:val="auto"/>
          <w:spacing w:val="-6"/>
          <w:kern w:val="0"/>
          <w:sz w:val="32"/>
          <w:szCs w:val="32"/>
          <w:highlight w:val="none"/>
          <w:lang w:val="en-US" w:eastAsia="zh-CN"/>
        </w:rPr>
        <w:t>”</w:t>
      </w:r>
      <w:r>
        <w:rPr>
          <w:rFonts w:hint="default" w:ascii="Songti SC" w:hAnsi="Songti SC" w:eastAsia="方正仿宋简体" w:cs="Times New Roman"/>
          <w:color w:val="auto"/>
          <w:spacing w:val="-6"/>
          <w:kern w:val="0"/>
          <w:sz w:val="32"/>
          <w:szCs w:val="32"/>
          <w:highlight w:val="none"/>
          <w:lang w:val="en-US" w:eastAsia="zh-CN"/>
        </w:rPr>
        <w:t>的原则；</w:t>
      </w:r>
    </w:p>
    <w:p w14:paraId="7A8F67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Songti SC" w:hAnsi="Songti SC" w:eastAsia="方正仿宋简体" w:cs="Times New Roman"/>
          <w:color w:val="auto"/>
          <w:kern w:val="0"/>
          <w:sz w:val="32"/>
          <w:szCs w:val="32"/>
          <w:highlight w:val="none"/>
          <w:lang w:val="en-US" w:eastAsia="zh-CN"/>
        </w:rPr>
      </w:pPr>
      <w:r>
        <w:rPr>
          <w:rFonts w:hint="default" w:ascii="Songti SC" w:hAnsi="Songti SC" w:eastAsia="方正仿宋简体" w:cs="Times New Roman"/>
          <w:color w:val="auto"/>
          <w:kern w:val="0"/>
          <w:sz w:val="32"/>
          <w:szCs w:val="32"/>
          <w:highlight w:val="none"/>
          <w:lang w:val="en-US" w:eastAsia="zh-CN"/>
        </w:rPr>
        <w:t>政策工具合法合规：涉及的税收优惠、资金扶持、人才引进等措施，均属于地方政府法定产业促进手段，未违反国家税收征管、财政资金使用等相关规定，符合自贸试验区政策创新的合法路径。​</w:t>
      </w:r>
    </w:p>
    <w:p w14:paraId="4C0E46C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1" w:firstLineChars="200"/>
        <w:jc w:val="left"/>
        <w:textAlignment w:val="auto"/>
        <w:rPr>
          <w:rFonts w:hint="default" w:ascii="方正楷体简体" w:hAnsi="方正楷体简体" w:eastAsia="方正楷体简体" w:cs="方正楷体简体"/>
          <w:b/>
          <w:bCs/>
          <w:color w:val="000000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default" w:ascii="方正楷体简体" w:hAnsi="方正楷体简体" w:eastAsia="方正楷体简体" w:cs="方正楷体简体"/>
          <w:b/>
          <w:bCs/>
          <w:color w:val="000000"/>
          <w:kern w:val="2"/>
          <w:sz w:val="32"/>
          <w:szCs w:val="32"/>
          <w:highlight w:val="none"/>
          <w:lang w:val="en-US" w:eastAsia="zh-CN" w:bidi="ar-SA"/>
        </w:rPr>
        <w:t>（三）制定程序合规性审查​</w:t>
      </w:r>
    </w:p>
    <w:p w14:paraId="41FBA2A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Songti SC" w:hAnsi="Songti SC" w:eastAsia="方正仿宋简体" w:cs="Times New Roman"/>
          <w:color w:val="auto"/>
          <w:kern w:val="0"/>
          <w:sz w:val="32"/>
          <w:szCs w:val="32"/>
          <w:highlight w:val="none"/>
          <w:lang w:val="en-US" w:eastAsia="zh-CN"/>
        </w:rPr>
      </w:pPr>
      <w:r>
        <w:rPr>
          <w:rFonts w:hint="default" w:ascii="Songti SC" w:hAnsi="Songti SC" w:eastAsia="方正仿宋简体" w:cs="Times New Roman"/>
          <w:color w:val="auto"/>
          <w:kern w:val="0"/>
          <w:sz w:val="32"/>
          <w:szCs w:val="32"/>
          <w:highlight w:val="none"/>
          <w:lang w:val="en-US" w:eastAsia="zh-CN"/>
        </w:rPr>
        <w:t>《政策措施》作为试行，符合地方政府规范性文件制定的一般程序要求，经过调研论证、征求意见等环节，内容兼顾产业发展需求与公共利益保护，不存在程序瑕疵导致的合法性缺陷。​</w:t>
      </w:r>
    </w:p>
    <w:p w14:paraId="316BA6A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Songti SC" w:hAnsi="Songti SC" w:eastAsia="方正仿宋简体" w:cs="Times New Roman"/>
          <w:color w:val="auto"/>
          <w:kern w:val="0"/>
          <w:sz w:val="32"/>
          <w:szCs w:val="32"/>
          <w:highlight w:val="none"/>
          <w:lang w:val="en-US" w:eastAsia="zh-CN"/>
        </w:rPr>
      </w:pPr>
    </w:p>
    <w:p w14:paraId="07A87CD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Songti SC" w:hAnsi="Songti SC" w:eastAsia="方正仿宋简体" w:cs="Times New Roman"/>
          <w:color w:val="auto"/>
          <w:kern w:val="0"/>
          <w:sz w:val="32"/>
          <w:szCs w:val="32"/>
          <w:highlight w:val="none"/>
          <w:lang w:val="en-US" w:eastAsia="zh-CN"/>
        </w:rPr>
      </w:pPr>
    </w:p>
    <w:p w14:paraId="2C7E11A2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right"/>
        <w:textAlignment w:val="auto"/>
        <w:rPr>
          <w:rFonts w:hint="default" w:ascii="Songti SC" w:hAnsi="Songti SC" w:eastAsia="方正仿宋简体" w:cs="Times New Roman"/>
          <w:color w:val="auto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Songti SC" w:hAnsi="Songti SC" w:eastAsia="方正仿宋简体" w:cs="Times New Roman"/>
          <w:color w:val="auto"/>
          <w:kern w:val="0"/>
          <w:sz w:val="32"/>
          <w:szCs w:val="32"/>
          <w:highlight w:val="none"/>
          <w:lang w:val="en-US" w:eastAsia="zh-CN"/>
        </w:rPr>
        <w:t xml:space="preserve">霍尔果斯市科学技术局    </w:t>
      </w:r>
    </w:p>
    <w:p w14:paraId="7C469FF3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right"/>
        <w:textAlignment w:val="auto"/>
        <w:rPr>
          <w:rFonts w:hint="default" w:ascii="Songti SC" w:hAnsi="Songti SC" w:eastAsia="方正仿宋简体" w:cs="Times New Roman"/>
          <w:color w:val="auto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Songti SC" w:hAnsi="Songti SC" w:eastAsia="方正仿宋简体" w:cs="Times New Roman"/>
          <w:color w:val="auto"/>
          <w:kern w:val="0"/>
          <w:sz w:val="32"/>
          <w:szCs w:val="32"/>
          <w:highlight w:val="none"/>
          <w:lang w:val="en-US" w:eastAsia="zh-CN"/>
        </w:rPr>
        <w:t xml:space="preserve">2025年7月1日      </w:t>
      </w:r>
    </w:p>
    <w:p w14:paraId="4BC73B82"/>
    <w:sectPr>
      <w:pgSz w:w="11906" w:h="16838"/>
      <w:pgMar w:top="2098" w:right="1531" w:bottom="1984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EF" w:usb1="C0007841" w:usb2="00000009" w:usb3="00000000" w:csb0="400001FF" w:csb1="FFFF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6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方正小标宋简体">
    <w:altName w:val="汉仪书宋二KW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Songti SC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方正仿宋简体">
    <w:altName w:val="方正仿宋_GBK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楷体简体">
    <w:altName w:val="汉仪楷体简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儷宋 Pro">
    <w:panose1 w:val="02020300000000000000"/>
    <w:charset w:val="88"/>
    <w:family w:val="auto"/>
    <w:pitch w:val="default"/>
    <w:sig w:usb0="80000001" w:usb1="28091800" w:usb2="00000016" w:usb3="00000000" w:csb0="00100000" w:csb1="00000000"/>
  </w:font>
  <w:font w:name="汉仪楷体简">
    <w:panose1 w:val="02010600000101010101"/>
    <w:charset w:val="86"/>
    <w:family w:val="auto"/>
    <w:pitch w:val="default"/>
    <w:sig w:usb0="00000001" w:usb1="080E0800" w:usb2="00000002" w:usb3="00000000" w:csb0="00040000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FEFBB876"/>
    <w:rsid w:val="FEFBB8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Office_12.1.24709.24709_F1E327BC-269C-435d-A152-05C5408002CA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2026-02-06T15:56:00Z</dcterms:created>
  <dc:creator>两块雪糕</dc:creator>
  <cp:lastModifiedBy>两块雪糕</cp:lastModifiedBy>
  <dcterms:modified xsi:type="dcterms:W3CDTF">2026-02-06T15:57:43Z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2052-12.1.24709.24709</vt:lpwstr>
  </property>
  <property fmtid="{D5CDD505-2E9C-101B-9397-08002B2CF9AE}" pid="3" name="ICV">
    <vt:lpwstr>36DBBF6443A12574B09E856973AF306F_41</vt:lpwstr>
  </property>
</Properties>
</file>