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jc w:val="both"/>
        <w:textAlignment w:val="auto"/>
        <w:outlineLvl w:val="9"/>
        <w:rPr>
          <w:rFonts w:hint="eastAsia" w:ascii="黑体" w:hAnsi="黑体" w:eastAsia="黑体" w:cs="黑体"/>
          <w:color w:val="auto"/>
          <w:kern w:val="0"/>
          <w:sz w:val="32"/>
          <w:szCs w:val="32"/>
          <w:highlight w:val="none"/>
          <w:u w:val="none"/>
          <w:lang w:val="en-US" w:eastAsia="zh-CN"/>
        </w:rPr>
      </w:pPr>
      <w:bookmarkStart w:id="0" w:name="_GoBack"/>
      <w:bookmarkEnd w:id="0"/>
      <w:r>
        <w:rPr>
          <w:rFonts w:hint="eastAsia" w:ascii="黑体" w:hAnsi="黑体" w:eastAsia="黑体" w:cs="黑体"/>
          <w:color w:val="auto"/>
          <w:kern w:val="0"/>
          <w:sz w:val="32"/>
          <w:szCs w:val="32"/>
          <w:highlight w:val="none"/>
          <w:u w:val="none"/>
          <w:lang w:val="en-US" w:eastAsia="zh-CN"/>
        </w:rPr>
        <w:t>附件</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jc w:val="both"/>
        <w:textAlignment w:val="auto"/>
        <w:outlineLvl w:val="9"/>
        <w:rPr>
          <w:rFonts w:hint="eastAsia" w:ascii="黑体" w:hAnsi="黑体" w:eastAsia="黑体" w:cs="黑体"/>
          <w:color w:val="auto"/>
          <w:kern w:val="0"/>
          <w:sz w:val="32"/>
          <w:szCs w:val="32"/>
          <w:highlight w:val="none"/>
          <w:u w:val="none"/>
          <w:lang w:val="en-US" w:eastAsia="zh-CN"/>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jc w:val="center"/>
        <w:textAlignment w:val="auto"/>
        <w:outlineLvl w:val="9"/>
        <w:rPr>
          <w:rFonts w:hint="eastAsia" w:ascii="宋体" w:hAnsi="宋体" w:eastAsia="方正小标宋简体" w:cs="Times New Roman"/>
          <w:b w:val="0"/>
          <w:bCs w:val="0"/>
          <w:i w:val="0"/>
          <w:iCs w:val="0"/>
          <w:color w:val="auto"/>
          <w:spacing w:val="0"/>
          <w:sz w:val="44"/>
          <w:szCs w:val="44"/>
          <w:highlight w:val="none"/>
          <w:u w:val="none"/>
          <w:shd w:val="clear" w:fill="FFFFFF"/>
          <w:lang w:val="en-US" w:eastAsia="zh-CN"/>
        </w:rPr>
      </w:pPr>
      <w:r>
        <w:rPr>
          <w:rFonts w:hint="eastAsia" w:ascii="宋体" w:hAnsi="宋体" w:eastAsia="方正小标宋简体" w:cs="方正小标宋简体"/>
          <w:color w:val="auto"/>
          <w:kern w:val="0"/>
          <w:sz w:val="44"/>
          <w:szCs w:val="44"/>
          <w:highlight w:val="none"/>
          <w:u w:val="none"/>
          <w:lang w:val="en-US" w:eastAsia="zh-CN"/>
        </w:rPr>
        <w:t>关于</w:t>
      </w:r>
      <w:r>
        <w:rPr>
          <w:rFonts w:hint="eastAsia" w:ascii="宋体" w:hAnsi="宋体" w:eastAsia="方正小标宋简体" w:cs="Times New Roman"/>
          <w:b w:val="0"/>
          <w:bCs w:val="0"/>
          <w:i w:val="0"/>
          <w:iCs w:val="0"/>
          <w:color w:val="auto"/>
          <w:spacing w:val="0"/>
          <w:sz w:val="44"/>
          <w:szCs w:val="44"/>
          <w:highlight w:val="none"/>
          <w:u w:val="none"/>
          <w:shd w:val="clear" w:fill="FFFFFF"/>
          <w:lang w:val="en-US" w:eastAsia="zh-CN"/>
        </w:rPr>
        <w:t>促进霍尔果斯经济开发区（市）网络游戏高质量发展的七条</w:t>
      </w:r>
      <w:r>
        <w:rPr>
          <w:rFonts w:hint="eastAsia" w:ascii="宋体" w:hAnsi="宋体" w:eastAsia="方正小标宋简体" w:cs="Times New Roman"/>
          <w:b w:val="0"/>
          <w:bCs w:val="0"/>
          <w:i w:val="0"/>
          <w:iCs w:val="0"/>
          <w:color w:val="auto"/>
          <w:spacing w:val="0"/>
          <w:sz w:val="44"/>
          <w:szCs w:val="44"/>
          <w:highlight w:val="none"/>
          <w:u w:val="none"/>
          <w:shd w:val="clear" w:fill="FFFFFF"/>
          <w:lang w:eastAsia="zh-CN"/>
        </w:rPr>
        <w:t>政策</w:t>
      </w:r>
      <w:r>
        <w:rPr>
          <w:rFonts w:hint="eastAsia" w:ascii="宋体" w:hAnsi="宋体" w:eastAsia="方正小标宋简体" w:cs="Times New Roman"/>
          <w:b w:val="0"/>
          <w:bCs w:val="0"/>
          <w:i w:val="0"/>
          <w:iCs w:val="0"/>
          <w:color w:val="auto"/>
          <w:spacing w:val="0"/>
          <w:sz w:val="44"/>
          <w:szCs w:val="44"/>
          <w:highlight w:val="none"/>
          <w:u w:val="none"/>
          <w:shd w:val="clear" w:fill="FFFFFF"/>
          <w:lang w:val="en-US" w:eastAsia="zh-CN"/>
        </w:rPr>
        <w:t>措施实施细则</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方正仿宋简体" w:cs="Times New Roman"/>
          <w:color w:val="auto"/>
          <w:kern w:val="0"/>
          <w:sz w:val="32"/>
          <w:szCs w:val="32"/>
          <w:highlight w:val="none"/>
          <w:u w:val="none"/>
          <w:lang w:val="en-US" w:eastAsia="zh-CN" w:bidi="ar"/>
        </w:rPr>
      </w:pP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宋体" w:hAnsi="宋体" w:eastAsia="黑体" w:cs="黑体"/>
          <w:color w:val="auto"/>
          <w:kern w:val="0"/>
          <w:sz w:val="32"/>
          <w:szCs w:val="32"/>
          <w:highlight w:val="none"/>
          <w:u w:val="none"/>
          <w:lang w:val="en-US" w:eastAsia="zh-CN"/>
        </w:rPr>
      </w:pPr>
      <w:r>
        <w:rPr>
          <w:rFonts w:hint="eastAsia" w:ascii="宋体" w:hAnsi="宋体" w:eastAsia="黑体" w:cs="黑体"/>
          <w:color w:val="auto"/>
          <w:kern w:val="0"/>
          <w:sz w:val="32"/>
          <w:szCs w:val="32"/>
          <w:highlight w:val="none"/>
          <w:u w:val="none"/>
          <w:lang w:val="en-US" w:eastAsia="zh-CN"/>
        </w:rPr>
        <w:t>第一章 总 则</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楷体简体" w:cs="Times New Roman"/>
          <w:b/>
          <w:bCs/>
          <w:color w:val="auto"/>
          <w:spacing w:val="0"/>
          <w:kern w:val="2"/>
          <w:sz w:val="32"/>
          <w:szCs w:val="32"/>
          <w:highlight w:val="none"/>
          <w:u w:val="none"/>
          <w:lang w:val="en-US" w:eastAsia="zh-CN" w:bidi="ar-SA"/>
        </w:rPr>
        <w:t xml:space="preserve">第一条 </w:t>
      </w:r>
      <w:r>
        <w:rPr>
          <w:rFonts w:hint="eastAsia" w:ascii="宋体" w:hAnsi="宋体" w:eastAsia="方正仿宋简体" w:cs="Times New Roman"/>
          <w:color w:val="auto"/>
          <w:kern w:val="0"/>
          <w:sz w:val="32"/>
          <w:szCs w:val="32"/>
          <w:highlight w:val="none"/>
          <w:u w:val="none"/>
          <w:lang w:val="en-US" w:eastAsia="zh-CN" w:bidi="ar"/>
        </w:rPr>
        <w:t>为确保《关于促进霍尔果斯经济开发区（市）网络游戏高质量发展的七条政策措施（试行）》（以下简称“政策”）落地见效，明确各项奖励的申报条件、审核流程、资金拨付等要求，制定本实施细则。</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楷体简体" w:cs="Times New Roman"/>
          <w:b/>
          <w:bCs/>
          <w:color w:val="auto"/>
          <w:spacing w:val="0"/>
          <w:kern w:val="2"/>
          <w:sz w:val="32"/>
          <w:szCs w:val="32"/>
          <w:highlight w:val="none"/>
          <w:u w:val="none"/>
          <w:lang w:val="en-US" w:eastAsia="zh-CN" w:bidi="ar-SA"/>
        </w:rPr>
        <w:t xml:space="preserve">第二条 </w:t>
      </w:r>
      <w:r>
        <w:rPr>
          <w:rFonts w:hint="eastAsia" w:ascii="宋体" w:hAnsi="宋体" w:eastAsia="方正仿宋简体" w:cs="Times New Roman"/>
          <w:color w:val="auto"/>
          <w:kern w:val="0"/>
          <w:sz w:val="32"/>
          <w:szCs w:val="32"/>
          <w:highlight w:val="none"/>
          <w:u w:val="none"/>
          <w:lang w:val="en-US" w:eastAsia="zh-CN" w:bidi="ar"/>
        </w:rPr>
        <w:t>设立霍尔果斯市文化产业专项资金，纳入市级财政年度预算，专款专用。</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宋体" w:hAnsi="宋体" w:eastAsia="黑体" w:cs="黑体"/>
          <w:color w:val="auto"/>
          <w:kern w:val="0"/>
          <w:sz w:val="32"/>
          <w:szCs w:val="32"/>
          <w:highlight w:val="none"/>
          <w:u w:val="none"/>
          <w:lang w:val="en-US" w:eastAsia="zh-CN"/>
        </w:rPr>
      </w:pPr>
      <w:r>
        <w:rPr>
          <w:rFonts w:hint="eastAsia" w:ascii="宋体" w:hAnsi="宋体" w:eastAsia="方正楷体简体" w:cs="Times New Roman"/>
          <w:b/>
          <w:bCs/>
          <w:color w:val="auto"/>
          <w:spacing w:val="0"/>
          <w:kern w:val="2"/>
          <w:sz w:val="32"/>
          <w:szCs w:val="32"/>
          <w:highlight w:val="none"/>
          <w:u w:val="none"/>
          <w:lang w:val="en-US" w:eastAsia="zh-CN" w:bidi="ar-SA"/>
        </w:rPr>
        <w:t xml:space="preserve">第三条 </w:t>
      </w:r>
      <w:r>
        <w:rPr>
          <w:rFonts w:hint="eastAsia" w:ascii="宋体" w:hAnsi="宋体" w:eastAsia="方正仿宋简体" w:cs="Times New Roman"/>
          <w:color w:val="auto"/>
          <w:kern w:val="0"/>
          <w:sz w:val="32"/>
          <w:szCs w:val="32"/>
          <w:highlight w:val="none"/>
          <w:u w:val="none"/>
          <w:lang w:val="en-US" w:eastAsia="zh-CN" w:bidi="ar"/>
        </w:rPr>
        <w:t>由市科技局牵头抓总，企业向市科技局提交申报材料，各牵头单位与责任单位配合核查申报材料有效性、完整性、真实性。</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宋体" w:hAnsi="宋体" w:eastAsia="黑体" w:cs="黑体"/>
          <w:color w:val="auto"/>
          <w:kern w:val="0"/>
          <w:sz w:val="32"/>
          <w:szCs w:val="32"/>
          <w:highlight w:val="none"/>
          <w:u w:val="none"/>
          <w:lang w:val="en-US" w:eastAsia="zh-CN"/>
        </w:rPr>
      </w:pPr>
      <w:r>
        <w:rPr>
          <w:rFonts w:hint="eastAsia" w:ascii="宋体" w:hAnsi="宋体" w:eastAsia="黑体" w:cs="黑体"/>
          <w:color w:val="auto"/>
          <w:kern w:val="0"/>
          <w:sz w:val="32"/>
          <w:szCs w:val="32"/>
          <w:highlight w:val="none"/>
          <w:u w:val="none"/>
          <w:lang w:val="en-US" w:eastAsia="zh-CN"/>
        </w:rPr>
        <w:t>第二章 支持范围</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宋体" w:hAnsi="宋体" w:eastAsia="方正仿宋简体" w:cs="Times New Roman"/>
          <w:color w:val="auto"/>
          <w:kern w:val="0"/>
          <w:sz w:val="32"/>
          <w:szCs w:val="32"/>
          <w:highlight w:val="none"/>
          <w:u w:val="none"/>
          <w:lang w:val="en-US" w:eastAsia="zh-CN"/>
        </w:rPr>
      </w:pPr>
      <w:r>
        <w:rPr>
          <w:rFonts w:hint="eastAsia" w:ascii="宋体" w:hAnsi="宋体" w:eastAsia="方正楷体简体" w:cs="Times New Roman"/>
          <w:b/>
          <w:bCs/>
          <w:color w:val="auto"/>
          <w:spacing w:val="0"/>
          <w:kern w:val="2"/>
          <w:sz w:val="32"/>
          <w:szCs w:val="32"/>
          <w:highlight w:val="none"/>
          <w:u w:val="none"/>
          <w:lang w:val="en-US" w:eastAsia="zh-CN" w:bidi="ar-SA"/>
        </w:rPr>
        <w:t xml:space="preserve">第四条 </w:t>
      </w:r>
      <w:r>
        <w:rPr>
          <w:rFonts w:hint="eastAsia" w:ascii="宋体" w:hAnsi="宋体" w:eastAsia="方正仿宋简体" w:cs="Times New Roman"/>
          <w:color w:val="auto"/>
          <w:kern w:val="0"/>
          <w:sz w:val="32"/>
          <w:szCs w:val="32"/>
          <w:highlight w:val="none"/>
          <w:u w:val="none"/>
          <w:lang w:val="en-US" w:eastAsia="zh-CN" w:bidi="ar"/>
        </w:rPr>
        <w:t>企业实际经营地与税务登记地均在</w:t>
      </w:r>
      <w:r>
        <w:rPr>
          <w:rFonts w:hint="eastAsia" w:ascii="宋体" w:hAnsi="宋体" w:eastAsia="方正仿宋简体" w:cs="Times New Roman"/>
          <w:color w:val="auto"/>
          <w:kern w:val="0"/>
          <w:sz w:val="32"/>
          <w:szCs w:val="32"/>
          <w:highlight w:val="none"/>
          <w:u w:val="none"/>
          <w:lang w:val="en-US" w:eastAsia="zh-CN"/>
        </w:rPr>
        <w:t>霍尔果斯经济开发区（市）（不含清水、伊宁园区、兵团分区）且具有独立法人资格，从事游戏行业的企业。</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宋体" w:hAnsi="宋体" w:eastAsia="黑体" w:cs="黑体"/>
          <w:color w:val="auto"/>
          <w:kern w:val="0"/>
          <w:sz w:val="32"/>
          <w:szCs w:val="32"/>
          <w:highlight w:val="none"/>
          <w:u w:val="none"/>
          <w:lang w:val="en-US" w:eastAsia="zh-CN"/>
        </w:rPr>
      </w:pPr>
      <w:r>
        <w:rPr>
          <w:rFonts w:hint="eastAsia" w:ascii="宋体" w:hAnsi="宋体" w:eastAsia="黑体" w:cs="黑体"/>
          <w:color w:val="auto"/>
          <w:kern w:val="0"/>
          <w:sz w:val="32"/>
          <w:szCs w:val="32"/>
          <w:highlight w:val="none"/>
          <w:u w:val="none"/>
          <w:lang w:val="en-US" w:eastAsia="zh-CN"/>
        </w:rPr>
        <w:t>第三章 支持方向及标准</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宋体" w:hAnsi="宋体" w:eastAsia="方正楷体简体" w:cs="Times New Roman"/>
          <w:b/>
          <w:bCs/>
          <w:color w:val="auto"/>
          <w:spacing w:val="0"/>
          <w:kern w:val="2"/>
          <w:sz w:val="32"/>
          <w:szCs w:val="32"/>
          <w:highlight w:val="none"/>
          <w:u w:val="none"/>
          <w:lang w:val="en-US" w:eastAsia="zh-CN" w:bidi="ar-SA"/>
        </w:rPr>
      </w:pPr>
      <w:r>
        <w:rPr>
          <w:rFonts w:hint="eastAsia" w:ascii="宋体" w:hAnsi="宋体" w:eastAsia="方正楷体简体" w:cs="Times New Roman"/>
          <w:b/>
          <w:bCs/>
          <w:color w:val="auto"/>
          <w:spacing w:val="0"/>
          <w:kern w:val="2"/>
          <w:sz w:val="32"/>
          <w:szCs w:val="32"/>
          <w:highlight w:val="none"/>
          <w:u w:val="none"/>
          <w:lang w:val="en-US" w:eastAsia="zh-CN" w:bidi="ar-SA"/>
        </w:rPr>
        <w:t>第五条 支持游戏出版发行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宋体" w:hAnsi="宋体" w:eastAsia="方正仿宋简体" w:cs="Times New Roman"/>
          <w:color w:val="auto"/>
          <w:kern w:val="0"/>
          <w:sz w:val="32"/>
          <w:szCs w:val="32"/>
          <w:highlight w:val="none"/>
          <w:u w:val="none"/>
          <w:lang w:val="en-US" w:eastAsia="zh-CN" w:bidi="ar"/>
        </w:rPr>
        <w:t>已获得国家新闻出版署审批通过的处于有效期内的游戏版号的游戏企业。（牵头单位：市新闻出版局；责任单位：市财政局、市监局、科技局）</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宋体" w:hAnsi="宋体" w:eastAsia="方正仿宋简体" w:cs="Times New Roman"/>
          <w:b/>
          <w:bCs/>
          <w:color w:val="auto"/>
          <w:kern w:val="0"/>
          <w:sz w:val="32"/>
          <w:szCs w:val="32"/>
          <w:highlight w:val="none"/>
          <w:u w:val="none"/>
          <w:lang w:val="en-US" w:eastAsia="zh-CN" w:bidi="ar"/>
        </w:rPr>
      </w:pPr>
      <w:r>
        <w:rPr>
          <w:rFonts w:hint="eastAsia" w:ascii="宋体" w:hAnsi="宋体" w:eastAsia="方正仿宋简体" w:cs="Times New Roman"/>
          <w:b/>
          <w:bCs/>
          <w:color w:val="auto"/>
          <w:kern w:val="0"/>
          <w:sz w:val="32"/>
          <w:szCs w:val="32"/>
          <w:highlight w:val="none"/>
          <w:u w:val="none"/>
          <w:lang w:val="en-US" w:eastAsia="zh-CN" w:bidi="ar"/>
        </w:rPr>
        <w:t>申报材料：</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color w:val="auto"/>
          <w:kern w:val="0"/>
          <w:sz w:val="32"/>
          <w:szCs w:val="32"/>
          <w:highlight w:val="none"/>
          <w:u w:val="none"/>
          <w:lang w:val="en-US" w:eastAsia="zh-CN" w:bidi="ar"/>
        </w:rPr>
        <w:t>（一）提供国家新闻出版署版号批文原件及复印件；</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color w:val="auto"/>
          <w:kern w:val="0"/>
          <w:sz w:val="32"/>
          <w:szCs w:val="32"/>
          <w:highlight w:val="none"/>
          <w:u w:val="none"/>
          <w:lang w:val="en-US" w:eastAsia="zh-CN" w:bidi="ar"/>
        </w:rPr>
        <w:t>（二）提供《增值电信业务经营许可证》（ICP许可证）。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楷体简体" w:cs="Times New Roman"/>
          <w:b/>
          <w:bCs/>
          <w:color w:val="auto"/>
          <w:spacing w:val="0"/>
          <w:kern w:val="2"/>
          <w:sz w:val="32"/>
          <w:szCs w:val="32"/>
          <w:highlight w:val="none"/>
          <w:u w:val="none"/>
          <w:lang w:val="en-US" w:eastAsia="zh-CN" w:bidi="ar-SA"/>
        </w:rPr>
      </w:pPr>
      <w:r>
        <w:rPr>
          <w:rFonts w:hint="eastAsia" w:ascii="宋体" w:hAnsi="宋体" w:eastAsia="方正楷体简体" w:cs="Times New Roman"/>
          <w:b/>
          <w:bCs/>
          <w:color w:val="auto"/>
          <w:spacing w:val="0"/>
          <w:kern w:val="2"/>
          <w:sz w:val="32"/>
          <w:szCs w:val="32"/>
          <w:highlight w:val="none"/>
          <w:u w:val="none"/>
          <w:lang w:val="en-US" w:eastAsia="zh-CN" w:bidi="ar-SA"/>
        </w:rPr>
        <w:t>第六条 完善版权服务机制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s="Times New Roman"/>
          <w:b w:val="0"/>
          <w:bCs w:val="0"/>
          <w:color w:val="auto"/>
          <w:kern w:val="0"/>
          <w:sz w:val="32"/>
          <w:szCs w:val="32"/>
          <w:highlight w:val="none"/>
          <w:u w:val="none"/>
          <w:lang w:val="en-US" w:eastAsia="zh-CN" w:bidi="ar"/>
        </w:rPr>
      </w:pPr>
      <w:r>
        <w:rPr>
          <w:rFonts w:hint="eastAsia" w:ascii="宋体" w:hAnsi="宋体" w:eastAsia="方正仿宋简体" w:cs="Times New Roman"/>
          <w:b w:val="0"/>
          <w:bCs w:val="0"/>
          <w:color w:val="auto"/>
          <w:kern w:val="0"/>
          <w:sz w:val="32"/>
          <w:szCs w:val="32"/>
          <w:highlight w:val="none"/>
          <w:u w:val="none"/>
          <w:lang w:val="en-US" w:eastAsia="zh-CN" w:bidi="ar"/>
        </w:rPr>
        <w:t>建立游戏企业落地前置审核机制，规范游戏内部元素、人物角色等符合国家规定。</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b/>
          <w:bCs/>
          <w:color w:val="auto"/>
          <w:kern w:val="0"/>
          <w:sz w:val="32"/>
          <w:szCs w:val="32"/>
          <w:highlight w:val="none"/>
          <w:u w:val="none"/>
          <w:lang w:val="en-US" w:eastAsia="zh-CN" w:bidi="ar"/>
        </w:rPr>
        <w:t>（一）版号申报辅导服务：</w:t>
      </w:r>
      <w:r>
        <w:rPr>
          <w:rFonts w:hint="eastAsia" w:ascii="宋体" w:hAnsi="宋体" w:eastAsia="方正仿宋简体" w:cs="Times New Roman"/>
          <w:color w:val="auto"/>
          <w:kern w:val="0"/>
          <w:sz w:val="32"/>
          <w:szCs w:val="32"/>
          <w:highlight w:val="none"/>
          <w:u w:val="none"/>
          <w:lang w:val="en-US" w:eastAsia="zh-CN" w:bidi="ar"/>
        </w:rPr>
        <w:t>提供版号申报政策解读、材料清单梳理、流程跟踪等一对一辅导；</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b/>
          <w:bCs/>
          <w:color w:val="auto"/>
          <w:kern w:val="0"/>
          <w:sz w:val="32"/>
          <w:szCs w:val="32"/>
          <w:highlight w:val="none"/>
          <w:u w:val="none"/>
          <w:lang w:val="en-US" w:eastAsia="zh-CN" w:bidi="ar"/>
        </w:rPr>
        <w:t>（二）著作权登记效率提升：</w:t>
      </w:r>
      <w:r>
        <w:rPr>
          <w:rFonts w:hint="eastAsia" w:ascii="宋体" w:hAnsi="宋体" w:eastAsia="方正仿宋简体" w:cs="Times New Roman"/>
          <w:color w:val="auto"/>
          <w:kern w:val="0"/>
          <w:sz w:val="32"/>
          <w:szCs w:val="32"/>
          <w:highlight w:val="none"/>
          <w:u w:val="none"/>
          <w:lang w:val="en-US" w:eastAsia="zh-CN" w:bidi="ar"/>
        </w:rPr>
        <w:t>依托霍尔果斯版权交易平台，对游戏美术、音乐、视频等素材著作权登记实行“绿色通道”，登记流程缩短至10个工作日，企业可线上提交材料并查询进度；</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b/>
          <w:bCs/>
          <w:color w:val="auto"/>
          <w:kern w:val="0"/>
          <w:sz w:val="32"/>
          <w:szCs w:val="32"/>
          <w:highlight w:val="none"/>
          <w:u w:val="none"/>
          <w:lang w:val="en-US" w:eastAsia="zh-CN" w:bidi="ar"/>
        </w:rPr>
        <w:t>（三）版权纠纷解决服务：</w:t>
      </w:r>
      <w:r>
        <w:rPr>
          <w:rFonts w:hint="eastAsia" w:ascii="宋体" w:hAnsi="宋体" w:eastAsia="方正仿宋简体" w:cs="Times New Roman"/>
          <w:color w:val="auto"/>
          <w:kern w:val="0"/>
          <w:sz w:val="32"/>
          <w:szCs w:val="32"/>
          <w:highlight w:val="none"/>
          <w:u w:val="none"/>
          <w:lang w:val="en-US" w:eastAsia="zh-CN" w:bidi="ar"/>
        </w:rPr>
        <w:t>依据《霍尔果斯市维护网络游戏企业合法权益工作实施方案》，建立“企业—市科技局—市市场监督管理局”联动机制，企业提交纠纷调解申请后，3个工作日内专人负责对接，15个工作日内提供调解对接服务。对海外维权需求，依托驿路国际法务区，充分发挥入驻机 构作用，为企业提供风险评估、维权保护等专业服务。（牵头单位：市新闻出版局；责任单位：市委网信办，市公安局、司法局、文旅局、市监局）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方正楷体简体" w:cs="Times New Roman"/>
          <w:b/>
          <w:bCs/>
          <w:color w:val="auto"/>
          <w:spacing w:val="0"/>
          <w:kern w:val="2"/>
          <w:sz w:val="32"/>
          <w:szCs w:val="32"/>
          <w:highlight w:val="none"/>
          <w:u w:val="none"/>
          <w:lang w:val="en-US" w:eastAsia="zh-CN" w:bidi="ar-SA"/>
        </w:rPr>
      </w:pPr>
      <w:r>
        <w:rPr>
          <w:rFonts w:hint="eastAsia" w:ascii="宋体" w:hAnsi="宋体" w:eastAsia="方正楷体简体" w:cs="Times New Roman"/>
          <w:b/>
          <w:bCs/>
          <w:color w:val="auto"/>
          <w:spacing w:val="0"/>
          <w:kern w:val="2"/>
          <w:sz w:val="32"/>
          <w:szCs w:val="32"/>
          <w:highlight w:val="none"/>
          <w:u w:val="none"/>
          <w:lang w:val="en-US" w:eastAsia="zh-CN" w:bidi="ar-SA"/>
        </w:rPr>
        <w:t>第七条 支持本土文化创作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auto"/>
          <w:kern w:val="0"/>
          <w:sz w:val="32"/>
          <w:szCs w:val="32"/>
          <w:highlight w:val="none"/>
          <w:u w:val="none"/>
          <w:lang w:val="en-US" w:eastAsia="zh-CN"/>
        </w:rPr>
      </w:pPr>
      <w:r>
        <w:rPr>
          <w:rFonts w:hint="eastAsia" w:ascii="宋体" w:hAnsi="宋体" w:eastAsia="方正仿宋简体" w:cs="Times New Roman"/>
          <w:color w:val="auto"/>
          <w:kern w:val="0"/>
          <w:sz w:val="32"/>
          <w:szCs w:val="32"/>
          <w:highlight w:val="none"/>
          <w:u w:val="none"/>
          <w:lang w:val="en-US" w:eastAsia="zh-CN" w:bidi="ar"/>
        </w:rPr>
        <w:t>作品需为游戏企业原创，已完成开发并通过合规性审查。并融入“千年驿站、百年口岸、丝路新城、联通世界”等霍尔果斯元素（元素融入需自然合理，体现城市文化内涵，可通过剧情、场景、角色设定等方式呈现）</w:t>
      </w:r>
      <w:r>
        <w:rPr>
          <w:rFonts w:hint="eastAsia" w:ascii="宋体" w:hAnsi="宋体" w:eastAsia="方正仿宋简体" w:cs="Times New Roman"/>
          <w:color w:val="auto"/>
          <w:kern w:val="0"/>
          <w:sz w:val="32"/>
          <w:szCs w:val="32"/>
          <w:highlight w:val="none"/>
          <w:u w:val="none"/>
          <w:lang w:val="en-US" w:eastAsia="zh-CN"/>
        </w:rPr>
        <w:t>。作品需具有一定社会传播性（如通过合法平台上线后，用户评价正面，或获得行业内专业认可）。（牵头单位：市文旅局；责任单位：市财政局、科技局）</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宋体" w:hAnsi="宋体" w:eastAsia="方正仿宋简体" w:cs="Times New Roman"/>
          <w:b/>
          <w:bCs/>
          <w:color w:val="auto"/>
          <w:kern w:val="0"/>
          <w:sz w:val="32"/>
          <w:szCs w:val="32"/>
          <w:highlight w:val="none"/>
          <w:u w:val="none"/>
          <w:lang w:val="en-US" w:eastAsia="zh-CN"/>
        </w:rPr>
      </w:pPr>
      <w:r>
        <w:rPr>
          <w:rFonts w:hint="eastAsia" w:ascii="宋体" w:hAnsi="宋体" w:eastAsia="方正仿宋简体" w:cs="Times New Roman"/>
          <w:b/>
          <w:bCs/>
          <w:color w:val="auto"/>
          <w:kern w:val="0"/>
          <w:sz w:val="32"/>
          <w:szCs w:val="32"/>
          <w:highlight w:val="none"/>
          <w:u w:val="none"/>
          <w:lang w:val="en-US" w:eastAsia="zh-CN"/>
        </w:rPr>
        <w:t>申报材料：</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方正仿宋简体" w:cs="Times New Roman"/>
          <w:color w:val="auto"/>
          <w:kern w:val="0"/>
          <w:sz w:val="32"/>
          <w:szCs w:val="32"/>
          <w:highlight w:val="none"/>
          <w:u w:val="none"/>
          <w:lang w:val="en-US" w:eastAsia="zh-CN"/>
        </w:rPr>
      </w:pPr>
      <w:r>
        <w:rPr>
          <w:rFonts w:hint="eastAsia" w:ascii="宋体" w:hAnsi="宋体" w:eastAsia="方正仿宋简体" w:cs="Times New Roman"/>
          <w:color w:val="auto"/>
          <w:kern w:val="0"/>
          <w:sz w:val="32"/>
          <w:szCs w:val="32"/>
          <w:highlight w:val="none"/>
          <w:u w:val="none"/>
          <w:lang w:val="en-US" w:eastAsia="zh-CN"/>
        </w:rPr>
        <w:t>（一）游戏作品简介（含霍尔果斯元素融入说明及截图/视频佐证）；</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方正仿宋简体" w:cs="Times New Roman"/>
          <w:b/>
          <w:bCs/>
          <w:color w:val="auto"/>
          <w:kern w:val="0"/>
          <w:sz w:val="32"/>
          <w:szCs w:val="32"/>
          <w:highlight w:val="none"/>
          <w:u w:val="none"/>
          <w:lang w:val="en-US" w:eastAsia="zh-CN" w:bidi="ar"/>
        </w:rPr>
      </w:pPr>
      <w:r>
        <w:rPr>
          <w:rFonts w:hint="eastAsia" w:ascii="宋体" w:hAnsi="宋体" w:eastAsia="方正仿宋简体" w:cs="Times New Roman"/>
          <w:color w:val="auto"/>
          <w:kern w:val="0"/>
          <w:sz w:val="32"/>
          <w:szCs w:val="32"/>
          <w:highlight w:val="none"/>
          <w:u w:val="none"/>
          <w:lang w:val="en-US" w:eastAsia="zh-CN"/>
        </w:rPr>
        <w:t>（二）作品开发完成证明（如版本记录、上线备案信息）。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楷体简体" w:cs="Times New Roman"/>
          <w:b/>
          <w:bCs/>
          <w:color w:val="auto"/>
          <w:spacing w:val="0"/>
          <w:kern w:val="2"/>
          <w:sz w:val="32"/>
          <w:szCs w:val="32"/>
          <w:highlight w:val="none"/>
          <w:u w:val="none"/>
          <w:lang w:val="en-US" w:eastAsia="zh-CN" w:bidi="ar-SA"/>
        </w:rPr>
      </w:pPr>
      <w:r>
        <w:rPr>
          <w:rFonts w:hint="eastAsia" w:ascii="宋体" w:hAnsi="宋体" w:eastAsia="方正楷体简体" w:cs="Times New Roman"/>
          <w:b/>
          <w:bCs/>
          <w:color w:val="auto"/>
          <w:spacing w:val="0"/>
          <w:kern w:val="2"/>
          <w:sz w:val="32"/>
          <w:szCs w:val="32"/>
          <w:highlight w:val="none"/>
          <w:u w:val="none"/>
          <w:lang w:val="en-US" w:eastAsia="zh-CN" w:bidi="ar-SA"/>
        </w:rPr>
        <w:t>第八条 支持游戏拓展发行</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b w:val="0"/>
          <w:bCs w:val="0"/>
          <w:color w:val="auto"/>
          <w:kern w:val="0"/>
          <w:sz w:val="32"/>
          <w:szCs w:val="32"/>
          <w:highlight w:val="none"/>
          <w:u w:val="none"/>
          <w:lang w:val="en-US" w:eastAsia="zh-CN" w:bidi="ar"/>
        </w:rPr>
        <w:t>每年评定一次，</w:t>
      </w:r>
      <w:r>
        <w:rPr>
          <w:rFonts w:hint="eastAsia" w:ascii="宋体" w:hAnsi="宋体" w:eastAsia="方正仿宋简体" w:cs="Times New Roman"/>
          <w:color w:val="auto"/>
          <w:kern w:val="0"/>
          <w:sz w:val="32"/>
          <w:szCs w:val="32"/>
          <w:highlight w:val="none"/>
          <w:u w:val="none"/>
          <w:lang w:val="en-US" w:eastAsia="zh-CN" w:bidi="ar"/>
        </w:rPr>
        <w:t>国际级奖励（以TGA公布年度最佳游戏为准）一次性200万元，国家级奖励（以中国音像与数字出版协会公布的名单为准，第10名奖励10万元，每提高一名增加10万元）最高不超过100万元（同一作品获多个奖项的，按最高级别兑付1次）。（牵头单位：市科技局；责任单位：市财政局、文旅局）</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宋体" w:hAnsi="宋体" w:eastAsia="方正楷体简体" w:cs="Times New Roman"/>
          <w:b/>
          <w:bCs/>
          <w:color w:val="auto"/>
          <w:spacing w:val="0"/>
          <w:kern w:val="2"/>
          <w:sz w:val="32"/>
          <w:szCs w:val="32"/>
          <w:highlight w:val="none"/>
          <w:u w:val="none"/>
          <w:lang w:val="en-US" w:eastAsia="zh-CN" w:bidi="ar-SA"/>
        </w:rPr>
      </w:pPr>
      <w:r>
        <w:rPr>
          <w:rFonts w:hint="eastAsia" w:ascii="宋体" w:hAnsi="宋体" w:eastAsia="方正仿宋简体" w:cs="Times New Roman"/>
          <w:b/>
          <w:bCs/>
          <w:color w:val="auto"/>
          <w:kern w:val="0"/>
          <w:sz w:val="32"/>
          <w:szCs w:val="32"/>
          <w:highlight w:val="none"/>
          <w:u w:val="none"/>
          <w:lang w:val="en-US" w:eastAsia="zh-CN" w:bidi="ar"/>
        </w:rPr>
        <w:t>申报材料：</w:t>
      </w:r>
      <w:r>
        <w:rPr>
          <w:rFonts w:hint="eastAsia" w:ascii="宋体" w:hAnsi="宋体" w:eastAsia="方正仿宋简体" w:cs="Times New Roman"/>
          <w:color w:val="auto"/>
          <w:kern w:val="0"/>
          <w:sz w:val="32"/>
          <w:szCs w:val="32"/>
          <w:highlight w:val="none"/>
          <w:u w:val="none"/>
          <w:lang w:val="en-US" w:eastAsia="zh-CN" w:bidi="ar"/>
        </w:rPr>
        <w:t>提供国际级、国家级获奖证明原件及复印件。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方正楷体简体" w:cs="Times New Roman"/>
          <w:b/>
          <w:bCs/>
          <w:color w:val="auto"/>
          <w:spacing w:val="0"/>
          <w:kern w:val="2"/>
          <w:sz w:val="32"/>
          <w:szCs w:val="32"/>
          <w:highlight w:val="none"/>
          <w:u w:val="none"/>
          <w:lang w:val="en-US" w:eastAsia="zh-CN" w:bidi="ar-SA"/>
        </w:rPr>
      </w:pPr>
      <w:r>
        <w:rPr>
          <w:rFonts w:hint="eastAsia" w:ascii="宋体" w:hAnsi="宋体" w:eastAsia="方正楷体简体" w:cs="Times New Roman"/>
          <w:b/>
          <w:bCs/>
          <w:color w:val="auto"/>
          <w:spacing w:val="0"/>
          <w:kern w:val="2"/>
          <w:sz w:val="32"/>
          <w:szCs w:val="32"/>
          <w:highlight w:val="none"/>
          <w:u w:val="none"/>
          <w:lang w:val="en-US" w:eastAsia="zh-CN" w:bidi="ar-SA"/>
        </w:rPr>
        <w:t xml:space="preserve">第九条 支持加强人才储备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Songti SC" w:hAnsi="Songti SC" w:eastAsia="方正仿宋简体" w:cs="Times New Roman"/>
          <w:color w:val="auto"/>
          <w:kern w:val="0"/>
          <w:sz w:val="32"/>
          <w:szCs w:val="32"/>
          <w:highlight w:val="none"/>
          <w:lang w:val="en-US" w:eastAsia="zh-CN" w:bidi="ar"/>
        </w:rPr>
      </w:pPr>
      <w:r>
        <w:rPr>
          <w:rFonts w:hint="eastAsia" w:ascii="Songti SC" w:hAnsi="Songti SC" w:eastAsia="方正仿宋简体" w:cs="Times New Roman"/>
          <w:color w:val="auto"/>
          <w:kern w:val="0"/>
          <w:sz w:val="32"/>
          <w:szCs w:val="32"/>
          <w:highlight w:val="none"/>
          <w:lang w:val="en-US" w:eastAsia="zh-CN" w:bidi="ar"/>
        </w:rPr>
        <w:t>研发费用不低于500万元（以研发费用加计扣除申报表为准）按每300万元研发费用分配1个名额，每家企业每年最高10个名额，每个名额2万元，企业员工需在当地缴纳社保。（牵头单位：市科技局；责任单位：市财政局、人社局）</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Songti SC" w:hAnsi="Songti SC" w:eastAsia="方正仿宋简体" w:cs="Times New Roman"/>
          <w:b/>
          <w:bCs/>
          <w:color w:val="auto"/>
          <w:kern w:val="0"/>
          <w:sz w:val="32"/>
          <w:szCs w:val="32"/>
          <w:highlight w:val="none"/>
          <w:lang w:val="en-US" w:eastAsia="zh-CN" w:bidi="ar"/>
        </w:rPr>
      </w:pPr>
      <w:r>
        <w:rPr>
          <w:rFonts w:hint="eastAsia" w:ascii="宋体" w:hAnsi="宋体" w:eastAsia="方正仿宋简体" w:cs="Times New Roman"/>
          <w:b/>
          <w:bCs/>
          <w:color w:val="auto"/>
          <w:kern w:val="0"/>
          <w:sz w:val="32"/>
          <w:szCs w:val="32"/>
          <w:highlight w:val="none"/>
          <w:u w:val="none"/>
          <w:lang w:val="en-US" w:eastAsia="zh-CN" w:bidi="ar"/>
        </w:rPr>
        <w:t>申报材料</w:t>
      </w:r>
      <w:r>
        <w:rPr>
          <w:rFonts w:hint="eastAsia" w:ascii="Songti SC" w:hAnsi="Songti SC" w:eastAsia="方正仿宋简体" w:cs="Times New Roman"/>
          <w:b/>
          <w:bCs/>
          <w:color w:val="auto"/>
          <w:kern w:val="0"/>
          <w:sz w:val="32"/>
          <w:szCs w:val="32"/>
          <w:highlight w:val="none"/>
          <w:lang w:val="en-US" w:eastAsia="zh-CN" w:bidi="ar"/>
        </w:rPr>
        <w:t>：</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Songti SC" w:hAnsi="Songti SC" w:eastAsia="方正仿宋简体" w:cs="Times New Roman"/>
          <w:color w:val="auto"/>
          <w:kern w:val="0"/>
          <w:sz w:val="32"/>
          <w:szCs w:val="32"/>
          <w:highlight w:val="none"/>
          <w:lang w:val="en-US" w:eastAsia="zh-CN" w:bidi="ar"/>
        </w:rPr>
      </w:pPr>
      <w:r>
        <w:rPr>
          <w:rFonts w:hint="eastAsia" w:ascii="Songti SC" w:hAnsi="Songti SC" w:eastAsia="方正仿宋简体" w:cs="Times New Roman"/>
          <w:color w:val="auto"/>
          <w:kern w:val="0"/>
          <w:sz w:val="32"/>
          <w:szCs w:val="32"/>
          <w:highlight w:val="none"/>
          <w:lang w:val="en-US" w:eastAsia="zh-CN" w:bidi="ar"/>
        </w:rPr>
        <w:t>（一）提供企业人员花名册；</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Songti SC" w:hAnsi="Songti SC" w:eastAsia="方正仿宋简体" w:cs="Times New Roman"/>
          <w:color w:val="auto"/>
          <w:kern w:val="0"/>
          <w:sz w:val="32"/>
          <w:szCs w:val="32"/>
          <w:highlight w:val="none"/>
          <w:lang w:val="en-US" w:eastAsia="zh-CN" w:bidi="ar"/>
        </w:rPr>
      </w:pPr>
      <w:r>
        <w:rPr>
          <w:rFonts w:hint="eastAsia" w:ascii="Songti SC" w:hAnsi="Songti SC" w:eastAsia="方正仿宋简体" w:cs="Times New Roman"/>
          <w:color w:val="auto"/>
          <w:kern w:val="0"/>
          <w:sz w:val="32"/>
          <w:szCs w:val="32"/>
          <w:highlight w:val="none"/>
          <w:lang w:val="en-US" w:eastAsia="zh-CN" w:bidi="ar"/>
        </w:rPr>
        <w:t>（二）提供在当地缴纳社保证明（以国家社会保险公共服务平台为准）；</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Songti SC" w:hAnsi="Songti SC" w:eastAsia="方正仿宋简体" w:cs="Times New Roman"/>
          <w:color w:val="auto"/>
          <w:kern w:val="0"/>
          <w:sz w:val="32"/>
          <w:szCs w:val="32"/>
          <w:highlight w:val="none"/>
          <w:lang w:val="en-US" w:eastAsia="zh-CN" w:bidi="ar"/>
        </w:rPr>
      </w:pPr>
      <w:r>
        <w:rPr>
          <w:rFonts w:hint="eastAsia" w:ascii="Songti SC" w:hAnsi="Songti SC" w:eastAsia="方正仿宋简体" w:cs="Times New Roman"/>
          <w:color w:val="auto"/>
          <w:kern w:val="0"/>
          <w:sz w:val="32"/>
          <w:szCs w:val="32"/>
          <w:highlight w:val="none"/>
          <w:lang w:val="en-US" w:eastAsia="zh-CN" w:bidi="ar"/>
        </w:rPr>
        <w:t>（三）提供工资发放凭证。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楷体简体" w:cs="Times New Roman"/>
          <w:b/>
          <w:bCs/>
          <w:color w:val="auto"/>
          <w:spacing w:val="0"/>
          <w:kern w:val="2"/>
          <w:sz w:val="32"/>
          <w:szCs w:val="32"/>
          <w:highlight w:val="none"/>
          <w:u w:val="none"/>
          <w:lang w:val="en-US" w:eastAsia="zh-CN" w:bidi="ar-SA"/>
        </w:rPr>
      </w:pPr>
      <w:r>
        <w:rPr>
          <w:rFonts w:hint="eastAsia" w:ascii="宋体" w:hAnsi="宋体" w:eastAsia="方正楷体简体" w:cs="Times New Roman"/>
          <w:b/>
          <w:bCs/>
          <w:color w:val="auto"/>
          <w:spacing w:val="0"/>
          <w:kern w:val="2"/>
          <w:sz w:val="32"/>
          <w:szCs w:val="32"/>
          <w:highlight w:val="none"/>
          <w:u w:val="none"/>
          <w:lang w:val="en-US" w:eastAsia="zh-CN" w:bidi="ar-SA"/>
        </w:rPr>
        <w:t>第十条 支持电竞赛事举办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b w:val="0"/>
          <w:bCs w:val="0"/>
          <w:color w:val="auto"/>
          <w:kern w:val="0"/>
          <w:sz w:val="32"/>
          <w:szCs w:val="32"/>
          <w:highlight w:val="none"/>
          <w:u w:val="none"/>
          <w:lang w:val="en-US" w:eastAsia="zh-CN" w:bidi="ar"/>
        </w:rPr>
        <w:t>国际级赛事</w:t>
      </w:r>
      <w:r>
        <w:rPr>
          <w:rFonts w:hint="eastAsia" w:ascii="宋体" w:hAnsi="宋体" w:eastAsia="方正仿宋简体" w:cs="Times New Roman"/>
          <w:color w:val="auto"/>
          <w:kern w:val="0"/>
          <w:sz w:val="32"/>
          <w:szCs w:val="32"/>
          <w:highlight w:val="none"/>
          <w:u w:val="none"/>
          <w:lang w:val="en-US" w:eastAsia="zh-CN" w:bidi="ar"/>
        </w:rPr>
        <w:t>经国际电竞协认证，一次性奖励200万元；由国家体育总局、文旅部、游戏协会主办国家级赛事，一次性奖励100万元；</w:t>
      </w:r>
      <w:r>
        <w:rPr>
          <w:rFonts w:hint="default" w:ascii="Songti SC" w:hAnsi="Songti SC" w:eastAsia="方正仿宋简体" w:cs="Times New Roman"/>
          <w:color w:val="auto"/>
          <w:kern w:val="0"/>
          <w:sz w:val="32"/>
          <w:szCs w:val="32"/>
          <w:highlight w:val="none"/>
          <w:u w:val="none"/>
          <w:lang w:val="en-US" w:eastAsia="zh-CN"/>
        </w:rPr>
        <w:t>游戏展会、</w:t>
      </w:r>
      <w:r>
        <w:rPr>
          <w:rFonts w:hint="eastAsia" w:ascii="Songti SC" w:hAnsi="Songti SC" w:eastAsia="方正仿宋简体" w:cs="Times New Roman"/>
          <w:color w:val="auto"/>
          <w:kern w:val="0"/>
          <w:sz w:val="32"/>
          <w:szCs w:val="32"/>
          <w:highlight w:val="none"/>
          <w:u w:val="none"/>
          <w:lang w:val="en-US" w:eastAsia="zh-CN"/>
        </w:rPr>
        <w:t>“</w:t>
      </w:r>
      <w:r>
        <w:rPr>
          <w:rFonts w:hint="default" w:ascii="Songti SC" w:hAnsi="Songti SC" w:eastAsia="方正仿宋简体" w:cs="Times New Roman"/>
          <w:color w:val="auto"/>
          <w:kern w:val="0"/>
          <w:sz w:val="32"/>
          <w:szCs w:val="32"/>
          <w:highlight w:val="none"/>
          <w:u w:val="none"/>
          <w:lang w:val="en-US" w:eastAsia="zh-CN"/>
        </w:rPr>
        <w:t>电竞+消费</w:t>
      </w:r>
      <w:r>
        <w:rPr>
          <w:rFonts w:hint="eastAsia" w:ascii="Songti SC" w:hAnsi="Songti SC" w:eastAsia="方正仿宋简体" w:cs="Times New Roman"/>
          <w:color w:val="auto"/>
          <w:kern w:val="0"/>
          <w:sz w:val="32"/>
          <w:szCs w:val="32"/>
          <w:highlight w:val="none"/>
          <w:u w:val="none"/>
          <w:lang w:val="en-US" w:eastAsia="zh-CN"/>
        </w:rPr>
        <w:t>”</w:t>
      </w:r>
      <w:r>
        <w:rPr>
          <w:rFonts w:hint="default" w:ascii="Songti SC" w:hAnsi="Songti SC" w:eastAsia="方正仿宋简体" w:cs="Times New Roman"/>
          <w:color w:val="auto"/>
          <w:kern w:val="0"/>
          <w:sz w:val="32"/>
          <w:szCs w:val="32"/>
          <w:highlight w:val="none"/>
          <w:u w:val="none"/>
          <w:lang w:val="en-US" w:eastAsia="zh-CN"/>
        </w:rPr>
        <w:t>活动</w:t>
      </w:r>
      <w:r>
        <w:rPr>
          <w:rFonts w:hint="eastAsia" w:ascii="宋体" w:hAnsi="宋体" w:eastAsia="方正仿宋简体" w:cs="Times New Roman"/>
          <w:color w:val="auto"/>
          <w:kern w:val="0"/>
          <w:sz w:val="32"/>
          <w:szCs w:val="32"/>
          <w:highlight w:val="none"/>
          <w:u w:val="none"/>
          <w:lang w:val="en-US" w:eastAsia="zh-CN" w:bidi="ar"/>
        </w:rPr>
        <w:t>经评定给予主办方最高不超过100万元奖励（根据活动规模、影响力确定）。参展企业超50家或线下参与人次超1万，奖励25万元；企业超100家或人次超2万人，奖励50万元；企业超150家或人次超3万人，奖励75万元；企业超200家或人次超4万人，奖励100万元。（牵头单位：文旅局；责任单位：市财政局、科技局）</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宋体" w:hAnsi="宋体" w:eastAsia="方正仿宋简体" w:cs="Times New Roman"/>
          <w:b/>
          <w:bCs/>
          <w:color w:val="auto"/>
          <w:kern w:val="0"/>
          <w:sz w:val="32"/>
          <w:szCs w:val="32"/>
          <w:highlight w:val="none"/>
          <w:u w:val="none"/>
          <w:lang w:val="en-US" w:eastAsia="zh-CN" w:bidi="ar"/>
        </w:rPr>
      </w:pPr>
      <w:r>
        <w:rPr>
          <w:rFonts w:hint="eastAsia" w:ascii="宋体" w:hAnsi="宋体" w:eastAsia="方正仿宋简体" w:cs="Times New Roman"/>
          <w:b/>
          <w:bCs/>
          <w:color w:val="auto"/>
          <w:kern w:val="0"/>
          <w:sz w:val="32"/>
          <w:szCs w:val="32"/>
          <w:highlight w:val="none"/>
          <w:u w:val="none"/>
          <w:lang w:val="en-US" w:eastAsia="zh-CN" w:bidi="ar"/>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color w:val="auto"/>
          <w:kern w:val="0"/>
          <w:sz w:val="32"/>
          <w:szCs w:val="32"/>
          <w:highlight w:val="none"/>
          <w:u w:val="none"/>
          <w:lang w:val="en-US" w:eastAsia="zh-CN" w:bidi="ar"/>
        </w:rPr>
        <w:t>（一）国家相关部门出具的国际级、国家级认证材料；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color w:val="auto"/>
          <w:kern w:val="0"/>
          <w:sz w:val="32"/>
          <w:szCs w:val="32"/>
          <w:highlight w:val="none"/>
          <w:u w:val="none"/>
          <w:lang w:val="en-US" w:eastAsia="zh-CN" w:bidi="ar"/>
        </w:rPr>
        <w:t>（二）主办方需在赛事举办前3个月向市科技局提交申请（含赛事方案、预算、影响力评估报告）；</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color w:val="auto"/>
          <w:kern w:val="0"/>
          <w:sz w:val="32"/>
          <w:szCs w:val="32"/>
          <w:highlight w:val="none"/>
          <w:u w:val="none"/>
          <w:lang w:val="en-US" w:eastAsia="zh-CN"/>
        </w:rPr>
        <w:t>（三）项目场地租赁合同协议；</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color w:val="auto"/>
          <w:kern w:val="0"/>
          <w:sz w:val="32"/>
          <w:szCs w:val="32"/>
          <w:highlight w:val="none"/>
          <w:u w:val="none"/>
          <w:lang w:val="en-US" w:eastAsia="zh-CN" w:bidi="ar"/>
        </w:rPr>
        <w:t>（四）赛事落地后提供举办证明（如现场照片、媒体报道、参与人数统计）。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楷体简体" w:cs="Times New Roman"/>
          <w:b/>
          <w:bCs/>
          <w:color w:val="auto"/>
          <w:spacing w:val="0"/>
          <w:kern w:val="2"/>
          <w:sz w:val="32"/>
          <w:szCs w:val="32"/>
          <w:highlight w:val="none"/>
          <w:u w:val="none"/>
          <w:lang w:val="en-US" w:eastAsia="zh-CN" w:bidi="ar-SA"/>
        </w:rPr>
        <w:t>第十一条 支持网络游戏出海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Songti SC" w:hAnsi="Songti SC" w:eastAsia="方正仿宋简体" w:cs="Times New Roman"/>
          <w:color w:val="auto"/>
          <w:kern w:val="0"/>
          <w:sz w:val="32"/>
          <w:szCs w:val="32"/>
          <w:highlight w:val="none"/>
          <w:u w:val="none"/>
          <w:lang w:val="en-US" w:eastAsia="zh-CN"/>
        </w:rPr>
      </w:pPr>
      <w:r>
        <w:rPr>
          <w:rFonts w:hint="eastAsia" w:ascii="宋体" w:hAnsi="宋体" w:eastAsia="方正仿宋简体" w:cs="Times New Roman"/>
          <w:color w:val="auto"/>
          <w:kern w:val="0"/>
          <w:sz w:val="32"/>
          <w:szCs w:val="32"/>
          <w:highlight w:val="none"/>
          <w:u w:val="none"/>
          <w:lang w:val="en-US" w:eastAsia="zh-CN" w:bidi="ar"/>
        </w:rPr>
        <w:t>每年评定一次，对年度游戏十强优秀“走出去”企业奖励（以中国音像与数字出版协会公布的名单为准，第10名奖励20万元，每提高一名增加20万元）</w:t>
      </w:r>
      <w:r>
        <w:rPr>
          <w:rFonts w:hint="eastAsia" w:ascii="Songti SC" w:hAnsi="Songti SC" w:eastAsia="方正仿宋简体" w:cs="Times New Roman"/>
          <w:color w:val="auto"/>
          <w:kern w:val="0"/>
          <w:sz w:val="32"/>
          <w:szCs w:val="32"/>
          <w:highlight w:val="none"/>
          <w:u w:val="none"/>
          <w:lang w:val="en-US" w:eastAsia="zh-CN"/>
        </w:rPr>
        <w:t>最高不超过200万元。（牵头单位：市科技局；责任单位：市财政局、商务局）</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b/>
          <w:bCs/>
          <w:color w:val="auto"/>
          <w:kern w:val="0"/>
          <w:sz w:val="32"/>
          <w:szCs w:val="32"/>
          <w:highlight w:val="none"/>
          <w:u w:val="none"/>
          <w:lang w:val="en-US" w:eastAsia="zh-CN" w:bidi="ar"/>
        </w:rPr>
        <w:t>申报材料：</w:t>
      </w:r>
      <w:r>
        <w:rPr>
          <w:rFonts w:hint="eastAsia" w:ascii="宋体" w:hAnsi="宋体" w:eastAsia="方正仿宋简体" w:cs="Times New Roman"/>
          <w:color w:val="auto"/>
          <w:kern w:val="0"/>
          <w:sz w:val="32"/>
          <w:szCs w:val="32"/>
          <w:highlight w:val="none"/>
          <w:u w:val="none"/>
          <w:lang w:val="en-US" w:eastAsia="zh-CN" w:bidi="ar"/>
        </w:rPr>
        <w:t>提供中国音像与数字出版协会发布的获奖证明原件及复印件。</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宋体" w:hAnsi="宋体" w:eastAsia="方正仿宋简体" w:cs="Times New Roman"/>
          <w:color w:val="auto"/>
          <w:kern w:val="0"/>
          <w:sz w:val="32"/>
          <w:szCs w:val="32"/>
          <w:highlight w:val="none"/>
          <w:u w:val="none"/>
          <w:lang w:val="en-US" w:eastAsia="zh-CN" w:bidi="ar"/>
        </w:rPr>
      </w:pPr>
      <w:r>
        <w:rPr>
          <w:rFonts w:hint="eastAsia" w:ascii="宋体" w:hAnsi="宋体" w:eastAsia="黑体" w:cs="黑体"/>
          <w:color w:val="auto"/>
          <w:kern w:val="0"/>
          <w:sz w:val="32"/>
          <w:szCs w:val="32"/>
          <w:highlight w:val="none"/>
          <w:u w:val="none"/>
          <w:lang w:val="en-US" w:eastAsia="zh-CN"/>
        </w:rPr>
        <w:t>第四章 项目申报与资金管理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楷体简体" w:cs="Times New Roman"/>
          <w:b/>
          <w:bCs/>
          <w:color w:val="auto"/>
          <w:spacing w:val="0"/>
          <w:kern w:val="2"/>
          <w:sz w:val="32"/>
          <w:szCs w:val="32"/>
          <w:highlight w:val="none"/>
          <w:u w:val="none"/>
          <w:lang w:val="en-US" w:eastAsia="zh-CN" w:bidi="ar-SA"/>
        </w:rPr>
      </w:pPr>
      <w:r>
        <w:rPr>
          <w:rFonts w:hint="eastAsia" w:ascii="宋体" w:hAnsi="宋体" w:eastAsia="方正楷体简体" w:cs="Times New Roman"/>
          <w:b/>
          <w:bCs/>
          <w:color w:val="auto"/>
          <w:spacing w:val="0"/>
          <w:kern w:val="2"/>
          <w:sz w:val="32"/>
          <w:szCs w:val="32"/>
          <w:highlight w:val="none"/>
          <w:u w:val="none"/>
          <w:lang w:val="en-US" w:eastAsia="zh-CN" w:bidi="ar-SA"/>
        </w:rPr>
        <w:t>第十二条 项目申报需提供以下材料：</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方正仿宋简体" w:cs="Times New Roman"/>
          <w:color w:val="auto"/>
          <w:kern w:val="0"/>
          <w:sz w:val="32"/>
          <w:szCs w:val="32"/>
          <w:highlight w:val="none"/>
          <w:u w:val="none"/>
          <w:lang w:val="en-US" w:eastAsia="zh-CN"/>
        </w:rPr>
      </w:pPr>
      <w:r>
        <w:rPr>
          <w:rFonts w:hint="eastAsia" w:ascii="宋体" w:hAnsi="宋体" w:eastAsia="方正仿宋简体" w:cs="Times New Roman"/>
          <w:color w:val="auto"/>
          <w:kern w:val="0"/>
          <w:sz w:val="32"/>
          <w:szCs w:val="32"/>
          <w:highlight w:val="none"/>
          <w:u w:val="none"/>
          <w:lang w:val="en-US" w:eastAsia="zh-CN"/>
        </w:rPr>
        <w:t>（一）扶持资金申请表；</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宋体" w:hAnsi="宋体" w:eastAsia="方正仿宋简体" w:cs="Times New Roman"/>
          <w:color w:val="auto"/>
          <w:kern w:val="0"/>
          <w:sz w:val="32"/>
          <w:szCs w:val="32"/>
          <w:highlight w:val="none"/>
          <w:u w:val="none"/>
          <w:lang w:val="en-US" w:eastAsia="zh-CN"/>
        </w:rPr>
      </w:pPr>
      <w:r>
        <w:rPr>
          <w:rFonts w:hint="eastAsia" w:ascii="宋体" w:hAnsi="宋体" w:eastAsia="方正仿宋简体" w:cs="Times New Roman"/>
          <w:color w:val="auto"/>
          <w:kern w:val="0"/>
          <w:sz w:val="32"/>
          <w:szCs w:val="32"/>
          <w:highlight w:val="none"/>
          <w:u w:val="none"/>
          <w:lang w:val="en-US" w:eastAsia="zh-CN"/>
        </w:rPr>
        <w:t>（二）申请企业的营业执照、税务登记证、组织机构代码证书复印件；</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color w:val="auto"/>
          <w:kern w:val="0"/>
          <w:sz w:val="32"/>
          <w:szCs w:val="32"/>
          <w:highlight w:val="none"/>
          <w:u w:val="none"/>
          <w:lang w:val="en-US" w:eastAsia="zh-CN"/>
        </w:rPr>
        <w:t>（三）</w:t>
      </w:r>
      <w:r>
        <w:rPr>
          <w:rFonts w:hint="eastAsia" w:ascii="宋体" w:hAnsi="宋体" w:eastAsia="方正仿宋简体" w:cs="Times New Roman"/>
          <w:color w:val="auto"/>
          <w:kern w:val="0"/>
          <w:sz w:val="32"/>
          <w:szCs w:val="32"/>
          <w:highlight w:val="none"/>
          <w:u w:val="none"/>
          <w:lang w:val="en-US" w:eastAsia="zh-CN" w:bidi="ar"/>
        </w:rPr>
        <w:t>企业开户行账号信息；</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color w:val="auto"/>
          <w:kern w:val="0"/>
          <w:sz w:val="32"/>
          <w:szCs w:val="32"/>
          <w:highlight w:val="none"/>
          <w:u w:val="none"/>
          <w:lang w:val="en-US" w:eastAsia="zh-CN"/>
        </w:rPr>
        <w:t>（四）</w:t>
      </w:r>
      <w:r>
        <w:rPr>
          <w:rFonts w:hint="eastAsia" w:ascii="宋体" w:hAnsi="宋体" w:eastAsia="方正仿宋简体" w:cs="Times New Roman"/>
          <w:color w:val="auto"/>
          <w:kern w:val="0"/>
          <w:sz w:val="32"/>
          <w:szCs w:val="32"/>
          <w:highlight w:val="none"/>
          <w:u w:val="none"/>
          <w:lang w:val="en-US" w:eastAsia="zh-CN" w:bidi="ar"/>
        </w:rPr>
        <w:t>实际经营活动地的证明材料；</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color w:val="auto"/>
          <w:kern w:val="0"/>
          <w:sz w:val="32"/>
          <w:szCs w:val="32"/>
          <w:highlight w:val="none"/>
          <w:u w:val="none"/>
          <w:lang w:val="en-US" w:eastAsia="zh-CN" w:bidi="ar"/>
        </w:rPr>
        <w:t>（五）</w:t>
      </w:r>
      <w:r>
        <w:rPr>
          <w:rFonts w:hint="eastAsia" w:ascii="宋体" w:hAnsi="宋体" w:eastAsia="方正仿宋简体" w:cs="Times New Roman"/>
          <w:color w:val="auto"/>
          <w:kern w:val="0"/>
          <w:sz w:val="32"/>
          <w:szCs w:val="32"/>
          <w:highlight w:val="none"/>
          <w:u w:val="none"/>
          <w:lang w:val="en-US" w:eastAsia="zh-CN"/>
        </w:rPr>
        <w:t>诚实信用承诺书；</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color w:val="auto"/>
          <w:kern w:val="0"/>
          <w:sz w:val="32"/>
          <w:szCs w:val="32"/>
          <w:highlight w:val="none"/>
          <w:u w:val="none"/>
          <w:lang w:val="en-US" w:eastAsia="zh-CN"/>
        </w:rPr>
        <w:t>（六）</w:t>
      </w:r>
      <w:r>
        <w:rPr>
          <w:rFonts w:hint="eastAsia" w:ascii="宋体" w:hAnsi="宋体" w:eastAsia="方正仿宋简体" w:cs="Times New Roman"/>
          <w:color w:val="auto"/>
          <w:kern w:val="0"/>
          <w:sz w:val="32"/>
          <w:szCs w:val="32"/>
          <w:highlight w:val="none"/>
          <w:u w:val="none"/>
          <w:lang w:val="en-US" w:eastAsia="zh-CN" w:bidi="ar"/>
        </w:rPr>
        <w:t>第三章所需材料；</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color w:val="auto"/>
          <w:kern w:val="0"/>
          <w:sz w:val="32"/>
          <w:szCs w:val="32"/>
          <w:highlight w:val="none"/>
          <w:u w:val="none"/>
          <w:lang w:val="en-US" w:eastAsia="zh-CN" w:bidi="ar"/>
        </w:rPr>
        <w:t>（七）项目申报所需的其他材料。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楷体简体" w:cs="Times New Roman"/>
          <w:b/>
          <w:bCs/>
          <w:color w:val="auto"/>
          <w:spacing w:val="0"/>
          <w:kern w:val="2"/>
          <w:sz w:val="32"/>
          <w:szCs w:val="32"/>
          <w:highlight w:val="none"/>
          <w:u w:val="none"/>
          <w:lang w:val="en-US" w:eastAsia="zh-CN" w:bidi="ar-SA"/>
        </w:rPr>
      </w:pPr>
      <w:r>
        <w:rPr>
          <w:rFonts w:hint="eastAsia" w:ascii="宋体" w:hAnsi="宋体" w:eastAsia="方正楷体简体" w:cs="Times New Roman"/>
          <w:b/>
          <w:bCs/>
          <w:color w:val="auto"/>
          <w:spacing w:val="0"/>
          <w:kern w:val="2"/>
          <w:sz w:val="32"/>
          <w:szCs w:val="32"/>
          <w:highlight w:val="none"/>
          <w:u w:val="none"/>
          <w:lang w:val="en-US" w:eastAsia="zh-CN" w:bidi="ar-SA"/>
        </w:rPr>
        <w:t>第十三条 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color w:val="auto"/>
          <w:kern w:val="0"/>
          <w:sz w:val="32"/>
          <w:szCs w:val="32"/>
          <w:highlight w:val="none"/>
          <w:u w:val="none"/>
          <w:lang w:val="en-US" w:eastAsia="zh-CN" w:bidi="ar"/>
        </w:rPr>
        <w:t>（一）</w:t>
      </w:r>
      <w:r>
        <w:rPr>
          <w:rFonts w:hint="eastAsia" w:ascii="宋体" w:hAnsi="宋体" w:eastAsia="方正仿宋简体" w:cs="Times New Roman"/>
          <w:color w:val="auto"/>
          <w:kern w:val="0"/>
          <w:sz w:val="32"/>
          <w:szCs w:val="32"/>
          <w:highlight w:val="none"/>
          <w:u w:val="none"/>
          <w:lang w:val="en-US" w:eastAsia="zh-CN"/>
        </w:rPr>
        <w:t>申报主体对申报材料的真实性负责，需提供诚实信用承诺书。对弄虚作假、骗取资金的，予以追回，情节严重的，将依法追究相关单位和人员责任；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color w:val="auto"/>
          <w:kern w:val="0"/>
          <w:sz w:val="32"/>
          <w:szCs w:val="32"/>
          <w:highlight w:val="none"/>
          <w:u w:val="none"/>
          <w:lang w:val="en-US" w:eastAsia="zh-CN" w:bidi="ar"/>
        </w:rPr>
        <w:t>（二）项目审核通过后，统一由市科技局上报市委、市政府上会研究，由市财政局通过国库集中支付方式拨付至企业账户；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color w:val="auto"/>
          <w:kern w:val="0"/>
          <w:sz w:val="32"/>
          <w:szCs w:val="32"/>
          <w:highlight w:val="none"/>
          <w:u w:val="none"/>
          <w:lang w:val="en-US" w:eastAsia="zh-CN"/>
        </w:rPr>
      </w:pPr>
      <w:r>
        <w:rPr>
          <w:rFonts w:hint="eastAsia" w:ascii="宋体" w:hAnsi="宋体" w:eastAsia="方正仿宋简体" w:cs="Times New Roman"/>
          <w:color w:val="auto"/>
          <w:kern w:val="0"/>
          <w:sz w:val="32"/>
          <w:szCs w:val="32"/>
          <w:highlight w:val="none"/>
          <w:u w:val="none"/>
          <w:lang w:val="en-US" w:eastAsia="zh-CN" w:bidi="ar"/>
        </w:rPr>
        <w:t>（三）市科技局、市财政局每年对资金使用情况开展专项审计，结果向社会公开。</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黑体" w:cs="黑体"/>
          <w:color w:val="auto"/>
          <w:kern w:val="0"/>
          <w:sz w:val="32"/>
          <w:szCs w:val="32"/>
          <w:highlight w:val="none"/>
          <w:u w:val="none"/>
          <w:lang w:val="en-US" w:eastAsia="zh-CN"/>
        </w:rPr>
      </w:pPr>
      <w:r>
        <w:rPr>
          <w:rFonts w:hint="eastAsia" w:ascii="宋体" w:hAnsi="宋体" w:eastAsia="黑体" w:cs="黑体"/>
          <w:color w:val="auto"/>
          <w:kern w:val="0"/>
          <w:sz w:val="32"/>
          <w:szCs w:val="32"/>
          <w:highlight w:val="none"/>
          <w:u w:val="none"/>
          <w:lang w:val="en-US" w:eastAsia="zh-CN"/>
        </w:rPr>
        <w:t>第五章 附 则</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方正仿宋简体" w:cs="Times New Roman"/>
          <w:color w:val="auto"/>
          <w:kern w:val="0"/>
          <w:sz w:val="32"/>
          <w:szCs w:val="32"/>
          <w:highlight w:val="none"/>
          <w:u w:val="none"/>
          <w:lang w:val="en-US" w:eastAsia="zh-CN"/>
        </w:rPr>
      </w:pPr>
      <w:r>
        <w:rPr>
          <w:rFonts w:hint="eastAsia" w:ascii="宋体" w:hAnsi="宋体" w:eastAsia="方正仿宋简体" w:cs="Times New Roman"/>
          <w:color w:val="auto"/>
          <w:kern w:val="0"/>
          <w:sz w:val="32"/>
          <w:szCs w:val="32"/>
          <w:highlight w:val="none"/>
          <w:u w:val="none"/>
          <w:lang w:val="en-US" w:eastAsia="zh-CN" w:bidi="ar"/>
        </w:rPr>
        <w:t>（一）本细则与政策同步施行，由市科技局负责解释；</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color w:val="auto"/>
          <w:kern w:val="0"/>
          <w:sz w:val="32"/>
          <w:szCs w:val="32"/>
          <w:highlight w:val="none"/>
          <w:u w:val="none"/>
          <w:lang w:val="en-US" w:eastAsia="zh-CN" w:bidi="ar"/>
        </w:rPr>
        <w:t>（二）政策有效期内未完成兑现的项目，按原政策及本细则执行；</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宋体" w:hAnsi="宋体" w:eastAsia="方正仿宋简体" w:cs="Times New Roman"/>
          <w:color w:val="auto"/>
          <w:kern w:val="0"/>
          <w:sz w:val="32"/>
          <w:szCs w:val="32"/>
          <w:highlight w:val="none"/>
          <w:u w:val="none"/>
          <w:lang w:val="en-US" w:eastAsia="zh-CN" w:bidi="ar"/>
        </w:rPr>
      </w:pPr>
      <w:r>
        <w:rPr>
          <w:rFonts w:hint="eastAsia" w:ascii="宋体" w:hAnsi="宋体" w:eastAsia="方正仿宋简体" w:cs="Times New Roman"/>
          <w:color w:val="auto"/>
          <w:kern w:val="0"/>
          <w:sz w:val="32"/>
          <w:szCs w:val="32"/>
          <w:highlight w:val="none"/>
          <w:u w:val="none"/>
          <w:lang w:val="en-US" w:eastAsia="zh-CN" w:bidi="ar"/>
        </w:rPr>
        <w:t>（三）若国家、自治区出台相关新政策，按“从高不重复”原则执行；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宋体" w:hAnsi="宋体" w:eastAsia="方正仿宋_GBK" w:cs="方正仿宋_GBK"/>
          <w:b w:val="0"/>
          <w:bCs w:val="0"/>
          <w:color w:val="auto"/>
          <w:spacing w:val="8"/>
          <w:sz w:val="24"/>
          <w:szCs w:val="24"/>
          <w:highlight w:val="none"/>
          <w:u w:val="none"/>
          <w:shd w:val="clear" w:color="auto" w:fill="FFFFFF"/>
          <w:lang w:val="en-US" w:eastAsia="zh-CN"/>
        </w:rPr>
      </w:pPr>
      <w:r>
        <w:rPr>
          <w:rFonts w:hint="eastAsia" w:ascii="宋体" w:hAnsi="宋体" w:eastAsia="方正仿宋简体" w:cs="Times New Roman"/>
          <w:color w:val="auto"/>
          <w:kern w:val="0"/>
          <w:sz w:val="32"/>
          <w:szCs w:val="32"/>
          <w:highlight w:val="none"/>
          <w:u w:val="none"/>
          <w:lang w:val="en-US" w:eastAsia="zh-CN" w:bidi="ar"/>
        </w:rPr>
        <w:t>（四）本细则自</w:t>
      </w:r>
      <w:r>
        <w:rPr>
          <w:rFonts w:hint="eastAsia" w:ascii="宋体" w:hAnsi="宋体" w:eastAsia="方正仿宋简体" w:cs="Times New Roman"/>
          <w:color w:val="auto"/>
          <w:kern w:val="0"/>
          <w:sz w:val="32"/>
          <w:szCs w:val="32"/>
          <w:highlight w:val="none"/>
          <w:u w:val="none"/>
          <w:lang w:val="en-US" w:eastAsia="zh-CN"/>
        </w:rPr>
        <w:t>印发之日起施行，有效期1年。</w:t>
      </w:r>
    </w:p>
    <w:p>
      <w:pPr>
        <w:keepNext w:val="0"/>
        <w:keepLines w:val="0"/>
        <w:pageBreakBefore w:val="0"/>
        <w:widowControl w:val="0"/>
        <w:kinsoku/>
        <w:wordWrap/>
        <w:overflowPunct/>
        <w:topLinePunct w:val="0"/>
        <w:autoSpaceDE/>
        <w:autoSpaceDN/>
        <w:bidi w:val="0"/>
        <w:adjustRightInd/>
        <w:snapToGrid/>
        <w:spacing w:line="560" w:lineRule="exact"/>
        <w:textAlignment w:val="auto"/>
        <w:rPr>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531" w:bottom="1984" w:left="1531" w:header="1134"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ngti SC">
    <w:altName w:val="宋体"/>
    <w:panose1 w:val="0201080004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FCFCF"/>
    <w:rsid w:val="003A0914"/>
    <w:rsid w:val="128105EC"/>
    <w:rsid w:val="12B90746"/>
    <w:rsid w:val="177F3E0E"/>
    <w:rsid w:val="178F8876"/>
    <w:rsid w:val="181E2472"/>
    <w:rsid w:val="19665E27"/>
    <w:rsid w:val="24EC4023"/>
    <w:rsid w:val="274A506A"/>
    <w:rsid w:val="2CD45AC9"/>
    <w:rsid w:val="2CFB289C"/>
    <w:rsid w:val="2F2B74F6"/>
    <w:rsid w:val="30676C54"/>
    <w:rsid w:val="31CA5D42"/>
    <w:rsid w:val="39E73456"/>
    <w:rsid w:val="3C2506B9"/>
    <w:rsid w:val="3C453D04"/>
    <w:rsid w:val="3FF26648"/>
    <w:rsid w:val="4FBF2FA6"/>
    <w:rsid w:val="583F5E22"/>
    <w:rsid w:val="5BBD07BE"/>
    <w:rsid w:val="5CC649FF"/>
    <w:rsid w:val="5CFE264B"/>
    <w:rsid w:val="5DEF6165"/>
    <w:rsid w:val="5FFEC33D"/>
    <w:rsid w:val="63AB270A"/>
    <w:rsid w:val="655820EC"/>
    <w:rsid w:val="67D6165D"/>
    <w:rsid w:val="6BCA2BEC"/>
    <w:rsid w:val="6F1F4820"/>
    <w:rsid w:val="6FFF76E7"/>
    <w:rsid w:val="71687B5B"/>
    <w:rsid w:val="73E536E4"/>
    <w:rsid w:val="73FF72AF"/>
    <w:rsid w:val="7A9BF54F"/>
    <w:rsid w:val="7AE7FA72"/>
    <w:rsid w:val="7C6F5C86"/>
    <w:rsid w:val="7F7FCFCF"/>
    <w:rsid w:val="7FDD5DB2"/>
    <w:rsid w:val="7FF3C56C"/>
    <w:rsid w:val="9A3F6260"/>
    <w:rsid w:val="9B795F4C"/>
    <w:rsid w:val="AFFFF6E2"/>
    <w:rsid w:val="B37C32EE"/>
    <w:rsid w:val="B3DDCDA3"/>
    <w:rsid w:val="DB77BE2A"/>
    <w:rsid w:val="E9FF395C"/>
    <w:rsid w:val="EAFBED1E"/>
    <w:rsid w:val="EB4D32BB"/>
    <w:rsid w:val="EFCFBED9"/>
    <w:rsid w:val="F45F907C"/>
    <w:rsid w:val="F6AA2CEA"/>
    <w:rsid w:val="F71BE939"/>
    <w:rsid w:val="FCD7CF9A"/>
    <w:rsid w:val="FDF62130"/>
    <w:rsid w:val="FDFFF091"/>
    <w:rsid w:val="FF699841"/>
    <w:rsid w:val="FFB79704"/>
    <w:rsid w:val="FFF5372A"/>
    <w:rsid w:val="FFFF1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1086</Words>
  <Characters>1106</Characters>
  <Lines>0</Lines>
  <Paragraphs>0</Paragraphs>
  <TotalTime>138</TotalTime>
  <ScaleCrop>false</ScaleCrop>
  <LinksUpToDate>false</LinksUpToDate>
  <CharactersWithSpaces>1107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2025-07-24T16:30:00Z</dcterms:created>
  <dc:creator>两块雪糕</dc:creator>
  <cp:lastModifiedBy>Administrator</cp:lastModifiedBy>
  <cp:lastPrinted>2025-08-08T10:20:00Z</cp:lastPrinted>
  <dcterms:modified xsi:type="dcterms:W3CDTF">2025-08-12T09:12:20Z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9415D8BF60BB483390F3236945AC500F_13</vt:lpwstr>
  </property>
  <property fmtid="{D5CDD505-2E9C-101B-9397-08002B2CF9AE}" pid="4" name="KSOTemplateDocerSaveRecord">
    <vt:lpwstr>eyJoZGlkIjoiZjA2MjBlOTIwMTgyNzcwYWY0OGM5MDc1MjkwZTY5ODciLCJ1c2VySWQiOiIzODU3MzM2ODIifQ==</vt:lpwstr>
  </property>
</Properties>
</file>