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48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绿色供应链管理评价要求</w:t>
      </w:r>
    </w:p>
    <w:p>
      <w:pPr>
        <w:spacing w:line="480" w:lineRule="exact"/>
        <w:rPr>
          <w:rFonts w:hint="default" w:ascii="Times New Roman" w:hAnsi="Times New Roman" w:cs="Times New Roman"/>
          <w:sz w:val="32"/>
          <w:szCs w:val="32"/>
        </w:rPr>
      </w:pPr>
    </w:p>
    <w:p>
      <w:pPr>
        <w:spacing w:line="48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（一）定义、目的及范围</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绿色供应链管理范围：按照产品生命周期要求，对设计、采购、生产、物流、回收等业务流程进行管理，其中涉及供应商、制造企业、物流商、销售商、最终用户以及回收、拆解等企业的协作。</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（二）基本要求</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1、具有独立法人资格；</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2、具有较强的行业影响力；</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3、具有较完善的能源资源、环境管理体系，各项管理制度健全，符合国家和地方的法律法规及标准规范要求，近三年无重大安全和环境污染事故；</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4、拥有数量众多的供应商，在供应商中有很强的影响力，与上下游供应商建立良好的合作关系；</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5、有完善的供应商管理体系，建立健全的供应商认证、选择、审核、绩效管理和退出机制；</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6、有健全的财务管理制度，销售盈利能力处于行业领先水平；</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7、对实施绿色供应链管理有明确的工作目标、思路、计划和措施。</w:t>
      </w:r>
    </w:p>
    <w:p>
      <w:pPr>
        <w:spacing w:line="48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二、企业绿色供应链管理关键环节</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（一）确立可持续的绿色供应链管理战略</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（二）实施绿色供应商管理</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default"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和包装材料用量、用更环保的材料替代，避免或减少环境污染。定期对供应商进行培训和技术支持，传递客户和其他利益相关者的环境要求，帮助供应商将要求融入业务之中并逐级传递。</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（三）强化绿色生产</w:t>
      </w:r>
    </w:p>
    <w:p>
      <w:pPr>
        <w:spacing w:line="48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（四）建设绿色回收体系</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spacing w:line="4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（五）搭建绿色信息收集监测披露平台</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企业要建立能源消耗在线监测体系和</w:t>
      </w:r>
      <w:bookmarkStart w:id="0" w:name="OLE_LINK1"/>
      <w:bookmarkStart w:id="1" w:name="OLE_LINK2"/>
      <w:r>
        <w:rPr>
          <w:rFonts w:hint="default" w:ascii="Times New Roman" w:hAnsi="Times New Roman" w:eastAsia="仿宋_GB2312" w:cs="Times New Roman"/>
          <w:bCs/>
          <w:sz w:val="32"/>
          <w:szCs w:val="32"/>
        </w:rPr>
        <w:t>减排监测数据库</w:t>
      </w:r>
      <w:bookmarkEnd w:id="0"/>
      <w:bookmarkEnd w:id="1"/>
      <w:r>
        <w:rPr>
          <w:rFonts w:hint="default" w:ascii="Times New Roman" w:hAnsi="Times New Roman" w:eastAsia="仿宋_GB2312" w:cs="Times New Roman"/>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spacing w:line="44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三、企业绿色供应链管理评价方法</w:t>
      </w:r>
    </w:p>
    <w:p>
      <w:pPr>
        <w:spacing w:line="4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（一）评价方式</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1、企业绿色供应链管理评价由第三方组织实施。</w:t>
      </w:r>
    </w:p>
    <w:p>
      <w:pPr>
        <w:spacing w:line="4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2、第三方根据绿色供应链管理关键环节，按照评价标准对企业进行实地调查，查阅相关文件、报表、数据等，确保评价结果客观准确。</w:t>
      </w:r>
    </w:p>
    <w:p>
      <w:pPr>
        <w:spacing w:line="44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（二）评价指标体系</w:t>
      </w:r>
    </w:p>
    <w:p>
      <w:pPr>
        <w:spacing w:line="44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绿色供应链管理评价指标体系包括绿色供应链管理战略指标、绿色供应商管理指标、绿色生产指标、绿色回收指标、绿色信息平台建设指标、绿色信息披露指标6个方面。具体如表1所示。</w:t>
      </w:r>
    </w:p>
    <w:p>
      <w:pPr>
        <w:spacing w:line="440" w:lineRule="exact"/>
        <w:ind w:firstLine="640" w:firstLineChars="200"/>
        <w:jc w:val="center"/>
        <w:rPr>
          <w:rFonts w:hint="default" w:ascii="Times New Roman" w:hAnsi="Times New Roman" w:eastAsia="黑体" w:cs="Times New Roman"/>
          <w:sz w:val="28"/>
          <w:szCs w:val="28"/>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28"/>
          <w:szCs w:val="28"/>
        </w:rPr>
        <w:t>表1  企业绿色供应链管理评价指标体系</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一级指标</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3601"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二级指标</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最高分值</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战略X1</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纳入公司发展规划X11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制定绿色供应链管理目标X12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设置专门管理机构X13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实施绿色供应商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管理X2</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绿色采购标准制度完善X21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供应商认证体系完善X22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对供应商定期审核X23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供应商绩效评估制度健全X24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定期对供应商进行培训X25</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低风险供应商占比X26</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绿色生产X3</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节能减排环保合规X31</w:t>
            </w:r>
          </w:p>
        </w:tc>
        <w:tc>
          <w:tcPr>
            <w:tcW w:w="719" w:type="dxa"/>
            <w:vAlign w:val="center"/>
          </w:tcPr>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180" w:type="dxa"/>
            <w:vMerge w:val="continue"/>
            <w:vAlign w:val="center"/>
          </w:tcPr>
          <w:p>
            <w:pP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符合有害物质限制使用管理办法X32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绿色回收X4</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产品回收率X41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包装回收率X42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回收体系完善（含自建、与第三方联合回收）X43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指导下游企业回收拆解X44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绿色信息平台建设X5</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绿色供应链管理信息平台完善X51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180" w:type="dxa"/>
            <w:vMerge w:val="restart"/>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绿色信息披露X6</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披露企业节能减排减碳信息X61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披露高、中风险供应商审核率及低风险供应商占比X62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披露供应商节能减排信息X63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发布企业社会责任报告（含绿色采购信息）X64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bl>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（三）绿色供应链评价指数计算方法</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企业绿色供应链管理指数的计算公式如下。</w:t>
      </w:r>
      <w:r>
        <w:rPr>
          <w:rFonts w:hint="default" w:ascii="Times New Roman" w:hAnsi="Times New Roman" w:eastAsia="仿宋_GB2312" w:cs="Times New Roman"/>
          <w:position w:val="-10"/>
          <w:sz w:val="32"/>
          <w:szCs w:val="32"/>
        </w:rPr>
        <w:object>
          <v:shape id="_x0000_i1025" o:spt="75" type="#_x0000_t75" style="height:17pt;width:9pt;" o:ole="t" filled="f" o:preferrelative="t" stroked="f" coordsize="21600,21600">
            <v:path/>
            <v:fill on="f" alignshape="1"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spacing w:line="240" w:lineRule="auto"/>
        <w:rPr>
          <w:rFonts w:hint="default" w:ascii="Times New Roman" w:hAnsi="Times New Roman" w:eastAsia="仿宋_GB2312" w:cs="Times New Roman"/>
          <w:sz w:val="32"/>
          <w:szCs w:val="32"/>
        </w:rPr>
      </w:pPr>
      <w:r>
        <w:rPr>
          <w:rFonts w:hint="default" w:ascii="Times New Roman" w:hAnsi="Times New Roman" w:eastAsia="仿宋_GB2312" w:cs="Times New Roman"/>
          <w:position w:val="-30"/>
          <w:sz w:val="32"/>
          <w:szCs w:val="32"/>
        </w:rPr>
        <w:object>
          <v:shape id="_x0000_i1026" o:spt="75" type="#_x0000_t75" style="height:44.35pt;width:410.2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default" w:ascii="Times New Roman" w:hAnsi="Times New Roman" w:eastAsia="仿宋_GB2312" w:cs="Times New Roman"/>
          <w:sz w:val="32"/>
          <w:szCs w:val="32"/>
        </w:rPr>
        <w:t>式中</w:t>
      </w:r>
      <w:r>
        <w:rPr>
          <w:rFonts w:hint="default" w:ascii="Times New Roman" w:hAnsi="Times New Roman" w:eastAsia="仿宋_GB2312" w:cs="Times New Roman"/>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62336;mso-width-relative:page;mso-height-relative:page;" o:ole="t" filled="f" o:preferrelative="t" stroked="f" coordsize="21600,21600">
            <v:path/>
            <v:fill on="f" alignshape="1" focussize="0,0"/>
            <v:stroke on="f"/>
            <v:imagedata r:id="rId5" o:title=""/>
            <o:lock v:ext="edit" aspectratio="t"/>
            <w10:wrap type="square" side="right"/>
          </v:shape>
          <o:OLEObject Type="Embed" ProgID="" ShapeID="_x0000_s1026" DrawAspect="Content" ObjectID="_1468075727" r:id="rId8">
            <o:LockedField>false</o:LockedField>
          </o:OLEObject>
        </w:pict>
      </w:r>
      <w:r>
        <w:rPr>
          <w:rFonts w:hint="default" w:ascii="Times New Roman" w:hAnsi="Times New Roman" w:eastAsia="仿宋_GB2312" w:cs="Times New Roman"/>
          <w:sz w:val="32"/>
          <w:szCs w:val="32"/>
        </w:rPr>
        <w:t>GSCI为绿色供应链管理指数。</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（四）绿色供应链评价结果</w:t>
      </w:r>
    </w:p>
    <w:p>
      <w:pPr>
        <w:spacing w:line="48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经评价绿色供应链管理指数大于80分（含等于）的企业，认定为“卓越绿色供应链管理企业”，优先享受国家各项支持政策。</w:t>
      </w:r>
    </w:p>
    <w:p>
      <w:pPr>
        <w:spacing w:line="4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（五）部分指标说明</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1、纳入公司发展规划：有明确的绿色供应链管理中长期发展规划、年度目标、指标、实施方案等文件。</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2、供应商绩效评估制度：建立供应商绩效评估标准，对供应商进行分级评价和管理。</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3、低风险供应商占比的基准值取80%。达到或超过80%得4分，其他分值的计算：比例值/80%*4。</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4、节能减排环保合规：符合国家和地方有关环境法律和法规，近五年无重大安全、环保、质量事故；配备能源、水源监测设备及污染物监测设备（计量仪器符合GB/T17167和GB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24789）。</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5、产品回收率X41的基准值为90%，达到或超过90%得5分，其他分值的计算：比例值/90%*5。</w:t>
      </w:r>
    </w:p>
    <w:p>
      <w:pPr>
        <w:spacing w:line="4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6、包装回收率X42的基准值为80%，达到或超过80%得5分，其他分值的计算：比例值/80%*5。</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7、指导下游企业回收拆解：具备回收拆解信息管理系统，实现拆解信息的传递及产品的追溯。</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8、绿色供应链管理信息平台完善：对企业及其供应商产品材质、工艺流程、能源资源消耗、污染物排放等信息进行有效收集与管理。</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9、披露企业节能减排减碳信息：具体包括有毒有害物质使用、能源资源利用效率、污染物排放、碳排放减少量、产品回收利用率等信息。</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D4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2023-08-11T09:49:47Z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