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附件一：</w:t>
      </w:r>
    </w:p>
    <w:tbl>
      <w:tblPr>
        <w:tblStyle w:val="3"/>
        <w:tblW w:w="14183" w:type="dxa"/>
        <w:tblInd w:w="-7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490"/>
        <w:gridCol w:w="988"/>
        <w:gridCol w:w="1364"/>
        <w:gridCol w:w="670"/>
        <w:gridCol w:w="540"/>
        <w:gridCol w:w="476"/>
        <w:gridCol w:w="1195"/>
        <w:gridCol w:w="1753"/>
        <w:gridCol w:w="3105"/>
        <w:gridCol w:w="27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Style w:val="5"/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 w:bidi="ar"/>
              </w:rPr>
            </w:pPr>
          </w:p>
        </w:tc>
        <w:tc>
          <w:tcPr>
            <w:tcW w:w="133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</w:rPr>
              <w:t>霍尔果斯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lang w:eastAsia="zh-CN"/>
              </w:rPr>
              <w:t>经济开发区（市）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</w:rPr>
              <w:t>年公开招聘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lang w:val="en-US" w:eastAsia="zh-CN"/>
              </w:rPr>
              <w:t>市疾病预防控制中心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Style w:val="5"/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</w:rPr>
              <w:t>工作人员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 w:bidi="ar"/>
              </w:rPr>
              <w:t>职位表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Style w:val="5"/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单</w:t>
            </w: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岗</w:t>
            </w: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职位代码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族别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年</w:t>
            </w: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龄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学</w:t>
            </w: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历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专</w:t>
            </w: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业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霍尔果斯市疾病预防控制中心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医学检验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2201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Style w:val="7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医学检验类、卫生检验与检疫类，生物类；临床医学、预防医学、公共卫生管理、护理学等医学相关专业。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有基因扩增（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PCR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 w:bidi="ar"/>
              </w:rPr>
              <w:t>）上岗证优先，有医学检验相关资格证者优先，有相关工作经验者优先。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5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4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2022-09-23T11:30:38Z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